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-7620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001-39051</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Datadog, Inc.</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24"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2900" w:type="dxa"/>
            <w:vAlign w:val="bottom"/>
          </w:tcPr>
          <w:p>
            <w:pPr>
              <w:jc w:val="center"/>
              <w:ind w:left="739"/>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20"/>
                <w:szCs w:val="20"/>
                <w:color w:val="auto"/>
              </w:rPr>
            </w:pPr>
          </w:p>
        </w:tc>
        <w:tc>
          <w:tcPr>
            <w:tcW w:w="2980" w:type="dxa"/>
            <w:vAlign w:val="bottom"/>
          </w:tcPr>
          <w:p>
            <w:pPr>
              <w:jc w:val="right"/>
              <w:ind w:right="41"/>
              <w:spacing w:after="0"/>
              <w:rPr>
                <w:sz w:val="20"/>
                <w:szCs w:val="20"/>
                <w:color w:val="auto"/>
              </w:rPr>
            </w:pPr>
            <w:r>
              <w:rPr>
                <w:rFonts w:ascii="Arial" w:cs="Arial" w:eastAsia="Arial" w:hAnsi="Arial"/>
                <w:sz w:val="18"/>
                <w:szCs w:val="18"/>
                <w:b w:val="1"/>
                <w:bCs w:val="1"/>
                <w:color w:val="auto"/>
              </w:rPr>
              <w:t>27-2825503</w:t>
            </w:r>
          </w:p>
        </w:tc>
      </w:tr>
      <w:tr>
        <w:trPr>
          <w:trHeight w:val="193"/>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3"/>
              </w:rPr>
              <w:t>(State or other jurisdiction of</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left="739"/>
              <w:spacing w:after="0"/>
              <w:rPr>
                <w:sz w:val="20"/>
                <w:szCs w:val="20"/>
                <w:color w:val="auto"/>
              </w:rPr>
            </w:pPr>
            <w:r>
              <w:rPr>
                <w:rFonts w:ascii="Arial" w:cs="Arial" w:eastAsia="Arial" w:hAnsi="Arial"/>
                <w:sz w:val="14"/>
                <w:szCs w:val="14"/>
                <w:b w:val="1"/>
                <w:bCs w:val="1"/>
                <w:color w:val="auto"/>
                <w:w w:val="94"/>
              </w:rPr>
              <w:t>incorporation or organization)</w:t>
            </w:r>
          </w:p>
        </w:tc>
        <w:tc>
          <w:tcPr>
            <w:tcW w:w="2780" w:type="dxa"/>
            <w:vAlign w:val="bottom"/>
          </w:tcPr>
          <w:p>
            <w:pPr>
              <w:spacing w:after="0"/>
              <w:rPr>
                <w:sz w:val="16"/>
                <w:szCs w:val="16"/>
                <w:color w:val="auto"/>
              </w:rPr>
            </w:pP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4"/>
              </w:rPr>
              <w:t>Identification No.)</w:t>
            </w:r>
          </w:p>
        </w:tc>
      </w:tr>
      <w:tr>
        <w:trPr>
          <w:trHeight w:val="268"/>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88"/>
              </w:rPr>
              <w:t>620 8th Avenue,</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4"/>
              </w:rPr>
              <w:t>45th Floor</w:t>
            </w:r>
          </w:p>
        </w:tc>
        <w:tc>
          <w:tcPr>
            <w:tcW w:w="2980" w:type="dxa"/>
            <w:vAlign w:val="bottom"/>
          </w:tcPr>
          <w:p>
            <w:pPr>
              <w:spacing w:after="0"/>
              <w:rPr>
                <w:sz w:val="23"/>
                <w:szCs w:val="23"/>
                <w:color w:val="auto"/>
              </w:rPr>
            </w:pPr>
          </w:p>
        </w:tc>
      </w:tr>
      <w:tr>
        <w:trPr>
          <w:trHeight w:val="270"/>
        </w:trPr>
        <w:tc>
          <w:tcPr>
            <w:tcW w:w="2900" w:type="dxa"/>
            <w:vAlign w:val="bottom"/>
          </w:tcPr>
          <w:p>
            <w:pPr>
              <w:jc w:val="center"/>
              <w:ind w:right="1599"/>
              <w:spacing w:after="0"/>
              <w:rPr>
                <w:sz w:val="20"/>
                <w:szCs w:val="20"/>
                <w:color w:val="auto"/>
              </w:rPr>
            </w:pPr>
            <w:r>
              <w:rPr>
                <w:rFonts w:ascii="Arial" w:cs="Arial" w:eastAsia="Arial" w:hAnsi="Arial"/>
                <w:sz w:val="18"/>
                <w:szCs w:val="18"/>
                <w:b w:val="1"/>
                <w:bCs w:val="1"/>
                <w:color w:val="auto"/>
                <w:w w:val="94"/>
              </w:rPr>
              <w:t>New York,</w:t>
            </w:r>
          </w:p>
        </w:tc>
        <w:tc>
          <w:tcPr>
            <w:tcW w:w="2780" w:type="dxa"/>
            <w:vAlign w:val="bottom"/>
          </w:tcPr>
          <w:p>
            <w:pPr>
              <w:jc w:val="center"/>
              <w:ind w:right="1670"/>
              <w:spacing w:after="0"/>
              <w:rPr>
                <w:sz w:val="20"/>
                <w:szCs w:val="20"/>
                <w:color w:val="auto"/>
              </w:rPr>
            </w:pPr>
            <w:r>
              <w:rPr>
                <w:rFonts w:ascii="Arial" w:cs="Arial" w:eastAsia="Arial" w:hAnsi="Arial"/>
                <w:sz w:val="18"/>
                <w:szCs w:val="18"/>
                <w:b w:val="1"/>
                <w:bCs w:val="1"/>
                <w:color w:val="auto"/>
              </w:rPr>
              <w:t>NY</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218"/>
        </w:trPr>
        <w:tc>
          <w:tcPr>
            <w:tcW w:w="5680" w:type="dxa"/>
            <w:vAlign w:val="bottom"/>
            <w:gridSpan w:val="2"/>
          </w:tcPr>
          <w:p>
            <w:pPr>
              <w:jc w:val="center"/>
              <w:ind w:right="18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(866) 329-4466</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337"/>
        </w:trPr>
        <w:tc>
          <w:tcPr>
            <w:tcW w:w="28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68"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October 26, 2021, there were 257,196,936 shares of the registrant’s Class A common stock and 54,819,432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22"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100" w:type="dxa"/>
            <w:vAlign w:val="bottom"/>
            <w:gridSpan w:val="19"/>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19"/>
            <w:vMerge w:val="continue"/>
          </w:tcPr>
          <w:p>
            <w:pPr>
              <w:spacing w:after="0"/>
              <w:rPr>
                <w:sz w:val="15"/>
                <w:szCs w:val="15"/>
                <w:color w:val="auto"/>
              </w:rPr>
            </w:pPr>
          </w:p>
        </w:tc>
        <w:tc>
          <w:tcPr>
            <w:tcW w:w="880" w:type="dxa"/>
            <w:vAlign w:val="bottom"/>
          </w:tcPr>
          <w:p>
            <w:pPr>
              <w:jc w:val="right"/>
              <w:spacing w:after="0" w:line="169"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15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0"/>
          </w:tcPr>
          <w:p>
            <w:pPr>
              <w:spacing w:after="0"/>
              <w:rPr>
                <w:sz w:val="22"/>
                <w:szCs w:val="22"/>
                <w:color w:val="auto"/>
              </w:rPr>
            </w:pP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September 30, 2021 and December 31, 2020</w:t>
              </w:r>
            </w:hyperlink>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Operations for the Three and Nine Months Ended September 30, 2021 and 2020</w:t>
              </w:r>
            </w:hyperlink>
          </w:p>
        </w:tc>
        <w:tc>
          <w:tcPr>
            <w:tcW w:w="460" w:type="dxa"/>
            <w:vAlign w:val="bottom"/>
            <w:gridSpan w:val="2"/>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Statements of Comprehensive Loss for the Three and Nine Months Ended September 30, 2021 and</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 Stockholders’ Equity for the Three and Nine Months Ended September 30, 2021 and</w:t>
              </w:r>
            </w:hyperlink>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2020</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6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196" w:lineRule="exact"/>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Cash Flows for the Nine Months Ended September 30, 2021 and 2020</w:t>
              </w:r>
            </w:hyperlink>
          </w:p>
        </w:tc>
        <w:tc>
          <w:tcPr>
            <w:tcW w:w="1180" w:type="dxa"/>
            <w:vAlign w:val="bottom"/>
            <w:gridSpan w:val="3"/>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8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646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2640" w:type="dxa"/>
            <w:vAlign w:val="bottom"/>
            <w:gridSpan w:val="5"/>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436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Quantitative and Qualitative Disclosures About Market Risk</w:t>
              </w:r>
            </w:hyperlink>
          </w:p>
        </w:tc>
        <w:tc>
          <w:tcPr>
            <w:tcW w:w="4740" w:type="dxa"/>
            <w:vAlign w:val="bottom"/>
            <w:gridSpan w:val="7"/>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10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8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w:t>
              </w:r>
            </w:hyperlink>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OTHER INFORMATION</w:t>
              </w:r>
            </w:hyperlink>
          </w:p>
        </w:tc>
        <w:tc>
          <w:tcPr>
            <w:tcW w:w="7220" w:type="dxa"/>
            <w:vAlign w:val="bottom"/>
            <w:gridSpan w:val="11"/>
          </w:tcPr>
          <w:p>
            <w:pPr>
              <w:spacing w:after="0"/>
              <w:rPr>
                <w:sz w:val="24"/>
                <w:szCs w:val="24"/>
                <w:color w:val="auto"/>
              </w:rPr>
            </w:pPr>
          </w:p>
        </w:tc>
        <w:tc>
          <w:tcPr>
            <w:tcW w:w="88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w:t>
              </w:r>
            </w:hyperlink>
          </w:p>
        </w:tc>
        <w:tc>
          <w:tcPr>
            <w:tcW w:w="9100" w:type="dxa"/>
            <w:vAlign w:val="bottom"/>
            <w:gridSpan w:val="1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4"/>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2.</w:t>
              </w:r>
            </w:hyperlink>
          </w:p>
        </w:tc>
        <w:tc>
          <w:tcPr>
            <w:tcW w:w="9100" w:type="dxa"/>
            <w:vAlign w:val="bottom"/>
            <w:gridSpan w:val="1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Unregistered Sales of Equity Securities and Use of Proceeds</w:t>
              </w:r>
            </w:hyperlink>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3.</w:t>
              </w:r>
            </w:hyperlink>
          </w:p>
        </w:tc>
        <w:tc>
          <w:tcPr>
            <w:tcW w:w="23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tcPr>
          <w:p>
            <w:pPr>
              <w:spacing w:after="0"/>
              <w:rPr>
                <w:sz w:val="21"/>
                <w:szCs w:val="21"/>
                <w:color w:val="auto"/>
              </w:rPr>
            </w:pPr>
          </w:p>
        </w:tc>
        <w:tc>
          <w:tcPr>
            <w:tcW w:w="4760" w:type="dxa"/>
            <w:vAlign w:val="bottom"/>
            <w:gridSpan w:val="8"/>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4.</w:t>
              </w:r>
            </w:hyperlink>
          </w:p>
        </w:tc>
        <w:tc>
          <w:tcPr>
            <w:tcW w:w="9100" w:type="dxa"/>
            <w:vAlign w:val="bottom"/>
            <w:gridSpan w:val="19"/>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5.</w:t>
              </w:r>
            </w:hyperlink>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7340" w:type="dxa"/>
            <w:vAlign w:val="bottom"/>
            <w:gridSpan w:val="12"/>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6.</w:t>
              </w:r>
            </w:hyperlink>
          </w:p>
        </w:tc>
        <w:tc>
          <w:tcPr>
            <w:tcW w:w="1300" w:type="dxa"/>
            <w:vAlign w:val="bottom"/>
            <w:tcBorders>
              <w:top w:val="single" w:sz="8" w:color="0000FF"/>
            </w:tcBorders>
            <w:gridSpan w:val="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Exhibits</w:t>
              </w:r>
            </w:hyperlink>
          </w:p>
        </w:tc>
        <w:tc>
          <w:tcPr>
            <w:tcW w:w="7800" w:type="dxa"/>
            <w:vAlign w:val="bottom"/>
            <w:gridSpan w:val="15"/>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66</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Signatures</w:t>
              </w:r>
            </w:hyperlink>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the ongoing COVID-19 pandemic on our business, results of operations and financial condition.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1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224,927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1,180,160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1,292,532</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for credit losses of $2,517 and $2,468 as of</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September 30, 2021 and December 31, 2020,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163,359</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13,638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1,736,336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1,718,080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r>
      <w:tr>
        <w:trPr>
          <w:trHeight w:val="264"/>
        </w:trPr>
        <w:tc>
          <w:tcPr>
            <w:tcW w:w="8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2,194,173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21,342</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55,351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16,326</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204,825</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297,844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51,433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1,236,761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932,853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Class A common stock, $0.00001 par value per share; 2,000,000,000 shares authorized as of September 30,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and December 31, 2020; 255,875,718 and 218,510,509 shares issued and outstanding as of September 30, 2021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w w:val="92"/>
              </w:rPr>
              <w:t>Class B common stock, $0.00001 par value per share; 310,000,000 shares authorized as of September 30, 2021</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w w:val="90"/>
              </w:rPr>
              <w:t>and December 31, 2020; 56,025,741 and 87,369,554 shares issued and outstanding as of September 30, 2021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1,103,305</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(148,163)</w:t>
            </w:r>
          </w:p>
        </w:tc>
      </w:tr>
      <w:tr>
        <w:trPr>
          <w:trHeight w:val="236"/>
        </w:trPr>
        <w:tc>
          <w:tcPr>
            <w:tcW w:w="84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957,432</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2,194,173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1,890,285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891" w:right="339" w:bottom="94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946" w:gutter="0" w:footer="0" w:header="0"/>
          <w:type w:val="continuous"/>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425,935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167,096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89,340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535,490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336,595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142,928</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57,142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210,592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153,626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44,876</w:t>
            </w:r>
          </w:p>
        </w:tc>
        <w:tc>
          <w:tcPr>
            <w:tcW w:w="0" w:type="dxa"/>
            <w:vAlign w:val="bottom"/>
          </w:tcPr>
          <w:p>
            <w:pPr>
              <w:spacing w:after="0"/>
              <w:rPr>
                <w:sz w:val="1"/>
                <w:szCs w:val="1"/>
                <w:color w:val="auto"/>
              </w:rPr>
            </w:pPr>
          </w:p>
        </w:tc>
      </w:tr>
      <w:tr>
        <w:trPr>
          <w:trHeight w:val="237"/>
        </w:trPr>
        <w:tc>
          <w:tcPr>
            <w:tcW w:w="564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212,051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341,430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 (loss),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(14,555)</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64"/>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shd w:val="clear" w:color="auto" w:fill="CCEEFF"/>
          </w:tcPr>
          <w:p>
            <w:pPr>
              <w:ind w:left="260"/>
              <w:spacing w:after="0" w:line="195" w:lineRule="exact"/>
              <w:rPr>
                <w:sz w:val="20"/>
                <w:szCs w:val="20"/>
                <w:color w:val="auto"/>
              </w:rPr>
            </w:pPr>
            <w:r>
              <w:rPr>
                <w:rFonts w:ascii="Arial" w:cs="Arial" w:eastAsia="Arial" w:hAnsi="Arial"/>
                <w:sz w:val="18"/>
                <w:szCs w:val="18"/>
                <w:color w:val="auto"/>
                <w:w w:val="89"/>
              </w:rPr>
              <w:t>Weighted average shares used in calculating basic and diluted net loss per</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299,105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26"/>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6"/>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43"/>
        </w:trPr>
        <w:tc>
          <w:tcPr>
            <w:tcW w:w="5560" w:type="dxa"/>
            <w:vAlign w:val="bottom"/>
          </w:tcPr>
          <w:p>
            <w:pPr>
              <w:ind w:left="240"/>
              <w:spacing w:after="0"/>
              <w:rPr>
                <w:sz w:val="20"/>
                <w:szCs w:val="20"/>
                <w:color w:val="auto"/>
              </w:rPr>
            </w:pPr>
            <w:r>
              <w:rPr>
                <w:rFonts w:ascii="Arial" w:cs="Arial" w:eastAsia="Arial" w:hAnsi="Arial"/>
                <w:sz w:val="18"/>
                <w:szCs w:val="18"/>
                <w:color w:val="auto"/>
                <w:w w:val="98"/>
              </w:rPr>
              <w:t>Unrealized (loss) income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(14,570)</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w:t>
            </w: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2700" w:type="dxa"/>
            <w:vAlign w:val="bottom"/>
            <w:gridSpan w:val="4"/>
          </w:tcPr>
          <w:p>
            <w:pPr>
              <w:jc w:val="right"/>
              <w:ind w:right="721"/>
              <w:spacing w:after="0"/>
              <w:rPr>
                <w:sz w:val="20"/>
                <w:szCs w:val="20"/>
                <w:color w:val="auto"/>
              </w:rPr>
            </w:pPr>
            <w:r>
              <w:rPr>
                <w:rFonts w:ascii="Arial" w:cs="Arial" w:eastAsia="Arial" w:hAnsi="Arial"/>
                <w:sz w:val="13"/>
                <w:szCs w:val="13"/>
                <w:b w:val="1"/>
                <w:bCs w:val="1"/>
                <w:color w:val="auto"/>
              </w:rPr>
              <w:t>Class A and Class B</w:t>
            </w:r>
          </w:p>
        </w:tc>
        <w:tc>
          <w:tcPr>
            <w:tcW w:w="220" w:type="dxa"/>
            <w:vAlign w:val="bottom"/>
          </w:tcPr>
          <w:p>
            <w:pPr>
              <w:spacing w:after="0"/>
              <w:rPr>
                <w:sz w:val="13"/>
                <w:szCs w:val="13"/>
                <w:color w:val="auto"/>
              </w:rPr>
            </w:pPr>
          </w:p>
        </w:tc>
      </w:tr>
      <w:tr>
        <w:trPr>
          <w:trHeight w:val="164"/>
        </w:trPr>
        <w:tc>
          <w:tcPr>
            <w:tcW w:w="28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9"/>
        </w:trPr>
        <w:tc>
          <w:tcPr>
            <w:tcW w:w="28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7"/>
        </w:trPr>
        <w:tc>
          <w:tcPr>
            <w:tcW w:w="284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380" w:type="dxa"/>
            <w:vAlign w:val="bottom"/>
          </w:tcPr>
          <w:p>
            <w:pPr>
              <w:spacing w:after="0"/>
              <w:rPr>
                <w:sz w:val="14"/>
                <w:szCs w:val="14"/>
                <w:color w:val="auto"/>
              </w:rPr>
            </w:pPr>
          </w:p>
        </w:tc>
        <w:tc>
          <w:tcPr>
            <w:tcW w:w="900" w:type="dxa"/>
            <w:vAlign w:val="bottom"/>
          </w:tcPr>
          <w:p>
            <w:pPr>
              <w:jc w:val="right"/>
              <w:ind w:right="341"/>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4"/>
                <w:szCs w:val="14"/>
                <w:color w:val="auto"/>
              </w:rPr>
            </w:pPr>
          </w:p>
        </w:tc>
      </w:tr>
      <w:tr>
        <w:trPr>
          <w:trHeight w:val="29"/>
        </w:trPr>
        <w:tc>
          <w:tcPr>
            <w:tcW w:w="2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6"/>
                <w:szCs w:val="16"/>
                <w:color w:val="auto"/>
              </w:rPr>
              <w:t>BALANCE—June 30, 2021</w:t>
            </w:r>
          </w:p>
        </w:tc>
        <w:tc>
          <w:tcPr>
            <w:tcW w:w="1300" w:type="dxa"/>
            <w:vAlign w:val="bottom"/>
          </w:tcPr>
          <w:p>
            <w:pPr>
              <w:jc w:val="right"/>
              <w:spacing w:after="0"/>
              <w:rPr>
                <w:sz w:val="20"/>
                <w:szCs w:val="20"/>
                <w:color w:val="auto"/>
              </w:rPr>
            </w:pPr>
            <w:r>
              <w:rPr>
                <w:rFonts w:ascii="Arial" w:cs="Arial" w:eastAsia="Arial" w:hAnsi="Arial"/>
                <w:sz w:val="16"/>
                <w:szCs w:val="16"/>
                <w:color w:val="auto"/>
              </w:rPr>
              <w:t>309,841,134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2840" w:type="dxa"/>
            <w:vAlign w:val="bottom"/>
          </w:tcPr>
          <w:p>
            <w:pPr>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40" w:type="dxa"/>
            <w:vAlign w:val="bottom"/>
          </w:tcPr>
          <w:p>
            <w:pPr>
              <w:ind w:left="16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1,715,963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344,362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26"/>
        </w:trPr>
        <w:tc>
          <w:tcPr>
            <w:tcW w:w="2840" w:type="dxa"/>
            <w:vAlign w:val="bottom"/>
          </w:tcPr>
          <w:p>
            <w:pPr>
              <w:spacing w:after="0"/>
              <w:rPr>
                <w:sz w:val="20"/>
                <w:szCs w:val="20"/>
                <w:color w:val="auto"/>
              </w:rPr>
            </w:pPr>
            <w:r>
              <w:rPr>
                <w:rFonts w:ascii="Arial" w:cs="Arial" w:eastAsia="Arial" w:hAnsi="Arial"/>
                <w:sz w:val="16"/>
                <w:szCs w:val="16"/>
                <w:color w:val="auto"/>
              </w:rPr>
              <w:t>Change in accumulated other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40" w:type="dxa"/>
            <w:vAlign w:val="bottom"/>
          </w:tcPr>
          <w:p>
            <w:pPr>
              <w:ind w:left="160"/>
              <w:spacing w:after="0"/>
              <w:rPr>
                <w:sz w:val="20"/>
                <w:szCs w:val="20"/>
                <w:color w:val="auto"/>
              </w:rPr>
            </w:pPr>
            <w:r>
              <w:rPr>
                <w:rFonts w:ascii="Arial" w:cs="Arial" w:eastAsia="Arial" w:hAnsi="Arial"/>
                <w:sz w:val="16"/>
                <w:szCs w:val="16"/>
                <w:color w:val="auto"/>
              </w:rPr>
              <w:t>comprehensive (loss)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56"/>
        </w:trPr>
        <w:tc>
          <w:tcPr>
            <w:tcW w:w="2840" w:type="dxa"/>
            <w:vAlign w:val="bottom"/>
          </w:tcPr>
          <w:p>
            <w:pPr>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6"/>
                <w:szCs w:val="16"/>
                <w:color w:val="auto"/>
              </w:rPr>
              <w:t>BALANCE—September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311,901,459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2700" w:type="dxa"/>
            <w:vAlign w:val="bottom"/>
            <w:gridSpan w:val="4"/>
          </w:tcPr>
          <w:p>
            <w:pPr>
              <w:jc w:val="right"/>
              <w:ind w:right="741"/>
              <w:spacing w:after="0"/>
              <w:rPr>
                <w:sz w:val="20"/>
                <w:szCs w:val="20"/>
                <w:color w:val="auto"/>
              </w:rPr>
            </w:pPr>
            <w:r>
              <w:rPr>
                <w:rFonts w:ascii="Arial" w:cs="Arial" w:eastAsia="Arial" w:hAnsi="Arial"/>
                <w:sz w:val="13"/>
                <w:szCs w:val="13"/>
                <w:b w:val="1"/>
                <w:bCs w:val="1"/>
                <w:color w:val="auto"/>
              </w:rPr>
              <w:t>Class A and Class B</w:t>
            </w:r>
          </w:p>
        </w:tc>
        <w:tc>
          <w:tcPr>
            <w:tcW w:w="220" w:type="dxa"/>
            <w:vAlign w:val="bottom"/>
          </w:tcPr>
          <w:p>
            <w:pPr>
              <w:spacing w:after="0"/>
              <w:rPr>
                <w:sz w:val="13"/>
                <w:szCs w:val="13"/>
                <w:color w:val="auto"/>
              </w:rPr>
            </w:pPr>
          </w:p>
        </w:tc>
      </w:tr>
      <w:tr>
        <w:trPr>
          <w:trHeight w:val="164"/>
        </w:trPr>
        <w:tc>
          <w:tcPr>
            <w:tcW w:w="28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9"/>
        </w:trPr>
        <w:tc>
          <w:tcPr>
            <w:tcW w:w="286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380" w:type="dxa"/>
            <w:vAlign w:val="bottom"/>
          </w:tcPr>
          <w:p>
            <w:pPr>
              <w:spacing w:after="0"/>
              <w:rPr>
                <w:sz w:val="14"/>
                <w:szCs w:val="14"/>
                <w:color w:val="auto"/>
              </w:rPr>
            </w:pPr>
          </w:p>
        </w:tc>
        <w:tc>
          <w:tcPr>
            <w:tcW w:w="900" w:type="dxa"/>
            <w:vAlign w:val="bottom"/>
          </w:tcPr>
          <w:p>
            <w:pPr>
              <w:jc w:val="right"/>
              <w:ind w:right="341"/>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4"/>
                <w:szCs w:val="14"/>
                <w:color w:val="auto"/>
              </w:rPr>
            </w:pPr>
          </w:p>
        </w:tc>
      </w:tr>
      <w:tr>
        <w:trPr>
          <w:trHeight w:val="30"/>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7"/>
        </w:trPr>
        <w:tc>
          <w:tcPr>
            <w:tcW w:w="2860" w:type="dxa"/>
            <w:vAlign w:val="bottom"/>
          </w:tcPr>
          <w:p>
            <w:pPr>
              <w:ind w:left="100"/>
              <w:spacing w:after="0"/>
              <w:rPr>
                <w:sz w:val="20"/>
                <w:szCs w:val="20"/>
                <w:color w:val="auto"/>
              </w:rPr>
            </w:pPr>
            <w:r>
              <w:rPr>
                <w:rFonts w:ascii="Arial" w:cs="Arial" w:eastAsia="Arial" w:hAnsi="Arial"/>
                <w:sz w:val="16"/>
                <w:szCs w:val="16"/>
                <w:color w:val="auto"/>
              </w:rPr>
              <w:t>BALANCE—June 30, 2020</w:t>
            </w:r>
          </w:p>
        </w:tc>
        <w:tc>
          <w:tcPr>
            <w:tcW w:w="1300" w:type="dxa"/>
            <w:vAlign w:val="bottom"/>
          </w:tcPr>
          <w:p>
            <w:pPr>
              <w:jc w:val="right"/>
              <w:spacing w:after="0"/>
              <w:rPr>
                <w:sz w:val="20"/>
                <w:szCs w:val="20"/>
                <w:color w:val="auto"/>
              </w:rPr>
            </w:pPr>
            <w:r>
              <w:rPr>
                <w:rFonts w:ascii="Arial" w:cs="Arial" w:eastAsia="Arial" w:hAnsi="Arial"/>
                <w:sz w:val="16"/>
                <w:szCs w:val="16"/>
                <w:color w:val="auto"/>
              </w:rPr>
              <w:t>302,254,533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2,132,732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Reversal of prior income tax associated</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89"/>
        </w:trPr>
        <w:tc>
          <w:tcPr>
            <w:tcW w:w="2860" w:type="dxa"/>
            <w:vAlign w:val="bottom"/>
          </w:tcPr>
          <w:p>
            <w:pPr>
              <w:ind w:left="180"/>
              <w:spacing w:after="0"/>
              <w:rPr>
                <w:sz w:val="20"/>
                <w:szCs w:val="20"/>
                <w:color w:val="auto"/>
              </w:rPr>
            </w:pPr>
            <w:r>
              <w:rPr>
                <w:rFonts w:ascii="Arial" w:cs="Arial" w:eastAsia="Arial" w:hAnsi="Arial"/>
                <w:sz w:val="16"/>
                <w:szCs w:val="16"/>
                <w:color w:val="auto"/>
              </w:rPr>
              <w:t>with the issuance of the 2025</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6"/>
        </w:trPr>
        <w:tc>
          <w:tcPr>
            <w:tcW w:w="2860" w:type="dxa"/>
            <w:vAlign w:val="bottom"/>
          </w:tcPr>
          <w:p>
            <w:pPr>
              <w:ind w:left="180"/>
              <w:spacing w:after="0"/>
              <w:rPr>
                <w:sz w:val="20"/>
                <w:szCs w:val="20"/>
                <w:color w:val="auto"/>
              </w:rPr>
            </w:pPr>
            <w:r>
              <w:rPr>
                <w:rFonts w:ascii="Arial" w:cs="Arial" w:eastAsia="Arial" w:hAnsi="Arial"/>
                <w:sz w:val="16"/>
                <w:szCs w:val="16"/>
                <w:color w:val="auto"/>
              </w:rPr>
              <w:t>convertible senior notes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6"/>
                <w:szCs w:val="16"/>
                <w:color w:val="auto"/>
              </w:rPr>
              <w:t>Changes in accumulated other</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6"/>
        </w:trPr>
        <w:tc>
          <w:tcPr>
            <w:tcW w:w="2860" w:type="dxa"/>
            <w:vAlign w:val="bottom"/>
          </w:tcPr>
          <w:p>
            <w:pPr>
              <w:ind w:left="180"/>
              <w:spacing w:after="0"/>
              <w:rPr>
                <w:sz w:val="20"/>
                <w:szCs w:val="20"/>
                <w:color w:val="auto"/>
              </w:rPr>
            </w:pPr>
            <w:r>
              <w:rPr>
                <w:rFonts w:ascii="Arial" w:cs="Arial" w:eastAsia="Arial" w:hAnsi="Arial"/>
                <w:sz w:val="16"/>
                <w:szCs w:val="16"/>
                <w:color w:val="auto"/>
              </w:rPr>
              <w:t>comprehensive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56"/>
        </w:trPr>
        <w:tc>
          <w:tcPr>
            <w:tcW w:w="2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rPr>
              <w:t>BALANCE—September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304,391,841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8"/>
        </w:trPr>
        <w:tc>
          <w:tcPr>
            <w:tcW w:w="1060" w:type="dxa"/>
            <w:vAlign w:val="bottom"/>
          </w:tcPr>
          <w:p>
            <w:pPr>
              <w:jc w:val="center"/>
              <w:ind w:right="404"/>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Total</w:t>
            </w:r>
          </w:p>
        </w:tc>
      </w:tr>
      <w:tr>
        <w:trPr>
          <w:trHeight w:val="148"/>
        </w:trPr>
        <w:tc>
          <w:tcPr>
            <w:tcW w:w="1060" w:type="dxa"/>
            <w:vAlign w:val="bottom"/>
          </w:tcPr>
          <w:p>
            <w:pPr>
              <w:jc w:val="center"/>
              <w:ind w:right="404"/>
              <w:spacing w:after="0"/>
              <w:rPr>
                <w:sz w:val="20"/>
                <w:szCs w:val="20"/>
                <w:color w:val="auto"/>
              </w:rPr>
            </w:pPr>
            <w:r>
              <w:rPr>
                <w:rFonts w:ascii="Arial" w:cs="Arial" w:eastAsia="Arial" w:hAnsi="Arial"/>
                <w:sz w:val="13"/>
                <w:szCs w:val="13"/>
                <w:b w:val="1"/>
                <w:bCs w:val="1"/>
                <w:color w:val="auto"/>
                <w:w w:val="87"/>
              </w:rPr>
              <w:t>Paid-in</w:t>
            </w:r>
          </w:p>
        </w:tc>
        <w:tc>
          <w:tcPr>
            <w:tcW w:w="14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Comprehensive (Loss)</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2"/>
                <w:szCs w:val="12"/>
                <w:color w:val="auto"/>
              </w:rPr>
            </w:pPr>
          </w:p>
        </w:tc>
        <w:tc>
          <w:tcPr>
            <w:tcW w:w="1120" w:type="dxa"/>
            <w:vAlign w:val="bottom"/>
          </w:tcPr>
          <w:p>
            <w:pPr>
              <w:jc w:val="center"/>
              <w:ind w:right="104"/>
              <w:spacing w:after="0"/>
              <w:rPr>
                <w:sz w:val="20"/>
                <w:szCs w:val="20"/>
                <w:color w:val="auto"/>
              </w:rPr>
            </w:pPr>
            <w:r>
              <w:rPr>
                <w:rFonts w:ascii="Arial" w:cs="Arial" w:eastAsia="Arial" w:hAnsi="Arial"/>
                <w:sz w:val="13"/>
                <w:szCs w:val="13"/>
                <w:b w:val="1"/>
                <w:bCs w:val="1"/>
                <w:color w:val="auto"/>
                <w:w w:val="86"/>
              </w:rPr>
              <w:t>Stockholders'</w:t>
            </w:r>
          </w:p>
        </w:tc>
      </w:tr>
      <w:tr>
        <w:trPr>
          <w:trHeight w:val="164"/>
        </w:trPr>
        <w:tc>
          <w:tcPr>
            <w:tcW w:w="1060" w:type="dxa"/>
            <w:vAlign w:val="bottom"/>
          </w:tcPr>
          <w:p>
            <w:pPr>
              <w:jc w:val="center"/>
              <w:ind w:right="384"/>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Income</w:t>
            </w: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1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3"/>
                <w:szCs w:val="13"/>
                <w:b w:val="1"/>
                <w:bCs w:val="1"/>
                <w:color w:val="auto"/>
                <w:w w:val="90"/>
              </w:rPr>
              <w:t>Equity</w:t>
            </w:r>
          </w:p>
        </w:tc>
      </w:tr>
      <w:tr>
        <w:trPr>
          <w:trHeight w:val="29"/>
        </w:trPr>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1,065,835</w:t>
            </w: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(153,791)</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912,879</w:t>
            </w:r>
          </w:p>
        </w:tc>
      </w:tr>
      <w:tr>
        <w:trPr>
          <w:trHeight w:val="432"/>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4,459</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4,459</w:t>
            </w:r>
          </w:p>
        </w:tc>
      </w:tr>
      <w:tr>
        <w:trPr>
          <w:trHeight w:val="243"/>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33</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46,545</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46,545</w:t>
            </w:r>
          </w:p>
        </w:tc>
      </w:tr>
      <w:tr>
        <w:trPr>
          <w:trHeight w:val="432"/>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56"/>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(5,484)</w:t>
            </w:r>
          </w:p>
        </w:tc>
      </w:tr>
      <w:tr>
        <w:trPr>
          <w:trHeight w:val="237"/>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1,116,872</w:t>
            </w: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(159,275)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957,412</w:t>
            </w:r>
          </w:p>
        </w:tc>
      </w:tr>
      <w:tr>
        <w:trPr>
          <w:trHeight w:val="27"/>
        </w:trPr>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758"/>
        </w:trPr>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8"/>
        </w:trPr>
        <w:tc>
          <w:tcPr>
            <w:tcW w:w="1060" w:type="dxa"/>
            <w:vAlign w:val="bottom"/>
          </w:tcPr>
          <w:p>
            <w:pPr>
              <w:jc w:val="center"/>
              <w:ind w:right="424"/>
              <w:spacing w:after="0"/>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44"/>
              <w:spacing w:after="0"/>
              <w:rPr>
                <w:sz w:val="20"/>
                <w:szCs w:val="20"/>
                <w:color w:val="auto"/>
              </w:rPr>
            </w:pPr>
            <w:r>
              <w:rPr>
                <w:rFonts w:ascii="Arial" w:cs="Arial" w:eastAsia="Arial" w:hAnsi="Arial"/>
                <w:sz w:val="13"/>
                <w:szCs w:val="13"/>
                <w:b w:val="1"/>
                <w:bCs w:val="1"/>
                <w:color w:val="auto"/>
                <w:w w:val="83"/>
              </w:rPr>
              <w:t>Total</w:t>
            </w:r>
          </w:p>
        </w:tc>
      </w:tr>
      <w:tr>
        <w:trPr>
          <w:trHeight w:val="148"/>
        </w:trPr>
        <w:tc>
          <w:tcPr>
            <w:tcW w:w="1060" w:type="dxa"/>
            <w:vAlign w:val="bottom"/>
          </w:tcPr>
          <w:p>
            <w:pPr>
              <w:jc w:val="center"/>
              <w:ind w:right="424"/>
              <w:spacing w:after="0"/>
              <w:rPr>
                <w:sz w:val="20"/>
                <w:szCs w:val="20"/>
                <w:color w:val="auto"/>
              </w:rPr>
            </w:pPr>
            <w:r>
              <w:rPr>
                <w:rFonts w:ascii="Arial" w:cs="Arial" w:eastAsia="Arial" w:hAnsi="Arial"/>
                <w:sz w:val="13"/>
                <w:szCs w:val="13"/>
                <w:b w:val="1"/>
                <w:bCs w:val="1"/>
                <w:color w:val="auto"/>
                <w:w w:val="92"/>
              </w:rPr>
              <w:t>Paid-in</w:t>
            </w:r>
          </w:p>
        </w:tc>
        <w:tc>
          <w:tcPr>
            <w:tcW w:w="14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4"/>
              </w:rPr>
              <w:t>Comprehensive (Loss)</w:t>
            </w:r>
          </w:p>
        </w:tc>
        <w:tc>
          <w:tcPr>
            <w:tcW w:w="18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2"/>
                <w:szCs w:val="12"/>
                <w:color w:val="auto"/>
              </w:rPr>
            </w:pPr>
          </w:p>
        </w:tc>
        <w:tc>
          <w:tcPr>
            <w:tcW w:w="1120" w:type="dxa"/>
            <w:vAlign w:val="bottom"/>
          </w:tcPr>
          <w:p>
            <w:pPr>
              <w:jc w:val="center"/>
              <w:ind w:right="144"/>
              <w:spacing w:after="0"/>
              <w:rPr>
                <w:sz w:val="20"/>
                <w:szCs w:val="20"/>
                <w:color w:val="auto"/>
              </w:rPr>
            </w:pPr>
            <w:r>
              <w:rPr>
                <w:rFonts w:ascii="Arial" w:cs="Arial" w:eastAsia="Arial" w:hAnsi="Arial"/>
                <w:sz w:val="13"/>
                <w:szCs w:val="13"/>
                <w:b w:val="1"/>
                <w:bCs w:val="1"/>
                <w:color w:val="auto"/>
                <w:w w:val="86"/>
              </w:rPr>
              <w:t>Stockholders'</w:t>
            </w:r>
          </w:p>
        </w:tc>
      </w:tr>
      <w:tr>
        <w:trPr>
          <w:trHeight w:val="164"/>
        </w:trPr>
        <w:tc>
          <w:tcPr>
            <w:tcW w:w="1060" w:type="dxa"/>
            <w:vAlign w:val="bottom"/>
          </w:tcPr>
          <w:p>
            <w:pPr>
              <w:jc w:val="center"/>
              <w:ind w:right="384"/>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Income</w:t>
            </w:r>
          </w:p>
        </w:tc>
        <w:tc>
          <w:tcPr>
            <w:tcW w:w="18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Deficit</w:t>
            </w:r>
          </w:p>
        </w:tc>
        <w:tc>
          <w:tcPr>
            <w:tcW w:w="180" w:type="dxa"/>
            <w:vAlign w:val="bottom"/>
          </w:tcPr>
          <w:p>
            <w:pPr>
              <w:spacing w:after="0"/>
              <w:rPr>
                <w:sz w:val="14"/>
                <w:szCs w:val="14"/>
                <w:color w:val="auto"/>
              </w:rPr>
            </w:pPr>
          </w:p>
        </w:tc>
        <w:tc>
          <w:tcPr>
            <w:tcW w:w="1120" w:type="dxa"/>
            <w:vAlign w:val="bottom"/>
          </w:tcPr>
          <w:p>
            <w:pPr>
              <w:jc w:val="center"/>
              <w:ind w:right="124"/>
              <w:spacing w:after="0"/>
              <w:rPr>
                <w:sz w:val="20"/>
                <w:szCs w:val="20"/>
                <w:color w:val="auto"/>
              </w:rPr>
            </w:pPr>
            <w:r>
              <w:rPr>
                <w:rFonts w:ascii="Arial" w:cs="Arial" w:eastAsia="Arial" w:hAnsi="Arial"/>
                <w:sz w:val="13"/>
                <w:szCs w:val="13"/>
                <w:b w:val="1"/>
                <w:bCs w:val="1"/>
                <w:color w:val="auto"/>
                <w:w w:val="90"/>
              </w:rPr>
              <w:t>Equity</w:t>
            </w:r>
          </w:p>
        </w:tc>
      </w:tr>
      <w:tr>
        <w:trPr>
          <w:trHeight w:val="30"/>
        </w:trPr>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1,027,656</w:t>
            </w: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(116,853)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912,871</w:t>
            </w:r>
          </w:p>
        </w:tc>
      </w:tr>
      <w:tr>
        <w:trPr>
          <w:trHeight w:val="432"/>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5,156</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5,156</w:t>
            </w:r>
          </w:p>
        </w:tc>
      </w:tr>
      <w:tr>
        <w:trPr>
          <w:trHeight w:val="243"/>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56"/>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21,936</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21,936</w:t>
            </w:r>
          </w:p>
        </w:tc>
      </w:tr>
      <w:tr>
        <w:trPr>
          <w:trHeight w:val="621"/>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10,500</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432"/>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56"/>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(15,150)</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(15,150)</w:t>
            </w:r>
          </w:p>
        </w:tc>
      </w:tr>
      <w:tr>
        <w:trPr>
          <w:trHeight w:val="236"/>
        </w:trPr>
        <w:tc>
          <w:tcPr>
            <w:tcW w:w="1060" w:type="dxa"/>
            <w:vAlign w:val="bottom"/>
          </w:tcPr>
          <w:p>
            <w:pPr>
              <w:jc w:val="right"/>
              <w:ind w:right="104"/>
              <w:spacing w:after="0"/>
              <w:rPr>
                <w:sz w:val="20"/>
                <w:szCs w:val="20"/>
                <w:color w:val="auto"/>
              </w:rPr>
            </w:pPr>
            <w:r>
              <w:rPr>
                <w:rFonts w:ascii="Arial" w:cs="Arial" w:eastAsia="Arial" w:hAnsi="Arial"/>
                <w:sz w:val="16"/>
                <w:szCs w:val="16"/>
                <w:color w:val="auto"/>
              </w:rPr>
              <w:t>1,065,543</w:t>
            </w: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936,188</w:t>
            </w:r>
          </w:p>
        </w:tc>
      </w:tr>
      <w:tr>
        <w:trPr>
          <w:trHeight w:val="27"/>
        </w:trPr>
        <w:tc>
          <w:tcPr>
            <w:tcW w:w="1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-2750820</wp:posOffset>
            </wp:positionV>
            <wp:extent cx="831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-2725420</wp:posOffset>
            </wp:positionV>
            <wp:extent cx="831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-2914015</wp:posOffset>
            </wp:positionV>
            <wp:extent cx="831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-2021205</wp:posOffset>
            </wp:positionH>
            <wp:positionV relativeFrom="paragraph">
              <wp:posOffset>-1482090</wp:posOffset>
            </wp:positionV>
            <wp:extent cx="53232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23205" cy="15430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-7620</wp:posOffset>
            </wp:positionV>
            <wp:extent cx="831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260"/>
            <w:col w:w="520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2380" w:type="dxa"/>
            <w:vAlign w:val="bottom"/>
            <w:gridSpan w:val="3"/>
            <w:vMerge w:val="restart"/>
          </w:tcPr>
          <w:p>
            <w:pPr>
              <w:jc w:val="right"/>
              <w:ind w:right="405"/>
              <w:spacing w:after="0"/>
              <w:rPr>
                <w:sz w:val="20"/>
                <w:szCs w:val="20"/>
                <w:color w:val="auto"/>
              </w:rPr>
            </w:pPr>
            <w:r>
              <w:rPr>
                <w:rFonts w:ascii="Arial" w:cs="Arial" w:eastAsia="Arial" w:hAnsi="Arial"/>
                <w:sz w:val="13"/>
                <w:szCs w:val="13"/>
                <w:b w:val="1"/>
                <w:bCs w:val="1"/>
                <w:color w:val="auto"/>
              </w:rPr>
              <w:t>Class A and Class B</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7"/>
                <w:szCs w:val="7"/>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380" w:type="dxa"/>
            <w:vAlign w:val="bottom"/>
            <w:gridSpan w:val="3"/>
            <w:vMerge w:val="restart"/>
          </w:tcPr>
          <w:p>
            <w:pPr>
              <w:jc w:val="right"/>
              <w:ind w:right="545"/>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86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2"/>
            <w:vMerge w:val="restart"/>
          </w:tcPr>
          <w:p>
            <w:pPr>
              <w:jc w:val="center"/>
              <w:ind w:right="360"/>
              <w:spacing w:after="0" w:line="106" w:lineRule="exact"/>
              <w:rPr>
                <w:sz w:val="20"/>
                <w:szCs w:val="20"/>
                <w:color w:val="auto"/>
              </w:rPr>
            </w:pPr>
            <w:r>
              <w:rPr>
                <w:rFonts w:ascii="Arial" w:cs="Arial" w:eastAsia="Arial" w:hAnsi="Arial"/>
                <w:sz w:val="12"/>
                <w:szCs w:val="12"/>
                <w:b w:val="1"/>
                <w:bCs w:val="1"/>
                <w:color w:val="auto"/>
                <w:w w:val="94"/>
              </w:rPr>
              <w:t>Paid-in</w:t>
            </w:r>
          </w:p>
        </w:tc>
        <w:tc>
          <w:tcPr>
            <w:tcW w:w="1420" w:type="dxa"/>
            <w:vAlign w:val="bottom"/>
            <w:gridSpan w:val="3"/>
            <w:vMerge w:val="restart"/>
          </w:tcPr>
          <w:p>
            <w:pPr>
              <w:jc w:val="center"/>
              <w:ind w:right="120"/>
              <w:spacing w:after="0" w:line="106" w:lineRule="exact"/>
              <w:rPr>
                <w:sz w:val="20"/>
                <w:szCs w:val="20"/>
                <w:color w:val="auto"/>
              </w:rPr>
            </w:pPr>
            <w:r>
              <w:rPr>
                <w:rFonts w:ascii="Arial" w:cs="Arial" w:eastAsia="Arial" w:hAnsi="Arial"/>
                <w:sz w:val="12"/>
                <w:szCs w:val="12"/>
                <w:b w:val="1"/>
                <w:bCs w:val="1"/>
                <w:color w:val="auto"/>
                <w:w w:val="91"/>
              </w:rPr>
              <w:t>Comprehensive (Loss)</w:t>
            </w:r>
          </w:p>
        </w:tc>
        <w:tc>
          <w:tcPr>
            <w:tcW w:w="200" w:type="dxa"/>
            <w:vAlign w:val="bottom"/>
          </w:tcPr>
          <w:p>
            <w:pPr>
              <w:spacing w:after="0"/>
              <w:rPr>
                <w:sz w:val="8"/>
                <w:szCs w:val="8"/>
                <w:color w:val="auto"/>
              </w:rPr>
            </w:pPr>
          </w:p>
        </w:tc>
        <w:tc>
          <w:tcPr>
            <w:tcW w:w="1220" w:type="dxa"/>
            <w:vAlign w:val="bottom"/>
            <w:gridSpan w:val="2"/>
            <w:vMerge w:val="restart"/>
          </w:tcPr>
          <w:p>
            <w:pPr>
              <w:jc w:val="center"/>
              <w:ind w:right="3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300" w:type="dxa"/>
            <w:vAlign w:val="bottom"/>
          </w:tcPr>
          <w:p>
            <w:pPr>
              <w:spacing w:after="0"/>
              <w:rPr>
                <w:sz w:val="8"/>
                <w:szCs w:val="8"/>
                <w:color w:val="auto"/>
              </w:rPr>
            </w:pPr>
          </w:p>
        </w:tc>
        <w:tc>
          <w:tcPr>
            <w:tcW w:w="1000" w:type="dxa"/>
            <w:vAlign w:val="bottom"/>
            <w:vMerge w:val="restart"/>
          </w:tcPr>
          <w:p>
            <w:pPr>
              <w:jc w:val="right"/>
              <w:ind w:right="441"/>
              <w:spacing w:after="0" w:line="10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25"/>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3"/>
              </w:rPr>
              <w:t>Income</w:t>
            </w: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130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w w:val="93"/>
              </w:rPr>
              <w:t>Stockholders' Equity</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305,880,063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1,103,305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957,432</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Arial" w:cs="Arial" w:eastAsia="Arial" w:hAnsi="Arial"/>
                <w:sz w:val="16"/>
                <w:szCs w:val="16"/>
                <w:color w:val="auto"/>
              </w:rPr>
              <w:t>Effect of adoption of ASU 2020-06</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(173,070)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(156,268)</w:t>
            </w:r>
          </w:p>
        </w:tc>
        <w:tc>
          <w:tcPr>
            <w:tcW w:w="0" w:type="dxa"/>
            <w:vAlign w:val="bottom"/>
          </w:tcPr>
          <w:p>
            <w:pPr>
              <w:spacing w:after="0"/>
              <w:rPr>
                <w:sz w:val="1"/>
                <w:szCs w:val="1"/>
                <w:color w:val="auto"/>
              </w:rPr>
            </w:pP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BALANCE—January 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305,880,063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930,235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(131,361)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801,164</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4,246,592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10,676</w:t>
            </w:r>
          </w:p>
        </w:tc>
        <w:tc>
          <w:tcPr>
            <w:tcW w:w="0" w:type="dxa"/>
            <w:vAlign w:val="bottom"/>
          </w:tcPr>
          <w:p>
            <w:pPr>
              <w:spacing w:after="0"/>
              <w:rPr>
                <w:sz w:val="1"/>
                <w:szCs w:val="1"/>
                <w:color w:val="auto"/>
              </w:rPr>
            </w:pPr>
          </w:p>
        </w:tc>
      </w:tr>
      <w:tr>
        <w:trPr>
          <w:trHeight w:val="25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1,133,572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Issuance of restricted shares of common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from acquisitions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501,583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51,501</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180"/>
              <w:spacing w:after="0"/>
              <w:rPr>
                <w:sz w:val="20"/>
                <w:szCs w:val="20"/>
                <w:color w:val="auto"/>
              </w:rPr>
            </w:pPr>
            <w:r>
              <w:rPr>
                <w:rFonts w:ascii="Arial" w:cs="Arial" w:eastAsia="Arial" w:hAnsi="Arial"/>
                <w:sz w:val="16"/>
                <w:szCs w:val="16"/>
                <w:color w:val="auto"/>
              </w:rPr>
              <w:t>Employee Stock Purchase Plan</w:t>
            </w:r>
          </w:p>
        </w:tc>
        <w:tc>
          <w:tcPr>
            <w:tcW w:w="1300" w:type="dxa"/>
            <w:vAlign w:val="bottom"/>
          </w:tcPr>
          <w:p>
            <w:pPr>
              <w:jc w:val="right"/>
              <w:spacing w:after="0"/>
              <w:rPr>
                <w:sz w:val="20"/>
                <w:szCs w:val="20"/>
                <w:color w:val="auto"/>
              </w:rPr>
            </w:pPr>
            <w:r>
              <w:rPr>
                <w:rFonts w:ascii="Arial" w:cs="Arial" w:eastAsia="Arial" w:hAnsi="Arial"/>
                <w:sz w:val="16"/>
                <w:szCs w:val="16"/>
                <w:color w:val="auto"/>
              </w:rPr>
              <w:t>139,649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9,794</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114,133</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6"/>
                <w:szCs w:val="16"/>
                <w:color w:val="auto"/>
              </w:rPr>
              <w:t>comprehensive (loss)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(27,914)</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BALANCE—September 30,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311,901,459</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1,116,872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(159,275)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957,412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2360" w:type="dxa"/>
            <w:vAlign w:val="bottom"/>
            <w:gridSpan w:val="3"/>
            <w:vMerge w:val="restart"/>
          </w:tcPr>
          <w:p>
            <w:pPr>
              <w:jc w:val="right"/>
              <w:ind w:right="405"/>
              <w:spacing w:after="0"/>
              <w:rPr>
                <w:sz w:val="20"/>
                <w:szCs w:val="20"/>
                <w:color w:val="auto"/>
              </w:rPr>
            </w:pPr>
            <w:r>
              <w:rPr>
                <w:rFonts w:ascii="Arial" w:cs="Arial" w:eastAsia="Arial" w:hAnsi="Arial"/>
                <w:sz w:val="13"/>
                <w:szCs w:val="13"/>
                <w:b w:val="1"/>
                <w:bCs w:val="1"/>
                <w:color w:val="auto"/>
              </w:rPr>
              <w:t>Class A and Class B</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6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7"/>
                <w:szCs w:val="7"/>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vMerge w:val="restart"/>
          </w:tcPr>
          <w:p>
            <w:pPr>
              <w:jc w:val="center"/>
              <w:ind w:right="12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2360" w:type="dxa"/>
            <w:vAlign w:val="bottom"/>
            <w:gridSpan w:val="3"/>
            <w:vMerge w:val="restart"/>
          </w:tcPr>
          <w:p>
            <w:pPr>
              <w:jc w:val="right"/>
              <w:ind w:right="525"/>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96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2"/>
            <w:vMerge w:val="restart"/>
          </w:tcPr>
          <w:p>
            <w:pPr>
              <w:jc w:val="center"/>
              <w:ind w:right="360"/>
              <w:spacing w:after="0" w:line="106" w:lineRule="exact"/>
              <w:rPr>
                <w:sz w:val="20"/>
                <w:szCs w:val="20"/>
                <w:color w:val="auto"/>
              </w:rPr>
            </w:pPr>
            <w:r>
              <w:rPr>
                <w:rFonts w:ascii="Arial" w:cs="Arial" w:eastAsia="Arial" w:hAnsi="Arial"/>
                <w:sz w:val="12"/>
                <w:szCs w:val="12"/>
                <w:b w:val="1"/>
                <w:bCs w:val="1"/>
                <w:color w:val="auto"/>
                <w:w w:val="94"/>
              </w:rPr>
              <w:t>Paid-in</w:t>
            </w:r>
          </w:p>
        </w:tc>
        <w:tc>
          <w:tcPr>
            <w:tcW w:w="1420" w:type="dxa"/>
            <w:vAlign w:val="bottom"/>
            <w:gridSpan w:val="3"/>
            <w:vMerge w:val="restart"/>
          </w:tcPr>
          <w:p>
            <w:pPr>
              <w:jc w:val="center"/>
              <w:ind w:right="100"/>
              <w:spacing w:after="0" w:line="106" w:lineRule="exact"/>
              <w:rPr>
                <w:sz w:val="20"/>
                <w:szCs w:val="20"/>
                <w:color w:val="auto"/>
              </w:rPr>
            </w:pPr>
            <w:r>
              <w:rPr>
                <w:rFonts w:ascii="Arial" w:cs="Arial" w:eastAsia="Arial" w:hAnsi="Arial"/>
                <w:sz w:val="12"/>
                <w:szCs w:val="12"/>
                <w:b w:val="1"/>
                <w:bCs w:val="1"/>
                <w:color w:val="auto"/>
                <w:w w:val="92"/>
              </w:rPr>
              <w:t>Comprehensive (Loss)</w:t>
            </w:r>
          </w:p>
        </w:tc>
        <w:tc>
          <w:tcPr>
            <w:tcW w:w="180" w:type="dxa"/>
            <w:vAlign w:val="bottom"/>
          </w:tcPr>
          <w:p>
            <w:pPr>
              <w:spacing w:after="0"/>
              <w:rPr>
                <w:sz w:val="8"/>
                <w:szCs w:val="8"/>
                <w:color w:val="auto"/>
              </w:rPr>
            </w:pPr>
          </w:p>
        </w:tc>
        <w:tc>
          <w:tcPr>
            <w:tcW w:w="1160" w:type="dxa"/>
            <w:vAlign w:val="bottom"/>
            <w:gridSpan w:val="2"/>
            <w:vMerge w:val="restart"/>
          </w:tcPr>
          <w:p>
            <w:pPr>
              <w:ind w:left="80"/>
              <w:spacing w:after="0" w:line="106"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8"/>
                <w:szCs w:val="8"/>
                <w:color w:val="auto"/>
              </w:rPr>
            </w:pPr>
          </w:p>
        </w:tc>
        <w:tc>
          <w:tcPr>
            <w:tcW w:w="1120" w:type="dxa"/>
            <w:vAlign w:val="bottom"/>
            <w:vMerge w:val="restart"/>
          </w:tcPr>
          <w:p>
            <w:pPr>
              <w:jc w:val="center"/>
              <w:ind w:right="103"/>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30"/>
        </w:trPr>
        <w:tc>
          <w:tcPr>
            <w:tcW w:w="29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60" w:type="dxa"/>
            <w:vAlign w:val="bottom"/>
          </w:tcPr>
          <w:p>
            <w:pPr>
              <w:spacing w:after="0"/>
              <w:rPr>
                <w:sz w:val="14"/>
                <w:szCs w:val="14"/>
                <w:color w:val="auto"/>
              </w:rPr>
            </w:pPr>
          </w:p>
        </w:tc>
        <w:tc>
          <w:tcPr>
            <w:tcW w:w="1400" w:type="dxa"/>
            <w:vAlign w:val="bottom"/>
            <w:gridSpan w:val="2"/>
          </w:tcPr>
          <w:p>
            <w:pPr>
              <w:ind w:left="46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5"/>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Income</w:t>
            </w:r>
          </w:p>
        </w:tc>
        <w:tc>
          <w:tcPr>
            <w:tcW w:w="18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30"/>
        </w:trPr>
        <w:tc>
          <w:tcPr>
            <w:tcW w:w="29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296,386,950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905,821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782,341</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w w:val="99"/>
              </w:rPr>
              <w:t>Issuance of common stock upon exercise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7,555,561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12,391</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8,234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shares of common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from acquisition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120,992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5,169</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rPr>
              <w:t>Issuance of common stock under the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60" w:type="dxa"/>
            <w:vAlign w:val="bottom"/>
          </w:tcPr>
          <w:p>
            <w:pPr>
              <w:ind w:left="180"/>
              <w:spacing w:after="0"/>
              <w:rPr>
                <w:sz w:val="20"/>
                <w:szCs w:val="20"/>
                <w:color w:val="auto"/>
              </w:rPr>
            </w:pPr>
            <w:r>
              <w:rPr>
                <w:rFonts w:ascii="Arial" w:cs="Arial" w:eastAsia="Arial" w:hAnsi="Arial"/>
                <w:sz w:val="16"/>
                <w:szCs w:val="16"/>
                <w:color w:val="auto"/>
              </w:rPr>
              <w:t>Employee Stock Purchase Plan, net of</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6"/>
                <w:szCs w:val="16"/>
                <w:color w:val="auto"/>
              </w:rPr>
              <w:t>shares withheld for taxes</w:t>
            </w:r>
          </w:p>
        </w:tc>
        <w:tc>
          <w:tcPr>
            <w:tcW w:w="1300" w:type="dxa"/>
            <w:vAlign w:val="bottom"/>
          </w:tcPr>
          <w:p>
            <w:pPr>
              <w:jc w:val="right"/>
              <w:spacing w:after="0"/>
              <w:rPr>
                <w:sz w:val="20"/>
                <w:szCs w:val="20"/>
                <w:color w:val="auto"/>
              </w:rPr>
            </w:pPr>
            <w:r>
              <w:rPr>
                <w:rFonts w:ascii="Arial" w:cs="Arial" w:eastAsia="Arial" w:hAnsi="Arial"/>
                <w:sz w:val="16"/>
                <w:szCs w:val="16"/>
                <w:color w:val="auto"/>
              </w:rPr>
              <w:t>320,104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51,131</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rPr>
              <w:t>Equity component of 2025 Convertible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6"/>
                <w:szCs w:val="16"/>
                <w:color w:val="auto"/>
              </w:rPr>
              <w:t>Senior Notes, net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173,070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173,070</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Purchases of capped calls related to 2025</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Convertible Senior Notes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(89,625)</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6"/>
                <w:szCs w:val="16"/>
                <w:color w:val="auto"/>
              </w:rPr>
              <w:t>comprehensive income</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BALANCE—September 30,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304,391,841</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1,065,543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(132,003)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936,188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60" w:type="dxa"/>
            <w:vAlign w:val="bottom"/>
          </w:tcPr>
          <w:p>
            <w:pPr>
              <w:spacing w:after="0"/>
              <w:rPr>
                <w:sz w:val="14"/>
                <w:szCs w:val="14"/>
                <w:color w:val="auto"/>
              </w:rPr>
            </w:pPr>
          </w:p>
        </w:tc>
        <w:tc>
          <w:tcPr>
            <w:tcW w:w="2720" w:type="dxa"/>
            <w:vAlign w:val="bottom"/>
            <w:gridSpan w:val="5"/>
          </w:tcPr>
          <w:p>
            <w:pPr>
              <w:jc w:val="right"/>
              <w:ind w:right="357"/>
              <w:spacing w:after="0"/>
              <w:rPr>
                <w:sz w:val="20"/>
                <w:szCs w:val="20"/>
                <w:color w:val="auto"/>
              </w:rPr>
            </w:pPr>
            <w:r>
              <w:rPr>
                <w:rFonts w:ascii="Arial" w:cs="Arial" w:eastAsia="Arial" w:hAnsi="Arial"/>
                <w:sz w:val="13"/>
                <w:szCs w:val="13"/>
                <w:b w:val="1"/>
                <w:bCs w:val="1"/>
                <w:color w:val="auto"/>
              </w:rPr>
              <w:t>Nine Months Ended September 30,</w:t>
            </w:r>
          </w:p>
        </w:tc>
      </w:tr>
      <w:tr>
        <w:trPr>
          <w:trHeight w:val="29"/>
        </w:trPr>
        <w:tc>
          <w:tcPr>
            <w:tcW w:w="8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Arial" w:cs="Arial" w:eastAsia="Arial" w:hAnsi="Arial"/>
                <w:sz w:val="13"/>
                <w:szCs w:val="13"/>
                <w:b w:val="1"/>
                <w:bCs w:val="1"/>
                <w:color w:val="auto"/>
              </w:rPr>
              <w:t>2020</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Net loss</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(27,914)</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(8,387)</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11,367</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discounts or premiums on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11,829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5,344</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Amortization of issuance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10,546</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deferred contract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7,348</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Stock-based compensation, net of amounts capitalized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107,371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49,610</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Non-cash lease expense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12,605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10,004</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Allowance for credit losses on accounts receivable</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2,656</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Changes in operating assets and liabilities: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(61,880)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(21,253)</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(27,610)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(15,804)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(6,821)</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(605)</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6,406</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19,226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6,884</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94,865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27,964</w:t>
            </w:r>
          </w:p>
        </w:tc>
      </w:tr>
      <w:tr>
        <w:trPr>
          <w:trHeight w:val="167"/>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170,752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85,263</w:t>
            </w:r>
          </w:p>
        </w:tc>
      </w:tr>
      <w:tr>
        <w:trPr>
          <w:trHeight w:val="29"/>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(897,412)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(1,477,063)</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Maturities of marketable securities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935,692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268,500</w:t>
            </w:r>
          </w:p>
        </w:tc>
      </w:tr>
      <w:tr>
        <w:trPr>
          <w:trHeight w:val="29"/>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sale of marketable securities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61,132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85,700</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(4,336)</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(19,364)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(14,371)</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Cash paid for acquisition of businesses; net of cash acquired</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(200,202)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(2,363)</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7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6"/>
              </w:rPr>
              <w:t>(127,705)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(1,143,933)</w:t>
            </w:r>
          </w:p>
        </w:tc>
      </w:tr>
      <w:tr>
        <w:trPr>
          <w:trHeight w:val="88"/>
        </w:trPr>
        <w:tc>
          <w:tcPr>
            <w:tcW w:w="83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182"/>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12,354</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Initial public offering costs</w:t>
            </w:r>
          </w:p>
        </w:tc>
        <w:tc>
          <w:tcPr>
            <w:tcW w:w="7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(421)</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7,680</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Employee payroll taxes paid related to net share settlement under the employee stock purchase plan</w:t>
            </w:r>
          </w:p>
        </w:tc>
        <w:tc>
          <w:tcPr>
            <w:tcW w:w="7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(977)</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issuance of convertible senior notes, net of issuance costs</w:t>
            </w:r>
          </w:p>
        </w:tc>
        <w:tc>
          <w:tcPr>
            <w:tcW w:w="7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730,207</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 of capped call related to convertible senior notes</w:t>
            </w:r>
          </w:p>
        </w:tc>
        <w:tc>
          <w:tcPr>
            <w:tcW w:w="7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(89,625)</w:t>
            </w:r>
          </w:p>
        </w:tc>
      </w:tr>
      <w:tr>
        <w:trPr>
          <w:trHeight w:val="167"/>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financing activities</w:t>
            </w:r>
          </w:p>
        </w:tc>
        <w:tc>
          <w:tcPr>
            <w:tcW w:w="7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20,200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659,218</w:t>
            </w:r>
          </w:p>
        </w:tc>
      </w:tr>
      <w:tr>
        <w:trPr>
          <w:trHeight w:val="30"/>
        </w:trPr>
        <w:tc>
          <w:tcPr>
            <w:tcW w:w="8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2"/>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3"/>
        </w:trPr>
        <w:tc>
          <w:tcPr>
            <w:tcW w:w="836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393</w:t>
            </w:r>
          </w:p>
        </w:tc>
      </w:tr>
      <w:tr>
        <w:trPr>
          <w:trHeight w:val="30"/>
        </w:trPr>
        <w:tc>
          <w:tcPr>
            <w:tcW w:w="8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49"/>
        </w:trPr>
        <w:tc>
          <w:tcPr>
            <w:tcW w:w="8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bl>
    <w:p>
      <w:pPr>
        <w:spacing w:after="0" w:line="13" w:lineRule="exact"/>
        <w:rPr>
          <w:sz w:val="20"/>
          <w:szCs w:val="20"/>
          <w:color w:val="auto"/>
        </w:rPr>
      </w:pPr>
    </w:p>
    <w:p>
      <w:pPr>
        <w:sectPr>
          <w:pgSz w:w="11900" w:h="16838" w:orient="portrait"/>
          <w:cols w:equalWidth="0" w:num="1">
            <w:col w:w="11080"/>
          </w:cols>
          <w:pgMar w:left="320" w:top="378" w:right="499" w:bottom="1440" w:gutter="0" w:footer="0" w:header="0"/>
        </w:sectPr>
      </w:pPr>
    </w:p>
    <w:p>
      <w:pPr>
        <w:ind w:left="20" w:right="2660"/>
        <w:spacing w:after="0" w:line="387" w:lineRule="auto"/>
        <w:rPr>
          <w:sz w:val="20"/>
          <w:szCs w:val="20"/>
          <w:color w:val="auto"/>
        </w:rPr>
      </w:pPr>
      <w:r>
        <w:rPr>
          <w:rFonts w:ascii="Arial" w:cs="Arial" w:eastAsia="Arial" w:hAnsi="Arial"/>
          <w:sz w:val="12"/>
          <w:szCs w:val="12"/>
          <w:color w:val="auto"/>
        </w:rPr>
        <w:t>NET INCREASE (DECREASE)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02945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02945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61,827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center"/>
              <w:ind w:left="277"/>
              <w:spacing w:after="0"/>
              <w:rPr>
                <w:sz w:val="20"/>
                <w:szCs w:val="20"/>
                <w:color w:val="auto"/>
              </w:rPr>
            </w:pPr>
            <w:r>
              <w:rPr>
                <w:rFonts w:ascii="Arial" w:cs="Arial" w:eastAsia="Arial" w:hAnsi="Arial"/>
                <w:sz w:val="13"/>
                <w:szCs w:val="13"/>
                <w:color w:val="auto"/>
                <w:w w:val="89"/>
              </w:rPr>
              <w:t>(399,059)</w:t>
            </w:r>
          </w:p>
        </w:tc>
      </w:tr>
      <w:tr>
        <w:trPr>
          <w:trHeight w:val="203"/>
        </w:trPr>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228,711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center"/>
              <w:ind w:left="297"/>
              <w:spacing w:after="0"/>
              <w:rPr>
                <w:sz w:val="20"/>
                <w:szCs w:val="20"/>
                <w:color w:val="auto"/>
              </w:rPr>
            </w:pPr>
            <w:r>
              <w:rPr>
                <w:rFonts w:ascii="Arial" w:cs="Arial" w:eastAsia="Arial" w:hAnsi="Arial"/>
                <w:sz w:val="13"/>
                <w:szCs w:val="13"/>
                <w:color w:val="auto"/>
                <w:w w:val="85"/>
              </w:rPr>
              <w:t>601,189</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290,538</w:t>
            </w:r>
          </w:p>
        </w:tc>
        <w:tc>
          <w:tcPr>
            <w:tcW w:w="100" w:type="dxa"/>
            <w:vAlign w:val="bottom"/>
          </w:tcPr>
          <w:p>
            <w:pPr>
              <w:spacing w:after="0"/>
              <w:rPr>
                <w:sz w:val="14"/>
                <w:szCs w:val="14"/>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center"/>
              <w:ind w:left="297"/>
              <w:spacing w:after="0"/>
              <w:rPr>
                <w:sz w:val="20"/>
                <w:szCs w:val="20"/>
                <w:color w:val="auto"/>
              </w:rPr>
            </w:pPr>
            <w:r>
              <w:rPr>
                <w:rFonts w:ascii="Arial" w:cs="Arial" w:eastAsia="Arial" w:hAnsi="Arial"/>
                <w:sz w:val="13"/>
                <w:szCs w:val="13"/>
                <w:color w:val="auto"/>
                <w:w w:val="85"/>
              </w:rPr>
              <w:t>202,130</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7640" w:space="720"/>
            <w:col w:w="2720"/>
          </w:cols>
          <w:pgMar w:left="320" w:top="378" w:right="49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69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paid for income taxes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939</w:t>
            </w:r>
          </w:p>
        </w:tc>
        <w:tc>
          <w:tcPr>
            <w:tcW w:w="60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186</w:t>
            </w:r>
          </w:p>
        </w:tc>
      </w:tr>
      <w:tr>
        <w:trPr>
          <w:trHeight w:val="108"/>
        </w:trPr>
        <w:tc>
          <w:tcPr>
            <w:tcW w:w="69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9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Accrued property and equipment purchases</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1,250</w:t>
            </w:r>
          </w:p>
        </w:tc>
        <w:tc>
          <w:tcPr>
            <w:tcW w:w="60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315</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6,762</w:t>
            </w:r>
          </w:p>
        </w:tc>
        <w:tc>
          <w:tcPr>
            <w:tcW w:w="60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1,521</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Vesting of early exercised options</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533</w:t>
            </w:r>
          </w:p>
        </w:tc>
        <w:tc>
          <w:tcPr>
            <w:tcW w:w="60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883</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51,501</w:t>
            </w:r>
          </w:p>
        </w:tc>
        <w:tc>
          <w:tcPr>
            <w:tcW w:w="60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5,169</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Acquisition holdback</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1,195</w:t>
            </w:r>
          </w:p>
        </w:tc>
        <w:tc>
          <w:tcPr>
            <w:tcW w:w="60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1,500</w:t>
            </w:r>
          </w:p>
        </w:tc>
      </w:tr>
      <w:tr>
        <w:trPr>
          <w:trHeight w:val="64"/>
        </w:trPr>
        <w:tc>
          <w:tcPr>
            <w:tcW w:w="6900" w:type="dxa"/>
            <w:vAlign w:val="bottom"/>
            <w:tcBorders>
              <w:bottom w:val="single" w:sz="8" w:color="CCEEFF"/>
            </w:tcBorders>
          </w:tcPr>
          <w:p>
            <w:pPr>
              <w:spacing w:after="0"/>
              <w:rPr>
                <w:sz w:val="5"/>
                <w:szCs w:val="5"/>
                <w:color w:val="auto"/>
              </w:rPr>
            </w:pPr>
          </w:p>
        </w:tc>
        <w:tc>
          <w:tcPr>
            <w:tcW w:w="194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r>
    </w:tbl>
    <w:p>
      <w:pPr>
        <w:spacing w:after="0" w:line="9" w:lineRule="exact"/>
        <w:rPr>
          <w:sz w:val="20"/>
          <w:szCs w:val="20"/>
          <w:color w:val="auto"/>
        </w:rPr>
      </w:pPr>
    </w:p>
    <w:p>
      <w:pPr>
        <w:ind w:left="20" w:right="420"/>
        <w:spacing w:after="0" w:line="262" w:lineRule="auto"/>
        <w:rPr>
          <w:sz w:val="20"/>
          <w:szCs w:val="20"/>
          <w:color w:val="auto"/>
        </w:rPr>
      </w:pPr>
      <w:r>
        <w:rPr>
          <w:rFonts w:ascii="Arial" w:cs="Arial" w:eastAsia="Arial" w:hAnsi="Arial"/>
          <w:sz w:val="13"/>
          <w:szCs w:val="13"/>
          <w:b w:val="1"/>
          <w:bCs w:val="1"/>
          <w:color w:val="auto"/>
        </w:rPr>
        <w:t>RECONCILIATION OF CASH, CASH EQUIVALENTS AND RESTRICTED CASH WITHIN THE CONDENSED CONSOLIDATED BALANCE SHEETS TO THE AMOUNTS SHOWN IN THE STATEMENTS OF CASH FLOWS ABOVE: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286,966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198,523</w:t>
            </w:r>
          </w:p>
        </w:tc>
      </w:tr>
      <w:tr>
        <w:trPr>
          <w:trHeight w:val="173"/>
        </w:trPr>
        <w:tc>
          <w:tcPr>
            <w:tcW w:w="836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3,607</w:t>
            </w:r>
          </w:p>
        </w:tc>
      </w:tr>
      <w:tr>
        <w:trPr>
          <w:trHeight w:val="30"/>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cash, cash equivalents and restricted cash</w:t>
            </w: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290,538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202,130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80"/>
          </w:cols>
          <w:pgMar w:left="320" w:top="378" w:right="499" w:bottom="1440" w:gutter="0" w:footer="0" w:header="0"/>
          <w:type w:val="continuous"/>
        </w:sectPr>
      </w:pP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8" w:right="4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monitoring and analytics platform for developers, IT operations teams and business users in the cloud age. The Company’s SaaS platform integrates and automates infrastructure monitoring, application performance monitoring, log management and security monitoring to provide unified, real-time observability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2020, as filed with the SEC on March 1, 2021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jc w:val="both"/>
        <w:ind w:firstLine="486"/>
        <w:spacing w:after="0" w:line="243" w:lineRule="auto"/>
        <w:rPr>
          <w:sz w:val="20"/>
          <w:szCs w:val="20"/>
          <w:color w:val="auto"/>
        </w:rPr>
      </w:pPr>
      <w:r>
        <w:rPr>
          <w:rFonts w:ascii="Arial" w:cs="Arial" w:eastAsia="Arial" w:hAnsi="Arial"/>
          <w:sz w:val="18"/>
          <w:szCs w:val="18"/>
          <w:color w:val="auto"/>
        </w:rPr>
        <w:t xml:space="preserve">In August 2020, the Financial Accounting Standards Board ("FASB") issued ASU No. 2020-06, </w:t>
      </w:r>
      <w:r>
        <w:rPr>
          <w:rFonts w:ascii="Arial" w:cs="Arial" w:eastAsia="Arial" w:hAnsi="Arial"/>
          <w:sz w:val="18"/>
          <w:szCs w:val="18"/>
          <w:i w:val="1"/>
          <w:iCs w:val="1"/>
          <w:color w:val="auto"/>
        </w:rPr>
        <w:t>Accounting for Convertible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an Entity’s Own Equity </w:t>
      </w:r>
      <w:r>
        <w:rPr>
          <w:rFonts w:ascii="Arial" w:cs="Arial" w:eastAsia="Arial" w:hAnsi="Arial"/>
          <w:sz w:val="18"/>
          <w:szCs w:val="18"/>
          <w:color w:val="auto"/>
        </w:rPr>
        <w:t>(“ASU No. 2020-06”), which simplifies the accounting for certain financial instruments with characteristics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equity, including convertible instruments and contracts in an entity's own equity. Among other changes, ASU No. 2020-06 removes from GAAP the liability and equity separation model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6"/>
          <w:szCs w:val="16"/>
          <w:color w:val="auto"/>
        </w:rPr>
        <w:t>convertible instruments with a cash conversion feature, and as a result, after adoption, entities will no longer separately present in equity an embedded conversion feature for such convertible debt instruments. Similarly, the debt discount, that is equal to the carrying value of the embedded conversion feature upon issuance, will no longer be amortized into income as interest expense over the life of the instrument. Instead, entities will account for a convertible debt instrument wholly as debt unless (1) a convertible instrument contains features that require bifurcation as a derivative under ASC Topic 815, Derivatives and Hedging, or (2) a convertible debt instrument was issued at a substantial premium. Among other potential impacts, this change is expected to reduce reported interest expense, increase reported net income and result in a reclassification of certain conversion feature balance sheet amounts from stockholders’ equity to liabilities. Additionally, ASU No. 2020-06 requires the application of the if-converted method to calculate the impact of convertible instruments on diluted earnings per share and include the effect of share settlement for instruments that may be settled in cash or shares, except for certain liability-classified share-based payment awards. ASU No. 2020-06 is effective for fiscal years beginning after December 15, 2021, with early adoption permitted for fiscal years beginning after December 15, 2020 and can be adopted on either a fully retrospective or modified retrospective basis. The Company early adopted ASU No. 2020-06 on January 1, 2021, using the modified retrospective basis. Adoption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September 30, 2021 and December 31, 2020 (in thousands):</w:t>
      </w: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917,060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24,018</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67,832</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171,250</w:t>
            </w:r>
          </w:p>
        </w:tc>
      </w:tr>
      <w:tr>
        <w:trPr>
          <w:trHeight w:val="248"/>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1,180,160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9"/>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4"/>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4"/>
        </w:trPr>
        <w:tc>
          <w:tcPr>
            <w:tcW w:w="56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Commercial debt securities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47,256</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209,132</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1,292,532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September 30, 2021, the fair values of available-for-sale marketable securities, by remaining contractual maturity, were as follows (in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07"/>
        </w:trPr>
        <w:tc>
          <w:tcPr>
            <w:tcW w:w="24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30"/>
        </w:trPr>
        <w:tc>
          <w:tcPr>
            <w:tcW w:w="246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678,149</w:t>
            </w:r>
          </w:p>
        </w:tc>
      </w:tr>
      <w:tr>
        <w:trPr>
          <w:trHeight w:val="229"/>
        </w:trPr>
        <w:tc>
          <w:tcPr>
            <w:tcW w:w="2460" w:type="dxa"/>
            <w:vAlign w:val="bottom"/>
          </w:tcPr>
          <w:p>
            <w:pPr>
              <w:spacing w:after="0"/>
              <w:rPr>
                <w:sz w:val="19"/>
                <w:szCs w:val="19"/>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502,011</w:t>
            </w:r>
          </w:p>
        </w:tc>
      </w:tr>
      <w:tr>
        <w:trPr>
          <w:trHeight w:val="248"/>
        </w:trPr>
        <w:tc>
          <w:tcPr>
            <w:tcW w:w="246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1,180,160</w:t>
            </w:r>
          </w:p>
        </w:tc>
      </w:tr>
      <w:tr>
        <w:trPr>
          <w:trHeight w:val="20"/>
        </w:trPr>
        <w:tc>
          <w:tcPr>
            <w:tcW w:w="246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September 30, 2021 and December 31, 2020, and indicate the fair value hierarchy of the valuation inputs utilized to determine such fair value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4"/>
                <w:szCs w:val="14"/>
                <w:b w:val="1"/>
                <w:bCs w:val="1"/>
                <w:color w:val="auto"/>
                <w:w w:val="92"/>
              </w:rPr>
              <w:t>Fair Value Measurement as of September 30, 2021</w:t>
            </w:r>
          </w:p>
        </w:tc>
        <w:tc>
          <w:tcPr>
            <w:tcW w:w="102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259,957</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259,957</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917,060</w:t>
            </w:r>
          </w:p>
        </w:tc>
      </w:tr>
      <w:tr>
        <w:trPr>
          <w:trHeight w:val="229"/>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67,832</w:t>
            </w: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r>
      <w:tr>
        <w:trPr>
          <w:trHeight w:val="223"/>
        </w:trPr>
        <w:tc>
          <w:tcPr>
            <w:tcW w:w="5640" w:type="dxa"/>
            <w:vAlign w:val="bottom"/>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1,181,275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1,441,232</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00"/>
        </w:trPr>
        <w:tc>
          <w:tcPr>
            <w:tcW w:w="5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w w:val="92"/>
              </w:rPr>
              <w:t>Fair Value Measurement as of December 31, 2020</w:t>
            </w:r>
          </w:p>
        </w:tc>
        <w:tc>
          <w:tcPr>
            <w:tcW w:w="1020" w:type="dxa"/>
            <w:vAlign w:val="bottom"/>
            <w:tcBorders>
              <w:bottom w:val="single" w:sz="8" w:color="auto"/>
            </w:tcBorders>
          </w:tcPr>
          <w:p>
            <w:pPr>
              <w:spacing w:after="0"/>
              <w:rPr>
                <w:sz w:val="24"/>
                <w:szCs w:val="24"/>
                <w:color w:val="auto"/>
              </w:rPr>
            </w:pPr>
          </w:p>
        </w:tc>
      </w:tr>
      <w:tr>
        <w:trPr>
          <w:trHeight w:val="187"/>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8"/>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181,743</w:t>
            </w: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25,195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927,850</w:t>
            </w: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47,256</w:t>
            </w: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108,294</w:t>
            </w: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209,132</w:t>
            </w:r>
          </w:p>
        </w:tc>
      </w:tr>
      <w:tr>
        <w:trPr>
          <w:trHeight w:val="223"/>
        </w:trPr>
        <w:tc>
          <w:tcPr>
            <w:tcW w:w="5640" w:type="dxa"/>
            <w:vAlign w:val="bottom"/>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181,743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1,317,727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1,499,470</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classifies its highly liquid money market funds within Level 1 of the fair value hierarchy because they are valued based on quoted market prices in active markets. The Company classifies its commercial paper, corporate debt securities, certificates of deposit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48,502</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82,718</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 was approximately $4.7 million and $13.1 million for the three and nine months ended September 30, 2021, respectively. Depreciation and amortization expense was approximately $3.7 million and $10.7 million for the three and nine months ended September 30,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April 2021, the Company entered into a Stock Purchase Agreement whereby the Company acquired all of the issued and outstanding shares of a SaaS based security platform company. The consideration was approximately $219.4 million, comprising cash and Class A common stock.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accordingly, the total fair value of the purchase consideration was allocated to the tangible and intangible assets acquired and liabilities assumed based on their estimated fair values on the acquisition date. The total preliminary purchase price allocated to intangible assets and goodwill was $12.0 million and $204.3 million, respectively. The resulting goodwill is not deductible for income tax purposes. Intangible assets consisted of developed technology in the amount of $8.7 million and customer relationships in the amount of $3.3 million. The useful life for developed technology and customer relationships are three and four years, respectively. Additionally, there was a one-time severance charge of $1.3 million recorded on the acquisition date.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Goodwill resulted primarily from the expectation of enhancing the Company's current application security tools. Pro forma results of operations for this acquisition have not been presented because they were not material to the condensed consolidated results of operations.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February 2021, the Company entered into a Stock Purchase Agreement whereby the Company acquired all of the issued and outstanding shares of a target company with the purchase price paid in cash and Class A common stock. The acquisition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purchase price was allocated to intangible assets in the amount of $1.7 million and goodwill in the amount of $34.3 million based on the respective estimated fair values. Goodwill resulted primarily from the expectation of enhancing the Company's current observability tools. The resulting goodwill is not deductible for income tax purposes. Pro forma results of operations for this acquisition have not been presented because they were not material to the condensed 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year ended December 31, 2020, the Company completed an acquisition with the purchase price in cash and stock. The acquisition was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was allocated to intangible assets in the amount of $1.5 million and goodwill in the amount of $7.8 million based on the respective estimated fair values. The resulting goodwill is not deductible for income tax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35"/>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49"/>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amortization expense was approximately $1.5 million and $0.3 million for the three months ended September 30, 2021 and 2020, respectively, and $3.0 million and $0.7 million for the nine months ended September 30, 2021 and 2020,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future amortization expense by year is expected to be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9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0" w:type="dxa"/>
            <w:vAlign w:val="bottom"/>
          </w:tcPr>
          <w:p>
            <w:pPr>
              <w:spacing w:after="0"/>
              <w:rPr>
                <w:sz w:val="1"/>
                <w:szCs w:val="1"/>
                <w:color w:val="auto"/>
              </w:rPr>
            </w:pP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acquisitions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238,602</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255,735</w:t>
            </w: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980" w:hanging="486"/>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4" w:name="page15"/>
    <w:bookmarkEnd w:id="14"/>
    <w:p>
      <w:pPr>
        <w:ind w:left="980" w:right="20"/>
        <w:spacing w:after="0" w:line="277" w:lineRule="auto"/>
        <w:rPr>
          <w:sz w:val="20"/>
          <w:szCs w:val="20"/>
          <w:color w:val="auto"/>
        </w:rPr>
      </w:pPr>
      <w:r>
        <w:rPr>
          <w:rFonts w:ascii="Arial" w:cs="Arial" w:eastAsia="Arial" w:hAnsi="Arial"/>
          <w:sz w:val="18"/>
          <w:szCs w:val="18"/>
          <w:color w:val="auto"/>
        </w:rPr>
        <w:t>including, the last trading day of the immediately preceding calendar quarter is greater than or equal to 130% of the conversion price on each applicable trading day;</w:t>
      </w:r>
    </w:p>
    <w:p>
      <w:pPr>
        <w:spacing w:after="0" w:line="62" w:lineRule="exact"/>
        <w:rPr>
          <w:sz w:val="20"/>
          <w:szCs w:val="20"/>
          <w:color w:val="auto"/>
        </w:rPr>
      </w:pPr>
    </w:p>
    <w:p>
      <w:pPr>
        <w:jc w:val="both"/>
        <w:ind w:left="980" w:hanging="486"/>
        <w:spacing w:after="0" w:line="286" w:lineRule="auto"/>
        <w:tabs>
          <w:tab w:leader="none" w:pos="974"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980" w:hanging="486"/>
        <w:spacing w:after="0" w:line="277"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three months ended September 30, 2021, the conditional conversion feature of the 2025 Notes was triggered as the last reported sale price of the Company’s Class A common stock for at least 20 trading days (whether or not consecutive) during a period of 30 consecutive trading days ending on, and including, the last trading day of the quarter ended September 30, 2021 was greater than or equal to 130% of the conversion price on each applicable trading day. Therefore the 2025 Notes are convertible, in whole or in part, at the option of the holders between October 1, 2021 through December 31, 2021. Whether the 2025 Notes will be convertible following such period will depend on the continued satisfaction of this condition or another conversion condition in the future.</w:t>
      </w:r>
    </w:p>
    <w:p>
      <w:pPr>
        <w:spacing w:after="0" w:line="21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 conversion notice is received, the Company has the option to pay or deliver cash, shares of the Company’s common stock, or a combination thereof. As of September 30, 2021, the 2025 Notes were classified as long-term debt on the Company's condensed consolidated balance sheet.</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may not redeem the 2025 Notes prior to June 20, 2023. On or after June 20, 2023, and prior to the 31st scheduled trading day immediately preceding the maturity date, the Company may redeem for cash all or any portion of the 2025 Notes,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accounting for the issuance of the 2025 Notes, the 2025 Notes were separated into liability and equity components through December 31, 2020.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was amortized to interest expense using the effective interest rate method. The carrying amount of the equity component representing the conversion option was $177.2 million. The equity component was recorded in additional paid-in capital.</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to interest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over the contractual term of the 2025 Notes at an effective interest rate of 5.97%. Issuance costs attributable to the equity component were $4.1 million and are netted against the equity component in additional paid-in capital.</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2021 the Company adopted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1640" w:type="dxa"/>
            <w:vAlign w:val="bottom"/>
            <w:tcBorders>
              <w:bottom w:val="single" w:sz="8" w:color="CCEEFF"/>
            </w:tcBorders>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r>
      <w:tr>
        <w:trPr>
          <w:trHeight w:val="211"/>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Principal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747,500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747,500</w:t>
            </w:r>
          </w:p>
        </w:tc>
      </w:tr>
      <w:tr>
        <w:trPr>
          <w:trHeight w:val="230"/>
        </w:trPr>
        <w:tc>
          <w:tcPr>
            <w:tcW w:w="79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Unamortized debt discount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(159,547)</w:t>
            </w:r>
          </w:p>
        </w:tc>
      </w:tr>
      <w:tr>
        <w:trPr>
          <w:trHeight w:val="229"/>
        </w:trPr>
        <w:tc>
          <w:tcPr>
            <w:tcW w:w="79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Unamortized debt issuance costs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r>
      <w:tr>
        <w:trPr>
          <w:trHeight w:val="248"/>
        </w:trPr>
        <w:tc>
          <w:tcPr>
            <w:tcW w:w="7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575,864</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3"/>
        </w:trPr>
        <w:tc>
          <w:tcPr>
            <w:tcW w:w="7940" w:type="dxa"/>
            <w:vAlign w:val="bottom"/>
            <w:gridSpan w:val="2"/>
          </w:tcPr>
          <w:p>
            <w:pPr>
              <w:ind w:left="140"/>
              <w:spacing w:after="0" w:line="204" w:lineRule="exact"/>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173,070</w:t>
            </w:r>
          </w:p>
        </w:tc>
      </w:tr>
      <w:tr>
        <w:trPr>
          <w:trHeight w:val="20"/>
        </w:trPr>
        <w:tc>
          <w:tcPr>
            <w:tcW w:w="16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56"/>
        </w:trPr>
        <w:tc>
          <w:tcPr>
            <w:tcW w:w="1640" w:type="dxa"/>
            <w:vAlign w:val="bottom"/>
            <w:tcBorders>
              <w:bottom w:val="single" w:sz="8" w:color="auto"/>
            </w:tcBorders>
          </w:tcPr>
          <w:p>
            <w:pPr>
              <w:spacing w:after="0"/>
              <w:rPr>
                <w:sz w:val="13"/>
                <w:szCs w:val="13"/>
                <w:color w:val="auto"/>
              </w:rPr>
            </w:pP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noted above, December 31, 2020 amounts have not been adjusted due to the adoption of ASU 2020-06 under the modified retrospective method.</w:t>
      </w:r>
    </w:p>
    <w:p>
      <w:pPr>
        <w:spacing w:after="0" w:line="2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2021, the total estimated fair value of the 2025 Notes was approximately $1,237.1 million. The fair value was determined based on the closing trading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the interest expense related to the 2025 Notes for the three and nine months ended September 30,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r>
      <w:tr>
        <w:trPr>
          <w:trHeight w:val="188"/>
        </w:trPr>
        <w:tc>
          <w:tcPr>
            <w:tcW w:w="16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4"/>
        </w:trPr>
        <w:tc>
          <w:tcPr>
            <w:tcW w:w="164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4"/>
              <w:spacing w:after="0" w:line="184" w:lineRule="exact"/>
              <w:rPr>
                <w:sz w:val="20"/>
                <w:szCs w:val="20"/>
                <w:color w:val="auto"/>
              </w:rPr>
            </w:pPr>
            <w:r>
              <w:rPr>
                <w:rFonts w:ascii="Arial" w:cs="Arial" w:eastAsia="Arial" w:hAnsi="Arial"/>
                <w:sz w:val="14"/>
                <w:szCs w:val="14"/>
                <w:b w:val="1"/>
                <w:bCs w:val="1"/>
                <w:color w:val="auto"/>
                <w:w w:val="80"/>
              </w:rPr>
              <w:t xml:space="preserve">2020 </w:t>
            </w:r>
            <w:r>
              <w:rPr>
                <w:rFonts w:ascii="Arial" w:cs="Arial" w:eastAsia="Arial" w:hAnsi="Arial"/>
                <w:sz w:val="21"/>
                <w:szCs w:val="21"/>
                <w:b w:val="1"/>
                <w:bCs w:val="1"/>
                <w:color w:val="auto"/>
                <w:w w:val="80"/>
                <w:vertAlign w:val="superscript"/>
              </w:rPr>
              <w:t>(1)</w:t>
            </w: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Amortization of debt discount</w:t>
            </w: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7,589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3"/>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8,296</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10,852</w:t>
            </w:r>
          </w:p>
        </w:tc>
      </w:tr>
      <w:tr>
        <w:trPr>
          <w:trHeight w:val="20"/>
        </w:trPr>
        <w:tc>
          <w:tcPr>
            <w:tcW w:w="1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5"/>
        </w:trPr>
        <w:tc>
          <w:tcPr>
            <w:tcW w:w="164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noted above, December 31, 2020 amounts have not been adjusted due to the adoption of ASU 2020-06 under the modified retrospective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—During the nine months ended September 30, 2021, other than certain non-cancelable operating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other material changes outside the ordinary course of business to the Company's contractual obligations and commitments from those disclosed in the Annual Report.</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401(k) Plan</w:t>
      </w:r>
      <w:r>
        <w:rPr>
          <w:rFonts w:ascii="Arial" w:cs="Arial" w:eastAsia="Arial" w:hAnsi="Arial"/>
          <w:sz w:val="18"/>
          <w:szCs w:val="18"/>
          <w:color w:val="auto"/>
        </w:rPr>
        <w:t>—The Company sponsors a 401(k) defined contribution plan covering all eligible U.S. employees. Contributions to the 401(k) plan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discretionary. The Company did not make any matching contributions to the 401(k) plan for the three and nine months ended September 30, 2021 and 2020.</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Indemnification</w:t>
      </w:r>
      <w:r>
        <w:rPr>
          <w:rFonts w:ascii="Arial" w:cs="Arial" w:eastAsia="Arial" w:hAnsi="Arial"/>
          <w:sz w:val="17"/>
          <w:szCs w:val="17"/>
          <w:color w:val="auto"/>
        </w:rPr>
        <w:t>—The Company enters into indemnification provisions under some agreements with other parties in the ordinary course of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2021 and 2030. Certain lease agreements contain an option for the Company to renew a lease for a term of up to four years or an option to terminate a lease early within two years.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56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1"/>
                <w:szCs w:val="21"/>
                <w:color w:val="auto"/>
                <w:vertAlign w:val="superscript"/>
              </w:rPr>
              <w:t>(1)</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5,245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1,075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369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30" w:lineRule="exact"/>
        <w:rPr>
          <w:sz w:val="20"/>
          <w:szCs w:val="20"/>
          <w:color w:val="auto"/>
        </w:rPr>
      </w:pPr>
    </w:p>
    <w:p>
      <w:pPr>
        <w:ind w:left="340" w:right="220" w:hanging="332"/>
        <w:spacing w:after="0" w:line="273" w:lineRule="auto"/>
        <w:tabs>
          <w:tab w:leader="none" w:pos="338"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non-cash lease expense of $4.5 million and $3.4 million for the three months ended September 30, 2021 and 2020, respectively, and $12.6 million and $10.0 million for the nine months ended September 30, 2021 and 2020,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Borders>
              <w:bottom w:val="single" w:sz="8" w:color="CFF0FC"/>
            </w:tcBorders>
          </w:tcPr>
          <w:p>
            <w:pPr>
              <w:spacing w:after="0"/>
              <w:rPr>
                <w:sz w:val="16"/>
                <w:szCs w:val="16"/>
                <w:color w:val="auto"/>
              </w:rPr>
            </w:pPr>
          </w:p>
        </w:tc>
        <w:tc>
          <w:tcPr>
            <w:tcW w:w="326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Cash paid for amounts included in measurement of lease liabilities</w:t>
            </w:r>
          </w:p>
        </w:tc>
        <w:tc>
          <w:tcPr>
            <w:tcW w:w="3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10,622</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w w:val="94"/>
              </w:rPr>
              <w:t>Operating lease assets obtained in exchange for new lease liabilities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11,581</w:t>
            </w:r>
          </w:p>
        </w:tc>
      </w:tr>
      <w:tr>
        <w:trPr>
          <w:trHeight w:val="850"/>
        </w:trPr>
        <w:tc>
          <w:tcPr>
            <w:tcW w:w="522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Maturities of lease liabilities by fiscal year for the Company’s operating leases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Amount</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23,813</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20,928</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4,938</w:t>
            </w:r>
          </w:p>
        </w:tc>
      </w:tr>
      <w:tr>
        <w:trPr>
          <w:trHeight w:val="229"/>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5,203</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2026 and beyond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w:t>
            </w: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81,583</w:t>
            </w:r>
          </w:p>
        </w:tc>
      </w:tr>
      <w:tr>
        <w:trPr>
          <w:trHeight w:val="229"/>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72,614</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As of September 30, 2021, the Company had one additional operating lease that is set to commence in the fourth quarter of 2021, which is excluded from the table above. The one additional lease has total undiscounted future payments of $4.2 million with a lease term of 8.3 years.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tcPr>
          <w:p>
            <w:pPr>
              <w:jc w:val="right"/>
              <w:ind w:right="219"/>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9760" w:type="dxa"/>
            <w:vAlign w:val="bottom"/>
            <w:tcBorders>
              <w:bottom w:val="single" w:sz="8" w:color="CFF0FC"/>
            </w:tcBorders>
          </w:tcPr>
          <w:p>
            <w:pPr>
              <w:spacing w:after="0"/>
              <w:rPr>
                <w:sz w:val="16"/>
                <w:szCs w:val="16"/>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24"/>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80" w:type="dxa"/>
            <w:vAlign w:val="bottom"/>
          </w:tcPr>
          <w:p>
            <w:pPr>
              <w:jc w:val="right"/>
              <w:spacing w:after="0"/>
              <w:rPr>
                <w:sz w:val="20"/>
                <w:szCs w:val="20"/>
                <w:color w:val="auto"/>
              </w:rPr>
            </w:pPr>
            <w:r>
              <w:rPr>
                <w:rFonts w:ascii="Arial" w:cs="Arial" w:eastAsia="Arial" w:hAnsi="Arial"/>
                <w:sz w:val="18"/>
                <w:szCs w:val="18"/>
                <w:color w:val="auto"/>
              </w:rPr>
              <w:t>4.68 %</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4"/>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320,166</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105,769</w:t>
            </w:r>
          </w:p>
        </w:tc>
      </w:tr>
      <w:tr>
        <w:trPr>
          <w:trHeight w:val="248"/>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Revenue recognized during the three months ended September 30, 2021 and 2020, which was included in the deferred revenue balances at the beginning of each such period, was $131.6 million and $73.3 million, respectively. Revenue recognized during the nine months ended September 30, 2021 and 2020 that was included in the deferred revenue balances at the beginning of each such period was $192.4 million and $121.0 million, respectively.</w:t>
      </w:r>
    </w:p>
    <w:p>
      <w:pPr>
        <w:spacing w:after="0" w:line="1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2021 and December 31, 2020, the aggregate transaction price allocated to remaining performance obligations was $718.6 million and $434.1 million, respectively. There is uncertainty in the timing of revenues associated with the Company’s drawdown contracts, as future revenue can often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vary significantly from past revenue. However, the Company expects to recognize substantially all of the remaining performance obligations over the next 24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nine months ended September 30, 2021 and 2020, the Company charged $1.2 million and $0.9 million, respectively, of accounts receivable deemed uncollectible against the allowance for credit losses.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2021 and December 31, 2020, unbilled accounts receivable of approximately $35.1 million and $20.1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Deferred contract costs on the Company’s condensed consolidated balance sheets were $55.4 million and $40.4 million as of September 30, 2021 and December 31, 2020, respectively. Amortization expense was $4.7 million and $2.7 million for the three months ended September 30, 2021 and 2020, respectively, and was $12.6 million and $7.3 million for the nine months ended September 30, 2021 and 2020, respectively.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rollforward of the Company’s deferred contract costs (in thousands):</w:t>
      </w:r>
    </w:p>
    <w:p>
      <w:pPr>
        <w:spacing w:after="0" w:line="136"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Amount</w:t>
      </w:r>
    </w:p>
    <w:p>
      <w:pPr>
        <w:sectPr>
          <w:pgSz w:w="11900" w:h="16838" w:orient="portrait"/>
          <w:cols w:equalWidth="0" w:num="1">
            <w:col w:w="11240"/>
          </w:cols>
          <w:pgMar w:left="320" w:top="1111"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deferred contract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deferred contract costs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and Class B Common Stock</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745" w:hanging="745"/>
        <w:spacing w:after="0"/>
        <w:tabs>
          <w:tab w:leader="none" w:pos="745" w:val="left"/>
        </w:tabs>
        <w:numPr>
          <w:ilvl w:val="0"/>
          <w:numId w:val="9"/>
        </w:numPr>
        <w:rPr>
          <w:rFonts w:ascii="Arial" w:cs="Arial" w:eastAsia="Arial" w:hAnsi="Arial"/>
          <w:sz w:val="17"/>
          <w:szCs w:val="17"/>
          <w:color w:val="auto"/>
        </w:rPr>
      </w:pPr>
      <w:r>
        <w:rPr>
          <w:rFonts w:ascii="Arial" w:cs="Arial" w:eastAsia="Arial" w:hAnsi="Arial"/>
          <w:sz w:val="17"/>
          <w:szCs w:val="17"/>
          <w:color w:val="auto"/>
        </w:rPr>
        <w:t>40,388</w:t>
      </w:r>
    </w:p>
    <w:p>
      <w:pPr>
        <w:spacing w:after="0" w:line="34" w:lineRule="exact"/>
        <w:rPr>
          <w:rFonts w:ascii="Arial" w:cs="Arial" w:eastAsia="Arial" w:hAnsi="Arial"/>
          <w:sz w:val="17"/>
          <w:szCs w:val="17"/>
          <w:color w:val="auto"/>
        </w:rPr>
      </w:pPr>
    </w:p>
    <w:p>
      <w:pPr>
        <w:ind w:left="745"/>
        <w:spacing w:after="0"/>
        <w:rPr>
          <w:rFonts w:ascii="Arial" w:cs="Arial" w:eastAsia="Arial" w:hAnsi="Arial"/>
          <w:sz w:val="17"/>
          <w:szCs w:val="17"/>
          <w:color w:val="auto"/>
        </w:rPr>
      </w:pPr>
      <w:r>
        <w:rPr>
          <w:rFonts w:ascii="Arial" w:cs="Arial" w:eastAsia="Arial" w:hAnsi="Arial"/>
          <w:sz w:val="17"/>
          <w:szCs w:val="17"/>
          <w:color w:val="auto"/>
        </w:rPr>
        <w:t>27,610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01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5" w:lineRule="exact"/>
        <w:rPr>
          <w:sz w:val="20"/>
          <w:szCs w:val="20"/>
          <w:color w:val="auto"/>
        </w:rPr>
      </w:pPr>
    </w:p>
    <w:p>
      <w:pPr>
        <w:ind w:left="745" w:hanging="745"/>
        <w:spacing w:after="0"/>
        <w:tabs>
          <w:tab w:leader="none" w:pos="7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55,441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8401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840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87" w:lineRule="exact"/>
        <w:rPr>
          <w:sz w:val="20"/>
          <w:szCs w:val="20"/>
          <w:color w:val="auto"/>
        </w:rPr>
      </w:pPr>
    </w:p>
    <w:p>
      <w:pPr>
        <w:sectPr>
          <w:pgSz w:w="11900" w:h="16838" w:orient="portrait"/>
          <w:cols w:equalWidth="0" w:num="2">
            <w:col w:w="9215" w:space="720"/>
            <w:col w:w="1305"/>
          </w:cols>
          <w:pgMar w:left="320" w:top="1111" w:right="339" w:bottom="1440" w:gutter="0" w:footer="0" w:header="0"/>
          <w:type w:val="continuous"/>
        </w:sectPr>
      </w:pPr>
    </w:p>
    <w:p>
      <w:pPr>
        <w:spacing w:after="0" w:line="4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and nine months ended September 30, 2021, 14,363,180 shares and 32,379,252 shares of Class B common stock were converted into Class A common stock, respectively.</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2021, the Company had authorized 2,000,000,000 shares of Class A common stock and 310,000,000 shares of Class B common stock, each at a par value per share of $0.00001, of which 255,875,718 shares of Class A common stock and 56,025,741 shares of Class B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w:t>
      </w:r>
    </w:p>
    <w:p>
      <w:pPr>
        <w:sectPr>
          <w:pgSz w:w="11900" w:h="16838" w:orient="portrait"/>
          <w:cols w:equalWidth="0" w:num="1">
            <w:col w:w="11240"/>
          </w:cols>
          <w:pgMar w:left="320" w:top="1111"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9" w:name="page20"/>
    <w:bookmarkEnd w:id="19"/>
    <w:p>
      <w:pPr>
        <w:jc w:val="both"/>
        <w:spacing w:after="0" w:line="299" w:lineRule="auto"/>
        <w:rPr>
          <w:sz w:val="20"/>
          <w:szCs w:val="20"/>
          <w:color w:val="auto"/>
        </w:rPr>
      </w:pPr>
      <w:r>
        <w:rPr>
          <w:rFonts w:ascii="Arial" w:cs="Arial" w:eastAsia="Arial" w:hAnsi="Arial"/>
          <w:sz w:val="16"/>
          <w:szCs w:val="16"/>
          <w:color w:val="auto"/>
        </w:rPr>
        <w:t>2012 Plan at that time were transferred to the 2019 Plan. Under the 2019 Plan, the Board and any other committee or subcommittee of the Board may grant stock options, stock appreciation rights, restricted stock awards, restricted stock units (“RSUs”) and performance-based and other awards, each equity award valued or based on the Company’s Class A common stock, to employees, directors, consultants and advisors of the Company. As of September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there were 55,390,029 shares available for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Number Of</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r>
      <w:tr>
        <w:trPr>
          <w:trHeight w:val="26"/>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27,068,323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2,575,069</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(4,246,592)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(495,782)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288"/>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outstanding—September 30,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22,325,949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3,080,305</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Ending Exercisable—September 30, 2021</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16,428,418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2,289,558</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2021, there were 33,421 shares of Class A common stock and 22,292,528 shares of Class B common stock issuable upon the exercise of options outstanding. As of December 31, 2020, there were 34,759 shares of Class A common stock and 27,033,564 shares of Class B common stock issuable upon the exercise of options outstanding.</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options not yet recognized was approximately $37.8 million and $60.6 million as of September 30, 2021 and December 31, 2020, respectively. The weighted-average period over which this compensation cost related to unvested employee options will be recognized is 1.5 years and 2.0 years as of September 30, 2021 and December 31, 2020, respectively.</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There were no options granted during the nine months ended September 30, 2021. The weighted-average grant-date fair value of options granted during the nine months ended September 30, 2020 was $16.55. The Company received approximately $10.7 million and $12.4 million in cash proceeds from options exercised during the nine months ended September 30, 2021 and 2020, respectively. The intrinsic value of options exercised during the nine months ended September 30, 2021 and 2020 was approximately $434.1 million and $443.4 million, respectively. The aggregate fair value of options vested during the nine months ended September 30, 2021 and 2020 was $21.5 million and $19.6 million, respectively.</w:t>
      </w:r>
    </w:p>
    <w:p>
      <w:pPr>
        <w:spacing w:after="0" w:line="1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Common stock purchased pursuant to an early exercise of stock options is not deemed to be outstanding for accounting purposes until those shares vest. The consideration received for an exercise of an option is considered to be a deposit of the exercise price and the related dollar amount is recorded as a liability. The shares issued upon the early exercise of these unvested stock option awards, which are reflected as exercises in the table above, are considered to be legally issued and outstanding on the date of exercise. Upon termination of service, the Company may repurchase unvested shares acquired through early exercise of stock options at a price equal to the price per share paid upon the exercise of such options. The Company has recorded liabilities related to early exercises of options for 63,000 and 438,750 shares of Class B common stock as of September 30, 2021 and December 31, 2020,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Units and Restricted Stock Awards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the Company’s unvested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0"/>
              </w:rPr>
              <w:t>Average</w:t>
            </w:r>
          </w:p>
        </w:tc>
      </w:tr>
      <w:tr>
        <w:trPr>
          <w:trHeight w:val="186"/>
        </w:trPr>
        <w:tc>
          <w:tcPr>
            <w:tcW w:w="8480" w:type="dxa"/>
            <w:vAlign w:val="bottom"/>
          </w:tcPr>
          <w:p>
            <w:pPr>
              <w:spacing w:after="0"/>
              <w:rPr>
                <w:sz w:val="16"/>
                <w:szCs w:val="16"/>
                <w:color w:val="auto"/>
              </w:rPr>
            </w:pPr>
          </w:p>
        </w:tc>
        <w:tc>
          <w:tcPr>
            <w:tcW w:w="144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r>
      <w:tr>
        <w:trPr>
          <w:trHeight w:val="26"/>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Balance—December 31, 2020</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5,166,720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59.50</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Awarded</w:t>
            </w:r>
          </w:p>
        </w:tc>
        <w:tc>
          <w:tcPr>
            <w:tcW w:w="1320" w:type="dxa"/>
            <w:vAlign w:val="bottom"/>
          </w:tcPr>
          <w:p>
            <w:pPr>
              <w:jc w:val="right"/>
              <w:spacing w:after="0"/>
              <w:rPr>
                <w:sz w:val="20"/>
                <w:szCs w:val="20"/>
                <w:color w:val="auto"/>
              </w:rPr>
            </w:pPr>
            <w:r>
              <w:rPr>
                <w:rFonts w:ascii="Arial" w:cs="Arial" w:eastAsia="Arial" w:hAnsi="Arial"/>
                <w:sz w:val="18"/>
                <w:szCs w:val="18"/>
                <w:color w:val="auto"/>
              </w:rPr>
              <w:t>3,866,023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105.73</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(1,133,572)</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50.59</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320" w:type="dxa"/>
            <w:vAlign w:val="bottom"/>
          </w:tcPr>
          <w:p>
            <w:pPr>
              <w:jc w:val="right"/>
              <w:spacing w:after="0"/>
              <w:rPr>
                <w:sz w:val="20"/>
                <w:szCs w:val="20"/>
                <w:color w:val="auto"/>
              </w:rPr>
            </w:pPr>
            <w:r>
              <w:rPr>
                <w:rFonts w:ascii="Arial" w:cs="Arial" w:eastAsia="Arial" w:hAnsi="Arial"/>
                <w:sz w:val="18"/>
                <w:szCs w:val="18"/>
                <w:color w:val="auto"/>
              </w:rPr>
              <w:t>(668,835)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63.59</w:t>
            </w:r>
          </w:p>
        </w:tc>
      </w:tr>
      <w:tr>
        <w:trPr>
          <w:trHeight w:val="27"/>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100" w:type="dxa"/>
            <w:vAlign w:val="bottom"/>
            <w:tcBorders>
              <w:bottom w:val="single" w:sz="8" w:color="CFF0FC"/>
            </w:tcBorders>
          </w:tcPr>
          <w:p>
            <w:pPr>
              <w:spacing w:after="0"/>
              <w:rPr>
                <w:sz w:val="2"/>
                <w:szCs w:val="2"/>
                <w:color w:val="auto"/>
              </w:rPr>
            </w:pPr>
          </w:p>
        </w:tc>
      </w:tr>
      <w:tr>
        <w:trPr>
          <w:trHeight w:val="288"/>
        </w:trPr>
        <w:tc>
          <w:tcPr>
            <w:tcW w:w="8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outstanding—September 30, 2021</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7,230,336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85.23</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granted 244,445, 96,210, 117,538 and 245,761 restricted shares of Class A common stock in November 2019, June 2020, February 2021 and April 2021, respectively, in connection with acquisitions which are subject to service-based vesting conditions over approximately four years.</w:t>
      </w:r>
    </w:p>
    <w:p>
      <w:pPr>
        <w:spacing w:after="0" w:line="12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Total compensation cost related to unvested RSUs and restricted shares of common stock not yet recognized was approximately $585.3 million and $281.5 million as of September 30, 2021 and December 31, 2020, respectively. The weighted-average period over which this compensation cost related to unvested RSUs and restricted shares will be recognized is 3.1 years and 3.4 years as of September 30, 2021 and December 31,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IPO (the “Final Prospectus”). As of September 30, 2021, 12,142,034 shares of Class A common stock remain available for grant under the ESPP.</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recognized $2.1 million and $5.7 million of stock-based compensation expense related to the ESPP during the three and nine months ended September 30, 2021, respectively. As of September 30, 2021, $8.7 million has been withheld on behalf of employees for a future purchase under the ESPP due to the timing of payroll deductions. During the nine months ended September 30, 2021, the Company issued 139,649 shares of Class A common stock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stock options on the date of grant. The Company recognizes and measures compensation expense for all stock-based payment awards granted to employees, directors and nonemployees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is recognized on a straight-line basis over the requisite service period and account for forfeitures as they occur.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6"/>
        </w:trPr>
        <w:tc>
          <w:tcPr>
            <w:tcW w:w="56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24,723</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23,355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13,683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10,037</w:t>
            </w:r>
          </w:p>
        </w:tc>
      </w:tr>
      <w:tr>
        <w:trPr>
          <w:trHeight w:val="27"/>
        </w:trPr>
        <w:tc>
          <w:tcPr>
            <w:tcW w:w="56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43,995</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107,371</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49,610</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r>
      <w:tr>
        <w:trPr>
          <w:trHeight w:val="27"/>
        </w:trPr>
        <w:tc>
          <w:tcPr>
            <w:tcW w:w="56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46,545</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21,936</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114,133</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51,131</w:t>
            </w: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26"/>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6"/>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4,830</w:t>
            </w: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6,585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15,970</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14,734</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income, net</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5,040</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7,135</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15,204</w:t>
            </w: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has an effective tax rate of (15.04)% and (4.09)% for the three months ended September 30, 2021 and 2020, respectively, and (3.56)% and (18.88)% for the nine months ended September 30, 2021 and 2020, respectively. The Company has incurred U.S. operating losses and has minimal profits in its foreign jurisdictions.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w:t>
      </w:r>
    </w:p>
    <w:p>
      <w:pPr>
        <w:spacing w:after="0" w:line="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immaterial for each of the nine months ended September 30, 2021 and 2020. The Company’s policy is to recognize interest and penalties related to uncertain tax positions in income tax expense. The Company is subject to U.S. federal tax authority, U.S. state tax authority and foreign tax authority examinations.</w:t>
      </w:r>
    </w:p>
    <w:p>
      <w:pPr>
        <w:spacing w:after="0" w:line="190"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xml:space="preserve"> (“ASU No. 2020-06”), which simplifies the accounting for certain financial instruments with characteristics of liabilities and equity, including convertible instruments and contracts in an entity's own equity. The Company chose to early adopt ASU No. 2020-06 on January 1, 2021, using the modified retrospective basis. See Note 2, </w:t>
      </w:r>
      <w:r>
        <w:rPr>
          <w:rFonts w:ascii="Arial" w:cs="Arial" w:eastAsia="Arial" w:hAnsi="Arial"/>
          <w:sz w:val="18"/>
          <w:szCs w:val="18"/>
          <w:i w:val="1"/>
          <w:iCs w:val="1"/>
          <w:color w:val="auto"/>
        </w:rPr>
        <w:t>Basis of Presentation and Summary of Significant Accounting Policies—Accounting Policies Recently Adopted</w:t>
      </w:r>
      <w:r>
        <w:rPr>
          <w:rFonts w:ascii="Arial" w:cs="Arial" w:eastAsia="Arial" w:hAnsi="Arial"/>
          <w:sz w:val="18"/>
          <w:szCs w:val="18"/>
          <w:color w:val="auto"/>
        </w:rPr>
        <w:t xml:space="preserve"> for more information. The early adoption resulted in no material tax impact.</w:t>
      </w:r>
    </w:p>
    <w:p>
      <w:pPr>
        <w:spacing w:after="0" w:line="18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December 21, 2020, Congress passed the Consolidated Appropriations Act, 2021. The act includes the Taxpayer Certainty and Disaster Tax Relief Act of 2020 and the COVID-related Tax Relief Act of 2020, both of which extend many credits and other COVID-19 relief, among other extenders. The Company evaluated the provisions of the Consolidated Appropriations Act, including but not limited to the Employee Retention Credit extension, the extension for the IRC Section 45S credit for paid family and medical leave, and the provision allowing a full deduction for certain business meals, and determined that there was no material impact for the three and nine months ended September 30, 2021.</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jc w:val="both"/>
        <w:ind w:firstLine="486"/>
        <w:spacing w:after="0" w:line="259" w:lineRule="auto"/>
        <w:rPr>
          <w:sz w:val="20"/>
          <w:szCs w:val="20"/>
          <w:color w:val="auto"/>
        </w:rPr>
      </w:pPr>
      <w:r>
        <w:rPr>
          <w:rFonts w:ascii="Arial" w:cs="Arial" w:eastAsia="Arial" w:hAnsi="Arial"/>
          <w:sz w:val="18"/>
          <w:szCs w:val="18"/>
          <w:color w:val="auto"/>
        </w:rPr>
        <w:t>On March 11, 2021, the American Rescue Plan was enacted, which extends the period companies can claim an Employee Retention Credit, extends the IRC Section 162(m) limit on deductions for publicly traded companies, and repeals the election that allows US affiliate groups to allocate interest expense on a worldwide basis, among other provisions. The Company reviewed the provisions of the new law and determined it has no material impact for the three and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Basic and diluted net loss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shares of capital stock of the Company.</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Basic and diluted net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loss per share of Class A common stock, the undistributed earnings are equal to net loss for that computation.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Pr>
          <w:p>
            <w:pPr>
              <w:ind w:left="20"/>
              <w:spacing w:after="0"/>
              <w:rPr>
                <w:sz w:val="20"/>
                <w:szCs w:val="20"/>
                <w:color w:val="auto"/>
              </w:rPr>
            </w:pPr>
            <w:r>
              <w:rPr>
                <w:rFonts w:ascii="Arial" w:cs="Arial" w:eastAsia="Arial" w:hAnsi="Arial"/>
                <w:sz w:val="14"/>
                <w:szCs w:val="14"/>
                <w:color w:val="auto"/>
              </w:rPr>
              <w:t>Basic net loss per share:</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6"/>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Numerator:</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(9,773)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(21,287)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(6,627)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Denominator:</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220"/>
              <w:spacing w:after="0"/>
              <w:rPr>
                <w:sz w:val="20"/>
                <w:szCs w:val="20"/>
                <w:color w:val="auto"/>
              </w:rPr>
            </w:pPr>
            <w:r>
              <w:rPr>
                <w:rFonts w:ascii="Arial" w:cs="Arial" w:eastAsia="Arial" w:hAnsi="Arial"/>
                <w:sz w:val="14"/>
                <w:szCs w:val="14"/>
                <w:color w:val="auto"/>
              </w:rPr>
              <w:t>Weighted-average shares used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220"/>
              <w:spacing w:after="0"/>
              <w:rPr>
                <w:sz w:val="20"/>
                <w:szCs w:val="20"/>
                <w:color w:val="auto"/>
              </w:rPr>
            </w:pPr>
            <w:r>
              <w:rPr>
                <w:rFonts w:ascii="Arial" w:cs="Arial" w:eastAsia="Arial" w:hAnsi="Arial"/>
                <w:sz w:val="14"/>
                <w:szCs w:val="14"/>
                <w:color w:val="auto"/>
              </w:rPr>
              <w:t>calculating net loss per share, basic</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245,431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64,816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195,176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234,969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151,806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147,299</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net loss per share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Numerator:</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260"/>
              <w:spacing w:after="0"/>
              <w:rPr>
                <w:sz w:val="20"/>
                <w:szCs w:val="20"/>
                <w:color w:val="auto"/>
              </w:rPr>
            </w:pPr>
            <w:r>
              <w:rPr>
                <w:rFonts w:ascii="Arial" w:cs="Arial" w:eastAsia="Arial" w:hAnsi="Arial"/>
                <w:sz w:val="14"/>
                <w:szCs w:val="14"/>
                <w:color w:val="auto"/>
                <w:w w:val="95"/>
              </w:rPr>
              <w:t>Allocation of distributed net loss for basic</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computation</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(9,773)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(21,287)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(6,627)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(4,257)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3"/>
              </w:rPr>
              <w:t>Reallocation of undistributed net loss as a</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5"/>
              </w:rPr>
              <w:t>result of conversion of Class B to Class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 shares</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700" w:type="dxa"/>
            <w:vAlign w:val="bottom"/>
          </w:tcPr>
          <w:p>
            <w:pPr>
              <w:ind w:left="260"/>
              <w:spacing w:after="0"/>
              <w:rPr>
                <w:sz w:val="20"/>
                <w:szCs w:val="20"/>
                <w:color w:val="auto"/>
              </w:rPr>
            </w:pPr>
            <w:r>
              <w:rPr>
                <w:rFonts w:ascii="Arial" w:cs="Arial" w:eastAsia="Arial" w:hAnsi="Arial"/>
                <w:sz w:val="14"/>
                <w:szCs w:val="14"/>
                <w:color w:val="auto"/>
              </w:rPr>
              <w:t>Allocation of undistributed loss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(5,377)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Denominator:</w:t>
            </w: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80"/>
              <w:spacing w:after="0"/>
              <w:rPr>
                <w:sz w:val="20"/>
                <w:szCs w:val="20"/>
                <w:color w:val="auto"/>
              </w:rPr>
            </w:pPr>
            <w:r>
              <w:rPr>
                <w:rFonts w:ascii="Arial" w:cs="Arial" w:eastAsia="Arial" w:hAnsi="Arial"/>
                <w:sz w:val="14"/>
                <w:szCs w:val="14"/>
                <w:color w:val="auto"/>
                <w:w w:val="93"/>
              </w:rPr>
              <w:t>Number of shares used in basic calculation</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245,431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234,969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151,806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147,299</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effect of diluted</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securities:</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00" w:type="dxa"/>
            <w:vAlign w:val="bottom"/>
          </w:tcPr>
          <w:p>
            <w:pPr>
              <w:ind w:left="360"/>
              <w:spacing w:after="0"/>
              <w:rPr>
                <w:sz w:val="20"/>
                <w:szCs w:val="20"/>
                <w:color w:val="auto"/>
              </w:rPr>
            </w:pPr>
            <w:r>
              <w:rPr>
                <w:rFonts w:ascii="Arial" w:cs="Arial" w:eastAsia="Arial" w:hAnsi="Arial"/>
                <w:sz w:val="14"/>
                <w:szCs w:val="14"/>
                <w:color w:val="auto"/>
              </w:rPr>
              <w:t>Conversion of Class B to Class 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tcPr>
          <w:p>
            <w:pPr>
              <w:ind w:left="360"/>
              <w:spacing w:after="0"/>
              <w:rPr>
                <w:sz w:val="20"/>
                <w:szCs w:val="20"/>
                <w:color w:val="auto"/>
              </w:rPr>
            </w:pPr>
            <w:r>
              <w:rPr>
                <w:rFonts w:ascii="Arial" w:cs="Arial" w:eastAsia="Arial" w:hAnsi="Arial"/>
                <w:sz w:val="14"/>
                <w:szCs w:val="14"/>
                <w:color w:val="auto"/>
              </w:rPr>
              <w:t>common shares outstanding</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64,816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147,299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700" w:type="dxa"/>
            <w:vAlign w:val="bottom"/>
            <w:shd w:val="clear" w:color="auto" w:fill="CCEEFF"/>
          </w:tcPr>
          <w:p>
            <w:pPr>
              <w:ind w:left="520"/>
              <w:spacing w:after="0" w:line="151" w:lineRule="exact"/>
              <w:rPr>
                <w:sz w:val="20"/>
                <w:szCs w:val="20"/>
                <w:color w:val="auto"/>
              </w:rPr>
            </w:pPr>
            <w:r>
              <w:rPr>
                <w:rFonts w:ascii="Arial" w:cs="Arial" w:eastAsia="Arial" w:hAnsi="Arial"/>
                <w:sz w:val="14"/>
                <w:szCs w:val="14"/>
                <w:color w:val="auto"/>
              </w:rPr>
              <w:t>Number of shares used in diluted</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calculation</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310,247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302,554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107,378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308,115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299,105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147,299</w:t>
            </w: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ind w:firstLine="486"/>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As of September 30,</w:t>
            </w:r>
          </w:p>
        </w:tc>
      </w:tr>
      <w:tr>
        <w:trPr>
          <w:trHeight w:val="26"/>
        </w:trPr>
        <w:tc>
          <w:tcPr>
            <w:tcW w:w="84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848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6"/>
        </w:trPr>
        <w:tc>
          <w:tcPr>
            <w:tcW w:w="8480" w:type="dxa"/>
            <w:vAlign w:val="bottom"/>
            <w:tcBorders>
              <w:bottom w:val="single" w:sz="8" w:color="CFF0F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outstanding stock options and RSUs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32,972</w:t>
            </w:r>
          </w:p>
        </w:tc>
      </w:tr>
      <w:tr>
        <w:trPr>
          <w:trHeight w:val="270"/>
        </w:trPr>
        <w:tc>
          <w:tcPr>
            <w:tcW w:w="8480" w:type="dxa"/>
            <w:vAlign w:val="bottom"/>
          </w:tcPr>
          <w:p>
            <w:pPr>
              <w:ind w:left="20"/>
              <w:spacing w:after="0"/>
              <w:rPr>
                <w:sz w:val="20"/>
                <w:szCs w:val="20"/>
                <w:color w:val="auto"/>
              </w:rPr>
            </w:pPr>
            <w:r>
              <w:rPr>
                <w:rFonts w:ascii="Arial" w:cs="Arial" w:eastAsia="Arial" w:hAnsi="Arial"/>
                <w:sz w:val="18"/>
                <w:szCs w:val="18"/>
                <w:color w:val="auto"/>
              </w:rPr>
              <w:t>Unvested early exercised stock options and restricted shares of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0"/>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ASU No. 2020-06 requires the application of the if-converted method to calculate the impact of convertible instruments on diluted earnings per share when the instruments may be settled in cash or shares. See Note 2, </w:t>
      </w:r>
      <w:r>
        <w:rPr>
          <w:rFonts w:ascii="Arial" w:cs="Arial" w:eastAsia="Arial" w:hAnsi="Arial"/>
          <w:sz w:val="16"/>
          <w:szCs w:val="16"/>
          <w:i w:val="1"/>
          <w:iCs w:val="1"/>
          <w:color w:val="auto"/>
        </w:rPr>
        <w:t>Basis of Presentation and Summary of Significant Accounting Policies—Accounting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Recently Adopted </w:t>
      </w:r>
      <w:r>
        <w:rPr>
          <w:rFonts w:ascii="Arial" w:cs="Arial" w:eastAsia="Arial" w:hAnsi="Arial"/>
          <w:sz w:val="16"/>
          <w:szCs w:val="16"/>
          <w:color w:val="auto"/>
        </w:rPr>
        <w:t>for more information. During the three months ended September 30, 2021, the conditional conversion feature of the 2025 Notes</w:t>
      </w:r>
      <w:r>
        <w:rPr>
          <w:rFonts w:ascii="Arial" w:cs="Arial" w:eastAsia="Arial" w:hAnsi="Arial"/>
          <w:sz w:val="16"/>
          <w:szCs w:val="16"/>
          <w:i w:val="1"/>
          <w:iCs w:val="1"/>
          <w:color w:val="auto"/>
        </w:rPr>
        <w:t xml:space="preserve"> </w:t>
      </w:r>
      <w:r>
        <w:rPr>
          <w:rFonts w:ascii="Arial" w:cs="Arial" w:eastAsia="Arial" w:hAnsi="Arial"/>
          <w:sz w:val="16"/>
          <w:szCs w:val="16"/>
          <w:color w:val="auto"/>
        </w:rPr>
        <w:t>was triggered and the 2025 Notes are convertible, in whole or in part, at the option of the holders between October 1, 2021 through December 31, 2021. The Company uses the if-converted method for calculating any potential dilutive effect of the conversion options embedded in the 2025 Notes on diluted net income per share; however, since the Company is in a net loss position, there was no dilutive effect during any period presented.</w:t>
      </w:r>
    </w:p>
    <w:p>
      <w:pPr>
        <w:spacing w:after="0" w:line="16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2020, or the Annual Report. This discussion, particularly information with respect to our future results of operations or financial condition, business strategy, plans and objectives of management for future operations and the potential impact that the ongoing COVID-19 pandemic may have on our business,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Datadog is the monitoring and analytics platform for developers, IT operations teams and business users in the cloud age.</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SaaS platform integrates and automates infrastructure monitoring, application performance monitoring, log management and security monitoring to provide unified, real-time observability of our customers’ entire technology stack. Datadog is used by organizations of all sizes and across a wide range of industries to enable digital transformation and cloud migration, drive collaboration among development, operations and business teams, accelerate time to market for applications, reduce time to problem resolution, understand user behavior and track key business metrics.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 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22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As of September 30, 2021, we had $290.5 million in cash, cash equivalents and restricted cash and $1,180.2 million in marketable securities. We generated revenue of $270.5 million and $154.7 million in the three months ended September 30, 2021 and 2020, respectively, representing year-over-year growth of 75%. For the nine months ended September 30, 2021 and 2020, our revenue was $702.6 million and $425.9 million, respectively, representing year-over-year growth of 65%. Substantially all of our revenue is subscription software sales. Our net loss was $(5.5) million and $(15.2) million for the three months ended September 30, 2021 and 2020, respectively, and $(27.9) million and $(8.4) million for the nine months ended September 30, 2021 and 2020, respectively. We generated operating cash flow of $170.8 million and $85.3 million in the nine months ended September 30, 2021 and 2020, respectively. Our free cash flow was $143.8 million and $66.6 million in the nine months ended September 30, 2021 and 2020, respectively. See the section titled “—Liquidity and Capital Resources—Non-GAAP Free Cash Flow” for additional information.</w:t>
      </w:r>
    </w:p>
    <w:p>
      <w:pPr>
        <w:spacing w:after="0" w:line="20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Since December 2019, a novel strain of coronavirus, which we refer to, together with other related strains of coronavirus, as “COVID-19”, has spread across the world, including to the United States and other countries in which we and our customers, partners, suppliers, vendors and other parties with whom we do business operate. The extent of the impact of the COVID-19 pandemic on our operational and financial performance depends on certain developments, including the duration and spread of the outbreak, especially in light of the emergence of new variant strains of COVID-19, its impact on industry events, and its effect on our customers, partners, suppliers and vendors and other parties with whom we do business, and the availability, distribution and acceptance of vaccines, all of which are uncertain and cannot be predicted at this time. To the extent possible, we are conducting business as usual, with necessary or advisable modifications to employee travel and employee work locations and cancelling or holding virtually Datadog marketing events. We are continuing to actively monitor the rapidly evolving situation related to COVID-19 and may take further actions that alter our business operations, including those that may be required by federal, state or local authorities, or that we determine are in the best interests of our employees, customers, partners, suppliers, vendors and stockholders. The extent to which the COVID-19 pandemic may impact our results of operations and financial condition remains uncertain. In addition, due to our subscription model, the effect of the COVID-19 pandemic, if any, may not be fully reflected in our results of operations until future periods.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2021, we had approximately 17,500 customers spanning organizations of a broad range of sizes and industries, compared to approximately 13,100 as of September 30, 2020.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6"/>
          <w:szCs w:val="16"/>
          <w:color w:val="auto"/>
        </w:rPr>
        <w:t>Our base of customers represents a significant opportunity for further sales expansion. As of September 30, 2021, we had 1,800 customers with annual run-rate revenue, or ARR, of $100,000 or more, representing 82% of our ARR, up from 1,082 customers as of September 30, 2020, representing 77%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We updated the definition of MRR as of the</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quarter ended September 30, 2021 to capture usage from subscriptions with committed contractual amounts and applied this change retroactively.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6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each of September 30, 2021 and 2020, our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19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proven initial success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platform approach, through expansion beyond our initial infrastructure monitoring solution, to include APM in 2017, logs in 2018, user experience and network performance monitoring in 2019 and our security platform in 2020</w:t>
      </w:r>
      <w:r>
        <w:rPr>
          <w:rFonts w:ascii="Arial" w:cs="Arial" w:eastAsia="Arial" w:hAnsi="Arial"/>
          <w:sz w:val="18"/>
          <w:szCs w:val="18"/>
          <w:u w:val="single" w:color="auto"/>
          <w:color w:val="333333"/>
        </w:rPr>
        <w:t>.</w:t>
      </w:r>
      <w:r>
        <w:rPr>
          <w:rFonts w:ascii="Arial" w:cs="Arial" w:eastAsia="Arial" w:hAnsi="Arial"/>
          <w:sz w:val="18"/>
          <w:szCs w:val="18"/>
          <w:color w:val="auto"/>
        </w:rPr>
        <w:t xml:space="preserve"> As of September 30, 2021, approximately 77% of our customers were using more than one product, up from approximately 71% a year earlier. We believe these metrics indicate strong momentum in the uptake of our newer platform products.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28% and 25% of total revenue for the nine months ended September 30, 2021 and 2020, respectively. In addition, we have made and plan to continue to make significant investments to expand geographically, particularly in Europe, the Middle East, Africa and in the Asia Pacific region. Although these investments may adversely affect our operating results in the near term, we believe that they will contribute to our long-term growth. Beyond North America, we have sales presence internationally, including in Dublin, London, Amsterdam, Paris, Singapore, Sydney, Seoul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7" w:name="page28"/>
    <w:bookmarkEnd w:id="27"/>
    <w:p>
      <w:pPr>
        <w:jc w:val="both"/>
        <w:ind w:firstLine="486"/>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 related expenses, including depreciation expense.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Other income (loss),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230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270,488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702,586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425,935</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1"/>
                <w:szCs w:val="21"/>
                <w:color w:val="auto"/>
                <w:vertAlign w:val="superscript"/>
              </w:rPr>
              <w:t>(1)(2)(4)</w:t>
            </w: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63,332</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207,156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120,691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535,490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336,595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1"/>
                <w:szCs w:val="21"/>
                <w:color w:val="auto"/>
                <w:vertAlign w:val="superscript"/>
              </w:rPr>
              <w:t>(1)(3)(4)</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286,720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142,928</w:t>
            </w:r>
          </w:p>
        </w:tc>
        <w:tc>
          <w:tcPr>
            <w:tcW w:w="0" w:type="dxa"/>
            <w:vAlign w:val="bottom"/>
          </w:tcPr>
          <w:p>
            <w:pPr>
              <w:spacing w:after="0"/>
              <w:rPr>
                <w:sz w:val="1"/>
                <w:szCs w:val="1"/>
                <w:color w:val="auto"/>
              </w:rPr>
            </w:pPr>
          </w:p>
        </w:tc>
      </w:tr>
      <w:tr>
        <w:trPr>
          <w:trHeight w:val="270"/>
        </w:trPr>
        <w:tc>
          <w:tcPr>
            <w:tcW w:w="562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1"/>
                <w:szCs w:val="21"/>
                <w:color w:val="auto"/>
                <w:vertAlign w:val="superscript"/>
              </w:rPr>
              <w:t>(1)(2)(3)(4)</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210,592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153,626</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1"/>
                <w:szCs w:val="21"/>
                <w:color w:val="auto"/>
                <w:vertAlign w:val="superscript"/>
              </w:rPr>
              <w:t>(1)(3)(4)</w:t>
            </w: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23,549</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212,051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563,101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341,430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(5)</w:t>
            </w: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(loss), net</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(7,055)</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562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2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22"/>
                <w:szCs w:val="22"/>
                <w:color w:val="auto"/>
              </w:rPr>
            </w:pPr>
          </w:p>
        </w:tc>
        <w:tc>
          <w:tcPr>
            <w:tcW w:w="230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9,739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23,355</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43,995</w:t>
            </w:r>
          </w:p>
        </w:tc>
        <w:tc>
          <w:tcPr>
            <w:tcW w:w="12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107,371</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49,610</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25"/>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5"/>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8"/>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3"/>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FF0FC"/>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1,311</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668</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56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1,540</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 Includes non-cash benefit related to tax adjustment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6"/>
          </w:tcPr>
          <w:p>
            <w:pPr>
              <w:jc w:val="center"/>
              <w:ind w:left="4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4"/>
          </w:tcPr>
          <w:p>
            <w:pPr>
              <w:jc w:val="center"/>
              <w:ind w:right="39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Arial" w:cs="Arial" w:eastAsia="Arial" w:hAnsi="Arial"/>
                <w:sz w:val="14"/>
                <w:szCs w:val="14"/>
                <w:b w:val="1"/>
                <w:bCs w:val="1"/>
                <w:color w:val="auto"/>
                <w:w w:val="89"/>
              </w:rPr>
              <w:t>2021</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21"/>
                <w:szCs w:val="21"/>
                <w:color w:val="auto"/>
              </w:rPr>
            </w:pP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63"/>
        </w:trPr>
        <w:tc>
          <w:tcPr>
            <w:tcW w:w="56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(4) Includes employer payroll taxes on employee stock transactions as follows: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5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6"/>
          </w:tcPr>
          <w:p>
            <w:pPr>
              <w:jc w:val="center"/>
              <w:ind w:left="3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300" w:type="dxa"/>
            <w:vAlign w:val="bottom"/>
            <w:gridSpan w:val="4"/>
          </w:tcPr>
          <w:p>
            <w:pPr>
              <w:jc w:val="center"/>
              <w:ind w:right="414"/>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ind w:left="500"/>
              <w:spacing w:after="0"/>
              <w:rPr>
                <w:sz w:val="20"/>
                <w:szCs w:val="20"/>
                <w:color w:val="auto"/>
              </w:rPr>
            </w:pPr>
            <w:r>
              <w:rPr>
                <w:rFonts w:ascii="Arial" w:cs="Arial" w:eastAsia="Arial" w:hAnsi="Arial"/>
                <w:sz w:val="14"/>
                <w:szCs w:val="14"/>
                <w:b w:val="1"/>
                <w:bCs w:val="1"/>
                <w:color w:val="auto"/>
                <w:w w:val="96"/>
              </w:rPr>
              <w:t>2021</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gridSpan w:val="3"/>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1,275</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1,354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5,230</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3,380</w:t>
            </w:r>
          </w:p>
        </w:tc>
        <w:tc>
          <w:tcPr>
            <w:tcW w:w="20" w:type="dxa"/>
            <w:vAlign w:val="bottom"/>
            <w:shd w:val="clear" w:color="auto" w:fill="CFF0FC"/>
          </w:tcPr>
          <w:p>
            <w:pPr>
              <w:spacing w:after="0"/>
              <w:rPr>
                <w:sz w:val="24"/>
                <w:szCs w:val="24"/>
                <w:color w:val="auto"/>
              </w:rPr>
            </w:pPr>
          </w:p>
        </w:tc>
        <w:tc>
          <w:tcPr>
            <w:tcW w:w="920" w:type="dxa"/>
            <w:vAlign w:val="bottom"/>
            <w:gridSpan w:val="3"/>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2,086</w:t>
            </w:r>
          </w:p>
        </w:tc>
        <w:tc>
          <w:tcPr>
            <w:tcW w:w="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12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_________________</w:t>
            </w:r>
          </w:p>
        </w:tc>
        <w:tc>
          <w:tcPr>
            <w:tcW w:w="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(5) Includes amortization of issuance costs as follows:</w:t>
            </w: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6"/>
          </w:tcPr>
          <w:p>
            <w:pPr>
              <w:jc w:val="center"/>
              <w:ind w:left="38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4"/>
          </w:tcPr>
          <w:p>
            <w:pPr>
              <w:jc w:val="center"/>
              <w:ind w:right="414"/>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gridSpan w:val="5"/>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ind w:left="48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5"/>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8,062</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w:t>
            </w:r>
          </w:p>
        </w:tc>
        <w:tc>
          <w:tcPr>
            <w:tcW w:w="0" w:type="dxa"/>
            <w:vAlign w:val="bottom"/>
          </w:tcPr>
          <w:p>
            <w:pPr>
              <w:spacing w:after="0"/>
              <w:rPr>
                <w:sz w:val="1"/>
                <w:szCs w:val="1"/>
                <w:color w:val="auto"/>
              </w:rPr>
            </w:pPr>
          </w:p>
        </w:tc>
      </w:tr>
      <w:tr>
        <w:trPr>
          <w:trHeight w:val="27"/>
        </w:trPr>
        <w:tc>
          <w:tcPr>
            <w:tcW w:w="56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38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ind w:left="82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ind w:left="10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80" w:type="dxa"/>
            <w:vAlign w:val="bottom"/>
            <w:gridSpan w:val="2"/>
          </w:tcPr>
          <w:p>
            <w:pPr>
              <w:ind w:left="5860"/>
              <w:spacing w:after="0"/>
              <w:rPr>
                <w:sz w:val="20"/>
                <w:szCs w:val="20"/>
                <w:color w:val="auto"/>
              </w:rPr>
            </w:pPr>
            <w:r>
              <w:rPr>
                <w:rFonts w:ascii="Arial" w:cs="Arial" w:eastAsia="Arial" w:hAnsi="Arial"/>
                <w:sz w:val="14"/>
                <w:szCs w:val="14"/>
                <w:b w:val="1"/>
                <w:bCs w:val="1"/>
                <w:color w:val="auto"/>
                <w:w w:val="96"/>
              </w:rPr>
              <w:t>2021</w:t>
            </w:r>
          </w:p>
        </w:tc>
        <w:tc>
          <w:tcPr>
            <w:tcW w:w="1520" w:type="dxa"/>
            <w:vAlign w:val="bottom"/>
            <w:gridSpan w:val="3"/>
          </w:tcPr>
          <w:p>
            <w:pPr>
              <w:ind w:left="1200"/>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6"/>
          </w:tcPr>
          <w:p>
            <w:pPr>
              <w:ind w:left="380"/>
              <w:spacing w:after="0"/>
              <w:rPr>
                <w:sz w:val="20"/>
                <w:szCs w:val="20"/>
                <w:color w:val="auto"/>
              </w:rPr>
            </w:pPr>
            <w:r>
              <w:rPr>
                <w:rFonts w:ascii="Arial" w:cs="Arial" w:eastAsia="Arial" w:hAnsi="Arial"/>
                <w:sz w:val="14"/>
                <w:szCs w:val="14"/>
                <w:b w:val="1"/>
                <w:bCs w:val="1"/>
                <w:color w:val="auto"/>
              </w:rPr>
              <w:t>(as a percentage of total revenue</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3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income (loss):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Other income (loss), net</w:t>
            </w:r>
          </w:p>
        </w:tc>
        <w:tc>
          <w:tcPr>
            <w:tcW w:w="8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3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2"/>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5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September 30, 2021 and 2020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270,488</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154,675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115,813</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$115.8 million, or 75%, for the three months ended September 30, 2021 compared to the three months ended September 30, 2020. Approximately 70% of the increase in revenue was attributable to growth from existing customers, and the remaining 30%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82"/>
              <w:spacing w:after="0"/>
              <w:rPr>
                <w:sz w:val="20"/>
                <w:szCs w:val="20"/>
                <w:color w:val="auto"/>
              </w:rPr>
            </w:pPr>
            <w:r>
              <w:rPr>
                <w:rFonts w:ascii="Arial" w:cs="Arial" w:eastAsia="Arial" w:hAnsi="Arial"/>
                <w:sz w:val="18"/>
                <w:szCs w:val="18"/>
                <w:color w:val="auto"/>
              </w:rPr>
              <w:t>63,332</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33,984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29,348</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Cost of revenue increased by $29.3 million, or 86%, for the three months ended September 30, 2021 compared to the three months ended September 30, 2020. This increase was primarily due to an increase of $24.5 million in third-party cloud infrastructure hosting and software costs, an increase of $2.3 million in personnel expenses as a result of increased headcount and an increase of $1.4 million in depreciation and amortization.</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decreased by 1% for the three months ended September 30, 2021 compared to the three months ended September 30, 2020, primarily as a result of increased spend with our third-party cloud infrastructure providers.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9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112,675</w:t>
            </w:r>
          </w:p>
        </w:tc>
        <w:tc>
          <w:tcPr>
            <w:tcW w:w="52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56,440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56,235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42 %</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Research and development expense increased by $56.2 million, or 100%, for the three months ended September 30, 2021 compared to the three months ended September 30, 2020. This increase was primarily due to an increase of $40.0 million in personnel costs for our engineering, product and design teams as a result of increased headcount, an increase of $13.9 million in cloud hosting costs and an increase of $1.7 million in overhead costs.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75,827</w:t>
            </w:r>
          </w:p>
        </w:tc>
        <w:tc>
          <w:tcPr>
            <w:tcW w:w="54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57,142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28 %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and marketing expense increased by $18.7 million, or 33%, for the three months ended September 30, 2021 compared to the three months ended September 30, 2020. This increase was primarily due to an increase of $17.2 million in personnel costs for our sales and marketing organization as a result of increased headcount and increased variable compensation for our sales personnel.</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31" w:name="page32"/>
    <w:bookmarkEnd w:id="31"/>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20"/>
              <w:spacing w:after="0"/>
              <w:rPr>
                <w:sz w:val="20"/>
                <w:szCs w:val="20"/>
                <w:color w:val="auto"/>
              </w:rPr>
            </w:pPr>
            <w:r>
              <w:rPr>
                <w:rFonts w:ascii="Arial" w:cs="Arial" w:eastAsia="Arial" w:hAnsi="Arial"/>
                <w:sz w:val="14"/>
                <w:szCs w:val="14"/>
                <w:b w:val="1"/>
                <w:bCs w:val="1"/>
                <w:color w:val="auto"/>
                <w:w w:val="98"/>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23,549</w:t>
            </w:r>
          </w:p>
        </w:tc>
        <w:tc>
          <w:tcPr>
            <w:tcW w:w="52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16,376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ind w:left="780"/>
              <w:spacing w:after="0"/>
              <w:rPr>
                <w:sz w:val="20"/>
                <w:szCs w:val="20"/>
                <w:color w:val="auto"/>
              </w:rPr>
            </w:pPr>
            <w:r>
              <w:rPr>
                <w:rFonts w:ascii="Arial" w:cs="Arial" w:eastAsia="Arial" w:hAnsi="Arial"/>
                <w:sz w:val="18"/>
                <w:szCs w:val="18"/>
                <w:color w:val="auto"/>
              </w:rPr>
              <w:t>9 %</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 increased by $7.2 million, or 44%, for the three months ended September 30, 2021 compared to the three months ended September 30, 2020. This increase was primarily due to an increase of $5.5 million in personnel costs as a result of increased headcount and an increase of $0.3 million related to information system and services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20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5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2200" w:type="dxa"/>
            <w:vAlign w:val="bottom"/>
            <w:gridSpan w:val="3"/>
          </w:tcPr>
          <w:p>
            <w:pPr>
              <w:jc w:val="center"/>
              <w:ind w:left="664"/>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(loss), net</w:t>
            </w:r>
          </w:p>
        </w:tc>
        <w:tc>
          <w:tcPr>
            <w:tcW w:w="880" w:type="dxa"/>
            <w:vAlign w:val="bottom"/>
            <w:tcBorders>
              <w:bottom w:val="single" w:sz="8" w:color="CFF0FC"/>
            </w:tcBorders>
            <w:shd w:val="clear" w:color="auto" w:fill="CFF0FC"/>
          </w:tcPr>
          <w:p>
            <w:pPr>
              <w:jc w:val="right"/>
              <w:ind w:right="70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FF0FC"/>
            </w:tcBorders>
            <w:shd w:val="clear" w:color="auto" w:fill="CFF0FC"/>
          </w:tcPr>
          <w:p>
            <w:pPr>
              <w:jc w:val="right"/>
              <w:ind w:right="176"/>
              <w:spacing w:after="0"/>
              <w:rPr>
                <w:sz w:val="20"/>
                <w:szCs w:val="20"/>
                <w:color w:val="auto"/>
              </w:rPr>
            </w:pPr>
            <w:r>
              <w:rPr>
                <w:rFonts w:ascii="Arial" w:cs="Arial" w:eastAsia="Arial" w:hAnsi="Arial"/>
                <w:sz w:val="18"/>
                <w:szCs w:val="18"/>
                <w:color w:val="auto"/>
                <w:w w:val="99"/>
              </w:rPr>
              <w:t>128</w:t>
            </w:r>
          </w:p>
        </w:tc>
        <w:tc>
          <w:tcPr>
            <w:tcW w:w="740" w:type="dxa"/>
            <w:vAlign w:val="bottom"/>
            <w:tcBorders>
              <w:bottom w:val="single" w:sz="8" w:color="CFF0FC"/>
            </w:tcBorders>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8"/>
              </w:rPr>
              <w:t>(5,288)</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0 %</w:t>
            </w:r>
          </w:p>
        </w:tc>
        <w:tc>
          <w:tcPr>
            <w:tcW w:w="7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(loss), net increased by $5.4 million in the three months ended September 30, 2021 compared to the three months ended September 30, 2020. This increase was primarily due to a decrease of $7.2 million in interest expense related to our 2025 Notes. The overall increase was partially offset by a decrease of $1.6 million in interest income earned on our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702,586</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425,935</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276,651</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$276.7 million, or 65%, in the nine months ended September 30, 2021 compared to the nine months ended September 30, 2020. Approximately 70% of the increase in revenue was attributable to growth from existing customers, and the remaining 30%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167,096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89,340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77,756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increased by $77.8 million, or 87%, in the nine months ended September 30, 2021 compared to the nine months ended September 30, 2020. This increase was primarily due to an increase of $67.4 million in third-party cloud infrastructure hosting and software costs, an increase of $5.5 million in personnel expenses as a result of increased headcount, an increase of $2.7 million of depreciation and amortization and an increase of $1.9 million of credit card processing fees and allocated overhead costs.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2" w:name="page33"/>
    <w:bookmarkEnd w:id="32"/>
    <w:p>
      <w:pPr>
        <w:jc w:val="both"/>
        <w:ind w:firstLine="486"/>
        <w:spacing w:after="0" w:line="277" w:lineRule="auto"/>
        <w:rPr>
          <w:sz w:val="20"/>
          <w:szCs w:val="20"/>
          <w:color w:val="auto"/>
        </w:rPr>
      </w:pPr>
      <w:r>
        <w:rPr>
          <w:rFonts w:ascii="Arial" w:cs="Arial" w:eastAsia="Arial" w:hAnsi="Arial"/>
          <w:sz w:val="18"/>
          <w:szCs w:val="18"/>
          <w:color w:val="auto"/>
        </w:rPr>
        <w:t>Our gross margin decreased 3% for the nine months ended September 30, 2021 compared to the nine months ended September 30, 2020, primarily as a result of increased investments to expand the capacity of our third-party cloud infrastructure providers.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286,720</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142,928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143,792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Research and development expense increased by $143.8 million, or 101%, in the nine months ended September 30, 2021 compared to the nine months ended September 30, 2020. This increase was primarily due to an increase of $104.9 million in personnel costs for our engineering, product and design teams as a result of increased headcount and acquisition-related service costs and an increase of $35.9 million in cloud hosting costs.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5"/>
        </w:trPr>
        <w:tc>
          <w:tcPr>
            <w:tcW w:w="5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210,592</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153,626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56,966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 increased by $57.0 million, or 37%, in the nine months ended September 30, 2021 compared to the nine months ended September 30, 2020. This increase was primarily due to an increase of $49.9 million in personnel costs for our sales and marketing organization as a result of increased headcount and increased variable compensation for our sales personnel and an increase of $5.9 million in marketing and promotional activities.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65,789</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44,876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20,913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9 %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General and administrative expense increased by $20.9 million, or 47%, in the nine months ended September 30, 2021 compared to the nine months ended September 30, 2020. This increase was primarily due to an increase of $16.3 million in personnel expenses as a result of increased headcount and an increase of $2.1 million related to other costs and allocated overhead costs to support the growing business.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0FC"/>
            </w:tcBorders>
            <w:shd w:val="clear" w:color="auto" w:fill="CFF0FC"/>
          </w:tcPr>
          <w:p>
            <w:pPr>
              <w:jc w:val="right"/>
              <w:ind w:right="182"/>
              <w:spacing w:after="0"/>
              <w:rPr>
                <w:sz w:val="20"/>
                <w:szCs w:val="20"/>
                <w:color w:val="auto"/>
              </w:rPr>
            </w:pPr>
            <w:r>
              <w:rPr>
                <w:rFonts w:ascii="Arial" w:cs="Arial" w:eastAsia="Arial" w:hAnsi="Arial"/>
                <w:sz w:val="18"/>
                <w:szCs w:val="18"/>
                <w:color w:val="auto"/>
              </w:rPr>
              <w:t>657</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96"/>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0 %</w:t>
            </w:r>
          </w:p>
        </w:tc>
        <w:tc>
          <w:tcPr>
            <w:tcW w:w="6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Other income (loss), net increased by $2.9 million in the nine months ended September 30, 2021 compared to the nine months ended September 30, 2020. For the nine months ended September 30, 2021, the increase was primarily due to a</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decrease of $7.6 million in interest expense related to our 2025 Notes. The overall increase was partially offset by a $5.7 million increase in the amortization of premiums on our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Since inception, we have financed operations primarily through sales of subscriptions and the net proceeds we have received from issuance of equity and debt securities.</w:t>
      </w:r>
    </w:p>
    <w:p>
      <w:pPr>
        <w:spacing w:after="0" w:line="1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June 2020, we issued $747.5 million aggregate principal amount of the 2025 Notes in a private placement to qualified institutional buyers pursuant to Rule 144A under the Securities Act. The 2025 Notes will mature on June 15, 2025, unless earlier converted, redeemed or repurchased.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we had $287.0 million in cash and cash equivalents and $1,180.2 million in marketable securities.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cash and cash equivalents primarily consist of bank deposits and money market funds. Our marketable securities consist of commercial debt securities, certificates of deposit, U.S. government treasury and commercial paper.</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customers, the expansion of sales and marketing activities, the timing and extent of spending to support development efforts, the introduction of new and enhanced products, the continuing market adoption of our platform and the current uncertainty in the global markets resulting from the ongoing COVID-19 pandemic on our customers’ businesses and operations. 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6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 substantial source of our cash from operations is from our deferred revenue, which is included in the liabilities section of our condensed consolidated balance sheet. Deferred revenue consists of the unearned portion of customer billings, which will be recognized as revenue in accordance with our revenue recognition policy. As of September 30, 2021, we had deferred revenue of $304.2 million, of which $301.0 million was recorded as a current liability and expected to be recognized as revenue in the next 12 months, provided all other revenue recognition criteria have been met.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26"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Nine Months Ended</w:t>
      </w:r>
    </w:p>
    <w:p>
      <w:pPr>
        <w:ind w:left="94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170,752</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(127,705)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(1,143,933)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20,200</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659,218</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largest source of operating cash is cash collection from sales of subscriptions to our customers. Our primary uses of cash from operating activities are for personnel expenses, marketing expenses, hosting expenses and overhead expenses. We have generated positive cash flows and have supplemented working capital requirements through net proceeds from the sale of equity and debt securities.</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provided by operating activities for the nine months ended September 30, 2021 of $170.8 million was primarily related to our net loss of $27.9 million, adjusted for non-cash charges of $164.4 million and net cash inflows of $34.2 million provided by changes in our operating assets and liabilities. Non-cash charges primarily consisted of stock-based compensation, depreciation and amortization of property and equipment, amortization of acquired intangibles, amortization of discounts or premiums on marketable securities, non-cash lease expense, amortization of deferred contract costs and amortization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issuance costs related to our 2025 Notes. The main drivers of the changes in operating assets and liabilities were related to a $94.9 million increase in deferred revenue, resulting primarily from increased billings for subscriptions, a $12.4 million increase in accounts payable and a $19.2 million increase in accrued expenses and other liabilities. These amounts were partially offset by a $61.9 million increase in accounts receivable, due to increases in sales, $27.6 million increase in deferred contract costs related to commissions paid on new bookings, a $0.9 million increase in prepaid expenses and other current assets, primarily driven by prepaid rent and a $1.8 million increase in other assets.</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Cash provided by operating activities for the nine months ended September 30, 2020 of $85.3 million was primarily related to our net loss of $8.4 million, adjusted for non-cash charges of $96.9 million and net cash outflows of $3.2 million used in changes in our operating assets and liabilities. Non-cash charges primarily consisted of stock-based compensation, depreciation and amortization of property and equipment and amortization of acquired intangibles. The main drivers of the changes in operating assets and liabilities were related to a $21.3 million increase in accounts receivable, net, due to increases in sales, a $15.8 million increase in deferred contract costs related to commissions paid on new bookings, a $6.8 million increase in prepaid expenses and other current assets, primarily driven by prepaid hosting services and a $0.6 million increase in other assets. These amounts were partially offset by a $28.0 million increase in deferred revenue, resulting primarily from increased billings for subscriptions, a $6.4 million increase in accounts payable and a $6.9 million increase in accrued expenses and other liabilities.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used in investing activities for the nine months ended September 30, 2021 was $127.7 million and was primarily the result of investment in marketable securities of $897.4 million, a $19.4 million increase in capitalization of software development costs, a $7.6 million increase in capital expenditures to purchase property and equipment to support office space and site operations and $200.2 million paid for acquisitions. These amounts were partially offset by proceeds of $935.7 million and $61.1 million from the maturities and sales of marketable securities, respectively.</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Cash used in investing activities for the nine months ended September 30, 2020 was $1,143.9 million and was primarily the result of investment in marketable securities of $1,477.1 million, a $14.4 million increase in the capitalization of software development costs, a $4.3 million increase in capital expenditures to purchase property and equipment to support additional office space and site operations and $2.4 million paid for an acquisition. These amounts were partially offset by proceeds of $268.5 million and $85.7 million from the maturities and sales of marketable securities, respectively.</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2021 was $20.2 million and was primarily the result of proceeds from the issuance of Class A common stock under the ESPP in the amount of $9.8 million and proceeds from the exercise of stock options in the amount of $10.7 million. These amounts were partially offset by $0.2 million of taxes paid in connection with the ESPP.</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Cash provided by financing activities for the nine months ended September 30, 2020 was $659.2 million and was primarily attributable to proceeds from the issuance of the 2025 Notes in the amount of $730.2 million, net of issuance costs, proceeds from the issuance of Class A common stock under the ESPP in the amount of $7.7 million and proceeds from the exercise of stock options in the amount of $12.4 million. These amounts were partially offset by an $89.6 million purchase of the capped call in connection with the issuance of the 2025 Notes, $1.0 million of taxes paid in connection with the ESPP and $0.4 million of the initial public offering, or IPO,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report our financial results in accordance with GAAP. To supplement our condensed consolidated financial statements, we provide investors with the amount of free cash flow, which is a non-GAAP financial measure. Free cash flow represents net cash used in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may be limited. You should consider free cash flow alongside our other GAAP-based financial performance measures, such as net cash used in operating activities, and our other GAAP financial results.</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presents our cash flows for the periods presented and a reconciliation of free cash flow to net cash provided by operating activities, the most directly comparable financial measure calculated in accordance with GAAP:</w:t>
      </w:r>
    </w:p>
    <w:p>
      <w:pPr>
        <w:spacing w:after="0" w:line="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Nine Months Ended</w:t>
      </w:r>
    </w:p>
    <w:p>
      <w:pPr>
        <w:ind w:left="94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83"/>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r>
      <w:tr>
        <w:trPr>
          <w:trHeight w:val="231"/>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85,263</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(4,336)</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66,556</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purchase commitments to our cloud hosting providers and other vendors and obligations to pay the 2025 Notes’ coupons and principal.</w:t>
      </w:r>
    </w:p>
    <w:p>
      <w:pPr>
        <w:spacing w:after="0" w:line="184" w:lineRule="exact"/>
        <w:rPr>
          <w:sz w:val="20"/>
          <w:szCs w:val="20"/>
          <w:color w:val="auto"/>
        </w:rPr>
      </w:pPr>
    </w:p>
    <w:p>
      <w:pPr>
        <w:ind w:right="60" w:firstLine="486"/>
        <w:spacing w:after="0" w:line="231" w:lineRule="auto"/>
        <w:rPr>
          <w:sz w:val="20"/>
          <w:szCs w:val="20"/>
          <w:color w:val="auto"/>
        </w:rPr>
      </w:pPr>
      <w:r>
        <w:rPr>
          <w:rFonts w:ascii="Arial" w:cs="Arial" w:eastAsia="Arial" w:hAnsi="Arial"/>
          <w:sz w:val="18"/>
          <w:szCs w:val="18"/>
          <w:color w:val="auto"/>
        </w:rPr>
        <w:t xml:space="preserve">During the nine months ended September 30, 2021, other than certain non-cancelable operating leases 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our Notes to Unaudited Condensed Consolidated Financial Statements included in Part I, Item 1 of this Quarterly Report on Form 10-Q, there were no other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2021, we did not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As of September 30, 2021, we had $261.1 million in cash equivalents and $1,180.2 million in marketable securities, </w:t>
      </w:r>
      <w:r>
        <w:rPr>
          <w:rFonts w:ascii="Arial" w:cs="Arial" w:eastAsia="Arial" w:hAnsi="Arial"/>
          <w:sz w:val="16"/>
          <w:szCs w:val="16"/>
          <w:color w:val="333333"/>
        </w:rPr>
        <w:t>which consisted</w:t>
      </w:r>
      <w:r>
        <w:rPr>
          <w:rFonts w:ascii="Arial" w:cs="Arial" w:eastAsia="Arial" w:hAnsi="Arial"/>
          <w:sz w:val="16"/>
          <w:szCs w:val="16"/>
          <w:color w:val="auto"/>
        </w:rPr>
        <w:t xml:space="preserve"> of commercial debt, certificates of deposit, U.S. government treasury and agency securities and commercial paper</w:t>
      </w:r>
      <w:r>
        <w:rPr>
          <w:rFonts w:ascii="Arial" w:cs="Arial" w:eastAsia="Arial" w:hAnsi="Arial"/>
          <w:sz w:val="16"/>
          <w:szCs w:val="16"/>
          <w:color w:val="333333"/>
        </w:rPr>
        <w:t>. In addition, we had</w:t>
      </w:r>
      <w:r>
        <w:rPr>
          <w:rFonts w:ascii="Arial" w:cs="Arial" w:eastAsia="Arial" w:hAnsi="Arial"/>
          <w:sz w:val="16"/>
          <w:szCs w:val="16"/>
          <w:color w:val="auto"/>
        </w:rPr>
        <w:t xml:space="preserve"> $3.6 million of restricted cash due to the outstanding letters of credit established in connection with lease agreements for our facilities. Our cash and cash equivalents are held for working capital purposes. We do not enter into investments for trading or speculative purposes. </w:t>
      </w:r>
      <w:r>
        <w:rPr>
          <w:rFonts w:ascii="Arial" w:cs="Arial" w:eastAsia="Arial" w:hAnsi="Arial"/>
          <w:sz w:val="16"/>
          <w:szCs w:val="16"/>
          <w:color w:val="333333"/>
        </w:rPr>
        <w:t>Our investments are exposed to market risk due to a fluctuation in</w:t>
      </w:r>
      <w:r>
        <w:rPr>
          <w:rFonts w:ascii="Arial" w:cs="Arial" w:eastAsia="Arial" w:hAnsi="Arial"/>
          <w:sz w:val="16"/>
          <w:szCs w:val="16"/>
          <w:color w:val="auto"/>
        </w:rPr>
        <w:t xml:space="preserve"> </w:t>
      </w:r>
      <w:r>
        <w:rPr>
          <w:rFonts w:ascii="Arial" w:cs="Arial" w:eastAsia="Arial" w:hAnsi="Arial"/>
          <w:sz w:val="16"/>
          <w:szCs w:val="16"/>
          <w:color w:val="333333"/>
        </w:rPr>
        <w:t xml:space="preserve">interest rates, which may affect our interest income and the fair market value of our investments. </w:t>
      </w:r>
      <w:r>
        <w:rPr>
          <w:rFonts w:ascii="Arial" w:cs="Arial" w:eastAsia="Arial" w:hAnsi="Arial"/>
          <w:sz w:val="16"/>
          <w:szCs w:val="16"/>
          <w:color w:val="000000"/>
        </w:rPr>
        <w:t>As of September 30, 2021, a hypothetical 10% relative</w:t>
      </w:r>
      <w:r>
        <w:rPr>
          <w:rFonts w:ascii="Arial" w:cs="Arial" w:eastAsia="Arial" w:hAnsi="Arial"/>
          <w:sz w:val="16"/>
          <w:szCs w:val="16"/>
          <w:color w:val="333333"/>
        </w:rPr>
        <w:t xml:space="preserve"> </w:t>
      </w:r>
      <w:r>
        <w:rPr>
          <w:rFonts w:ascii="Arial" w:cs="Arial" w:eastAsia="Arial" w:hAnsi="Arial"/>
          <w:sz w:val="16"/>
          <w:szCs w:val="16"/>
          <w:color w:val="000000"/>
        </w:rPr>
        <w:t>change in interest rates would not have a material impact on our condensed consolidated financial statements.</w:t>
      </w:r>
    </w:p>
    <w:p>
      <w:pPr>
        <w:spacing w:after="0" w:line="16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Canada, France, Ireland, the United Kingdom, Japan, Australia, Germany, the Netherlands and Spain.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2021. Based on the evaluation of our disclosure controls and procedures as of September 30, 2021,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7" w:name="page38"/>
    <w:bookmarkEnd w:id="37"/>
    <w:p>
      <w:pPr>
        <w:jc w:val="both"/>
        <w:spacing w:after="0" w:line="253" w:lineRule="auto"/>
        <w:rPr>
          <w:sz w:val="20"/>
          <w:szCs w:val="20"/>
          <w:color w:val="auto"/>
        </w:rPr>
      </w:pPr>
      <w:r>
        <w:rPr>
          <w:rFonts w:ascii="Arial" w:cs="Arial" w:eastAsia="Arial" w:hAnsi="Arial"/>
          <w:sz w:val="18"/>
          <w:szCs w:val="18"/>
          <w:color w:val="auto"/>
        </w:rPr>
        <w:t>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ongoing COVID-19 pandemic and any related economic downturn could negatively impact our business, financial condition and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will be adversely affected.</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ongoing COVID-19 pandemic and any related economic downturn could negatively impact our business, financial condition and results of operations.</w:t>
      </w:r>
    </w:p>
    <w:p>
      <w:pPr>
        <w:spacing w:after="0" w:line="19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ongoing COVID-19 pandemic may continue to prevent us or our employees, customers, partners, suppliers or vendors or other parties with whom we do business from conducting certain marketing and other business activities for an indefinite period of time, which could adversely impact our business, financial position and results of operations. Further, in response to the COVID-19 pandemic, including the emergence and spread of new variant strains of COVID-19, many state, local and foreign governments have put in place, and others in the future may put in place, quarantines, executive orders, shelter-in-place orders, occupancy limits, vaccination mandates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of events, among other effects that could negatively impact productivity and disrupt our operations or those of our customers, partners, suppliers or vendors or other parties with whom we do business. While the rollout of COVID-19 vaccines is ongoing, vaccination rates and the lifting of occupancy and movement restrictions varies from location to location, is evolving, and to varying degrees remains unknown.</w:t>
      </w:r>
    </w:p>
    <w:p>
      <w:pPr>
        <w:spacing w:after="0" w:line="18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light of the uncertain and rapidly evolving situation relating to the spread of COVID-19, we have taken measures intended to help minimize the risk of the virus to our employees and the communities in which we participate. These measures included temporarily suspending all non-essential travel worldwide for our employees, canceling, postponing or holding virtually any Datadog events and discouraging employee attendance at any industry events or in-person work-related meetings. Although we have recently and may continue to selectively reopen certain of our offices and hold in-person meetings and events in compliance with applicable government orders and guidelines, many of our employees continue to work remotely and in-person meetings remain limited. We have a distributed workforce and our employees are accustomed to working remotely and working with others who are working remotely. However, the limitation of in-person meetings could negatively impact our marketing efforts, the length or variability of our sales cycles, our international expansion efforts or the length of our average recruiting cycle for employees across the organization. Further, operational or other challenges could arise as we and our customers, partners, suppliers and vendors and other parties with whom we do business continue to operate via a remote workforce. In addition, our management team has, and will likely continue, to spend significant time, attention and resources monitoring the COVID-19 pandemic and seeking to manage its effects on our business and workforce.</w:t>
      </w:r>
    </w:p>
    <w:p>
      <w:pPr>
        <w:spacing w:after="0" w:line="19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6"/>
          <w:szCs w:val="16"/>
          <w:color w:val="auto"/>
        </w:rPr>
        <w:t>COVID-19 could also adversely affect workforces, economies and financial markets globally, potentially leading to an economic downturn and a reduction in customer spending on our solutions or an inability for our customers, partners, suppliers or vendors or other parties with whom we do business to meet their contractual obligations. While it is not possible at this time to predict the duration and extent of the impact that COVID-19 could have on worldwide economic activity and our business in particular, the continued spread of COVID-19, especially in light of the emergence of new variant strains of COVID-19, and the measures taken by governments, businesses and other organizations in response to COVID-19, as well as the uncertainty around the duration of business disruptions, the timing of the vaccine rollouts and rates of vaccination could adversely impact our business, financial condition and results of operations. For example, during the second quarter of 2020, we experienced some impact to the rate of usage growth from our existing customers. In addition, we have provided and may continue to provide guidance about our business and future operating results, which is based on certain assumptions, estimates and expectations as of the date such guidance is given. Guidance is necessarily speculative in nature, and is inherently subject to significant business, economic and competitive uncertainties and contingencies, many of which are beyond our control, such as the global economic uncertainty and financial market conditions caused by the COVID-19 pandemic. If we were to revise or fail to meet our announced guidance or expectations of analysts as a result of these factors, the price of our Class A common stock could be negatively affected.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within our existing customer base, acquire new customers, develop and expand our sales and marketing capabilities and expand internationally.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international trade relations, political turmoil, natural catastrophes, </w:t>
      </w:r>
      <w:r>
        <w:rPr>
          <w:rFonts w:ascii="Arial" w:cs="Arial" w:eastAsia="Arial" w:hAnsi="Arial"/>
          <w:sz w:val="16"/>
          <w:szCs w:val="16"/>
          <w:color w:val="333333"/>
        </w:rPr>
        <w:t>outbreaks of contagious diseases (such as the ongoing COVID-19 pandemic),</w:t>
      </w:r>
      <w:r>
        <w:rPr>
          <w:rFonts w:ascii="Arial" w:cs="Arial" w:eastAsia="Arial" w:hAnsi="Arial"/>
          <w:sz w:val="16"/>
          <w:szCs w:val="16"/>
          <w:color w:val="auto"/>
        </w:rPr>
        <w:t xml:space="preserve"> warfare and terrorist attacks on the United States, Europe, the Asia Pacific region or elsewhere, could cause a decrease in business investments, including spending on information technology, disrupt the timing and cadence of key industry events, and negatively affect the growth of our business and our results of operations. For example,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In addition, our competitors, many of whom are larger and have greater financial resources than we do, may respond to challenging market conditions by lowering prices in an attempt to attract our customers and may be less dependent on key industry events to generate sales for their products. In addition,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revenue was $702.6 million, $425.9 million, $603.5 million and $362.8 million for the nine months ended September 30, 2021 and 2020 and the years ended December 31, 2020 and 2019,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49"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generated net losses of $(27.9) million and $(8.4) million for the nine months ended September 30, 2021 and 2020, respectively. We generated net losses of $(24.5) million and $(16.7) million for the years ended December 31, 2020 and 2019, respectively. As of September 30, 2021, we had an accumulated deficit of $159.3 million. While we have experienced significant revenue growth in recent periods, we are not certain whether or when we will obtain a high enough volume of sales to sustain or increase our growth or achieve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achieve and sustain profitability, the value of our business and Class A common stock may significantly decrease.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forecast our future results of operations.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were founded in June 2010.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48"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the effects of global economic conditions, including due to the global economic uncertainty and financial market conditions caused by the COVID-19 pandemic, or reductions in our customers’ spending on IT solutions or their spending levels generally. In addition, the factors impacting our ability to sell additional subscriptions and products to our customers may be exacerbated by the COVID-19 pandemic.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84" w:lineRule="exact"/>
        <w:rPr>
          <w:sz w:val="20"/>
          <w:szCs w:val="20"/>
          <w:color w:val="auto"/>
        </w:rPr>
      </w:pPr>
    </w:p>
    <w:p>
      <w:pPr>
        <w:jc w:val="both"/>
        <w:ind w:firstLine="486"/>
        <w:spacing w:after="0" w:line="225"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 attacks, ransomware, security incidents, or security breaches, or if unauthorized parties otherwise obtain access to our customers’ data, our data, or our platform, then our solution may be perceived as not being secure, our reputation may be harmed, demand for our platform and products may be reduced, and we may incur significant liabilities or additional expenses.</w:t>
      </w:r>
    </w:p>
    <w:p>
      <w:pPr>
        <w:spacing w:after="0" w:line="214"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ind w:right="40"/>
        <w:spacing w:after="0" w:line="261" w:lineRule="auto"/>
        <w:rPr>
          <w:sz w:val="20"/>
          <w:szCs w:val="20"/>
          <w:color w:val="auto"/>
        </w:rPr>
      </w:pPr>
      <w:r>
        <w:rPr>
          <w:rFonts w:ascii="Arial" w:cs="Arial" w:eastAsia="Arial" w:hAnsi="Arial"/>
          <w:sz w:val="18"/>
          <w:szCs w:val="18"/>
          <w:color w:val="auto"/>
        </w:rPr>
        <w:t>business, for legal and marketing purposes, and for other business-related purposes. We may use third-party service providers and sub-processors to help us deliver services to our customers. These vendors may store or process personal information on our behalf.</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loss of our or our customers’ data,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due to the COVID-19 pandemic, which may pose additional data security risks (including, for example, an increase in phishing and spam emails we began experiencing during 2020).</w:t>
      </w:r>
    </w:p>
    <w:p>
      <w:pPr>
        <w:spacing w:after="0" w:line="1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 In addition, we do not directly control content that our customers store in our products. If our customers use our products for the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6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 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2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use third-party technology, systems and services in a variety of contexts, including, without limitation, encryption and authentication technology, employee email, content delivery to customers, back-office support, credit card processing and other functions. Although we have developed systems and processes that are designed to protect customer data and prevent data loss and other security breaches, including systems and processes designed to reduce the impact of a security breach at a third-party service provider, such measures cannot provide absolute security.</w:t>
      </w:r>
    </w:p>
    <w:p>
      <w:pPr>
        <w:spacing w:after="0" w:line="17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9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 xml:space="preserve">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w:t>
      </w:r>
      <w:r>
        <w:rPr>
          <w:rFonts w:ascii="Arial" w:cs="Arial" w:eastAsia="Arial" w:hAnsi="Arial"/>
          <w:sz w:val="16"/>
          <w:szCs w:val="16"/>
          <w:color w:val="333333"/>
        </w:rPr>
        <w:t>outbreaks of contagious diseases,</w:t>
      </w:r>
      <w:r>
        <w:rPr>
          <w:rFonts w:ascii="Arial" w:cs="Arial" w:eastAsia="Arial" w:hAnsi="Arial"/>
          <w:sz w:val="16"/>
          <w:szCs w:val="16"/>
          <w:color w:val="auto"/>
        </w:rPr>
        <w:t xml:space="preserve">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5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5540" w:right="5440" w:hanging="5046"/>
        <w:spacing w:after="0" w:line="1064" w:lineRule="auto"/>
        <w:tabs>
          <w:tab w:leader="none" w:pos="981"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demand for or pricing of our platform and products;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6" w:name="page47"/>
    <w:bookmarkEnd w:id="46"/>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 including those related to the ongoing COVID-19 pandemic;</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social and economic impacts spread.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we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and future growth depend largely upon the continued services of our executive officers, particularly Olivier Pomel, our co-founder and Chief Executive Officer, Alexis Lê-Quôc, our co-founder, President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6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the ongoing COVID-19 pandemic and remote work arrangements. If we fail to maintain our company culture, our business and competitive position may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If we were unable to enhance our products and platform capabilities that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9" w:name="page50"/>
    <w:bookmarkEnd w:id="49"/>
    <w:p>
      <w:pPr>
        <w:jc w:val="both"/>
        <w:ind w:firstLine="486"/>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400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Micro Focus International plc, BMC Software, Inc. and Computer Associates International, Inc.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color w:val="auto"/>
        </w:rPr>
        <w:t>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We have legal, contractual and other applicable obligations regarding the protection of confidentiality and appropriate use of personal information, confidential information, </w:t>
      </w:r>
      <w:r>
        <w:rPr>
          <w:rFonts w:ascii="Arial" w:cs="Arial" w:eastAsia="Arial" w:hAnsi="Arial"/>
          <w:sz w:val="16"/>
          <w:szCs w:val="16"/>
          <w:color w:val="333333"/>
        </w:rPr>
        <w:t>and other proprietary</w:t>
      </w:r>
      <w:r>
        <w:rPr>
          <w:rFonts w:ascii="Arial" w:cs="Arial" w:eastAsia="Arial" w:hAnsi="Arial"/>
          <w:sz w:val="16"/>
          <w:szCs w:val="16"/>
          <w:color w:val="auto"/>
        </w:rPr>
        <w:t xml:space="preserve"> information that we, our third-party service providers or other partners process. We are subject to a variety of federal, state, local and international laws, directives and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w:t>
      </w:r>
    </w:p>
    <w:p>
      <w:pPr>
        <w:spacing w:after="0" w:line="188"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General Data Protection Regulation, or GDPR, contains numerous requirements and changes from previously existing law, including more robust obligations on data processors and heavier documentation requirements for data protection compliance programs by companies.</w:t>
      </w:r>
    </w:p>
    <w:p>
      <w:pPr>
        <w:spacing w:after="0" w:line="18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6"/>
          <w:szCs w:val="16"/>
          <w:color w:val="auto"/>
        </w:rPr>
        <w:t>In addition, European data protection laws including the GDPR also generally prohibit the transfer of personal information from Europe to the United States and most other countries unless the parties to the transfer have established a legal basis for the transfer and implemented specific safeguards to protect the transferred personal information. One of the primary mechanisms allowing U.S. companies to import personal information from Europe in compliance with the GDPR has been certification to the EU-U.S. Privacy Shield and Swiss-U.S. Privacy Shield frameworks administered by the U.S. Department of Commerce. However, the Court of Justice of the European Union, in the “Schrems II” ruling, invalidated the EU-U.S. Privacy Shield framework. The Swiss Federal Data Protection and Information Commissioner also opined that the Swiss-U.S. Privacy Shield is inadequate for transfers of data from Switzerland to the United States. Inability to import personal information from Europe to the United States may decrease demand for our products and services as our customers that are subject to the GDPR may seek alternatives that do not involve personal information transfers out of Europe.</w:t>
      </w:r>
    </w:p>
    <w:p>
      <w:pPr>
        <w:spacing w:after="0" w:line="16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6"/>
          <w:szCs w:val="16"/>
          <w:color w:val="auto"/>
        </w:rPr>
        <w:t>The Schrems II decision also raised questions about whether one of the primary alternatives to the EU-U.S. Privacy Shield, namely, the European Commission’s Standard Contractual Clauses, or “SCCs,” can lawfully be used for personal information transfers from Europe to the United States or most other countries. At present, there are few, if any, viable alternatives to the SCCs. On June 4, 2021, the European Commission adopted new SCCs under the GDPR for personal data transfers outside the European Economic Area, or EEA. Under this legal mechanism, we may have obligations to conduct transfer impact assessments for such cross-border data transfers and implement additional security measures, which increases the difficulty of selling to European customers and may lead to longer sales cycles. We have relied and expect to continue to rely on the new SCCs, which may require us to expend significant resources to comply with such obligations and, where needed, to update our contractual arrangements. While we have taken steps to mitigate the impact on us with respect to transfers of data, such as implementing SCCs, the efficacy and longevity of these transfer mechanisms remains uncertain.</w:t>
      </w:r>
    </w:p>
    <w:p>
      <w:pPr>
        <w:spacing w:after="0" w:line="3"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7"/>
          <w:szCs w:val="17"/>
          <w:color w:val="auto"/>
        </w:rPr>
        <w:t>Further, the United Kingdom’s decision to leave the European Union, often referred to as Brexit, has created uncertainty with regard to data protection regulation in the United Kingdom and particularly whether the transfer of personal information from the EEA to the United Kingdom will be lawful under the GDPR. On June 28, 2021, the European Commission issued an adequacy decision under the GDPR which allows transfers (other than those carried out for the purposes of United Kingdom immigration control) of personal data from the EEA to the United Kingdom to continue without restriction for a period of four years ending June 27, 2025. After that period, the adequacy decision may be renewed, however, only if the United Kingdom continues to ensure an adequate level of data protection. During these four years, the European Commission will continue to monitor the legal situation in the United Kingdom and could intervene at any point if the United Kingdom deviates from the level of data protection in place at the time of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SCCs, to enable transfers of personal data from the EEA to the United Kingdom to continue.</w:t>
      </w:r>
    </w:p>
    <w:p>
      <w:pPr>
        <w:spacing w:after="0" w:line="21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7"/>
          <w:szCs w:val="17"/>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Recently, for example, Brazil enacted the General Data Protection Law, New Zealand enacted the New Zealand Privacy Act, China enacted its Personal Information Protection Law, and Canada introduced the Digital Charter Implementation Act.</w:t>
      </w:r>
    </w:p>
    <w:p>
      <w:pPr>
        <w:spacing w:after="0" w:line="3" w:lineRule="exact"/>
        <w:rPr>
          <w:sz w:val="20"/>
          <w:szCs w:val="20"/>
          <w:color w:val="auto"/>
        </w:rPr>
      </w:pPr>
    </w:p>
    <w:p>
      <w:pPr>
        <w:jc w:val="both"/>
        <w:ind w:firstLine="486"/>
        <w:spacing w:after="0" w:line="233" w:lineRule="auto"/>
        <w:rPr>
          <w:sz w:val="20"/>
          <w:szCs w:val="20"/>
          <w:color w:val="auto"/>
        </w:rPr>
      </w:pPr>
      <w:r>
        <w:rPr>
          <w:rFonts w:ascii="Arial" w:cs="Arial" w:eastAsia="Arial" w:hAnsi="Arial"/>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p>
      <w:pPr>
        <w:jc w:val="both"/>
        <w:spacing w:after="0" w:line="231" w:lineRule="auto"/>
        <w:rPr>
          <w:sz w:val="20"/>
          <w:szCs w:val="20"/>
          <w:color w:val="auto"/>
        </w:rPr>
      </w:pPr>
      <w:r>
        <w:rPr>
          <w:rFonts w:ascii="Arial" w:cs="Arial" w:eastAsia="Arial" w:hAnsi="Arial"/>
          <w:sz w:val="18"/>
          <w:szCs w:val="18"/>
          <w:color w:val="auto"/>
        </w:rPr>
        <w:t>information from Europe or elsewhere. Inability to import personal information from other jurisdictions to the United States may significantly and negatively impact our business operations, including by lowering sales on our platform due to the difficultly of establishing a lawful basis for personal information transfers out of Europe or other jurisdictions, or requiring us to increase our data processing capabilities in Europe or elsewhere at significant expense.</w:t>
      </w:r>
    </w:p>
    <w:p>
      <w:pPr>
        <w:spacing w:after="0" w:line="18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to the GDPR, the European Commission has another draft regulation in the approval process, known as the Regulation on Privacy and Electronic Communications, or ePrivacy Regulation, that would replace the current ePrivacy Directive. Originally planned to be adopted and implemented at the same time as the GDPR, the ePrivacy Regulation continues to be delayed. While the new legislation contains protections for those using communications services (for example, protections against online tracking technologies), the timing of its proposed enactment following the GDPR means that additional time and effort may need to be spent addressing differences between the ePrivacy Regulation and the GDPR. New rules related to the ePrivacy Regulation may negatively impact our platform and products and our relationships with our customers, including by increasing the cost of online marketing, reducing our revenue, and causing us to expend significant resources to change the way we market our products. Following Brexit, it is unclear whether, and if so how, the United Kingdom will introduce any or all of the ePrivacy Regulation into law in the United Kingdom.</w:t>
      </w:r>
    </w:p>
    <w:p>
      <w:pPr>
        <w:spacing w:after="0" w:line="16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Complying with the GDPR, the ePrivacy Regulation, when it becomes effective,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data) originating from the EEA, we may find it necessary to establish additional systems and processes to maintain such data in the EEA, which may involve substantial expense and distraction from other aspects of our business.</w:t>
      </w:r>
    </w:p>
    <w:p>
      <w:pPr>
        <w:spacing w:after="0" w:line="18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California Consumer Privacy Act, or CCPA, and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7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California Privacy Rights Act, or the CPRA, which amends the CCPA, was approved by California voters on November 3, 2020 and is scheduled to go into effect on January 1, 2023. The CPRA would, among other things, amend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Both the CCPA and CPRA could impact our business activities depending on how they are interpreted. These laws exemplify the vulnerability of our business not only to security incidents but also to the evolving regulatory environment related to personal information and protected health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Just this year, Virginia passed its Consumer Data Protection Act, and Colorado passed the Colorado Privacy Act, both of which differ from the CPRA and become effective in 2023.</w:t>
      </w:r>
    </w:p>
    <w:p>
      <w:pPr>
        <w:spacing w:after="0" w:line="1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7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jc w:val="both"/>
        <w:ind w:firstLine="486"/>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An increasing number of states have considered or adopted laws that attempt to impose tax collection obligations on out-of-state companies. Additionally, the Supreme Court of the United States recently ruled in </w:t>
      </w:r>
      <w:r>
        <w:rPr>
          <w:rFonts w:ascii="Arial" w:cs="Arial" w:eastAsia="Arial" w:hAnsi="Arial"/>
          <w:sz w:val="16"/>
          <w:szCs w:val="16"/>
          <w:i w:val="1"/>
          <w:iCs w:val="1"/>
          <w:color w:val="auto"/>
        </w:rPr>
        <w:t>South Dakota v. Wayfair, Inc. et al</w:t>
      </w:r>
      <w:r>
        <w:rPr>
          <w:rFonts w:ascii="Arial" w:cs="Arial" w:eastAsia="Arial" w:hAnsi="Arial"/>
          <w:sz w:val="16"/>
          <w:szCs w:val="16"/>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of December 31, 2020, we had net operating loss, or NOL, carryforwards for federal and state income tax purposes of approximately $263.2 million and $177.5 million, respectively, which may be available to offset taxable income in the future, and which expire in various years beginning in 2031 for federal purposes and 2028 for state purposes if not utilized.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laws, tax treaties, and regulations or the interpretation of them, including the Tax Cuts and Jobs Act, or the Tax Act;</w:t>
      </w:r>
    </w:p>
    <w:p>
      <w:pPr>
        <w:spacing w:after="0" w:line="128" w:lineRule="exact"/>
        <w:rPr>
          <w:rFonts w:ascii="Arial" w:cs="Arial" w:eastAsia="Arial" w:hAnsi="Arial"/>
          <w:sz w:val="17"/>
          <w:szCs w:val="17"/>
          <w:color w:val="auto"/>
        </w:rPr>
      </w:pPr>
    </w:p>
    <w:p>
      <w:pPr>
        <w:ind w:left="980" w:hanging="486"/>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deferred contract costs, and the valuation of our stock-based compensation awards,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 xml:space="preserve">Our success depends to a significant degree on our ability to obtain, maintain, protect and enforce our intellectual property rights, including our proprietary technology, know-how and our brand. We rely on a combination of trademarks, trade secret laws, patents, copyrights, service marks,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 including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and derivation proceedings and equivalent proceedings in foreign jurisdictions (e.g., opposition proceedings) or litigation. Despite our pending U.S.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 may not be available to us in every country in which our products are available. For example, as we have expanded internationally, we have been unable to register and obtain the right to use the Datadog trademark in certain jurisdictions, including in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oppose or challenge our trademarks or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7" w:name="page58"/>
    <w:bookmarkEnd w:id="57"/>
    <w:p>
      <w:pPr>
        <w:jc w:val="both"/>
        <w:spacing w:after="0" w:line="255" w:lineRule="auto"/>
        <w:rPr>
          <w:sz w:val="20"/>
          <w:szCs w:val="20"/>
          <w:color w:val="auto"/>
        </w:rPr>
      </w:pPr>
      <w:r>
        <w:rPr>
          <w:rFonts w:ascii="Arial" w:cs="Arial" w:eastAsia="Arial" w:hAnsi="Arial"/>
          <w:sz w:val="18"/>
          <w:szCs w:val="18"/>
          <w:color w:val="auto"/>
        </w:rPr>
        <w:t>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may become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applications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spacing w:after="0" w:line="63" w:lineRule="exact"/>
        <w:rPr>
          <w:sz w:val="20"/>
          <w:szCs w:val="20"/>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cease selling or using products or services that incorporate the intellectual property rights that we allegedly infringe, misappropriate or violate;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jc w:val="both"/>
        <w:spacing w:after="0" w:line="285" w:lineRule="auto"/>
        <w:rPr>
          <w:sz w:val="20"/>
          <w:szCs w:val="20"/>
          <w:color w:val="auto"/>
        </w:rPr>
      </w:pPr>
      <w:r>
        <w:rPr>
          <w:rFonts w:ascii="Arial" w:cs="Arial" w:eastAsia="Arial" w:hAnsi="Arial"/>
          <w:sz w:val="16"/>
          <w:szCs w:val="16"/>
          <w:color w:val="auto"/>
        </w:rPr>
        <w:t>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Revenue, as determined based on the billing address of our customers, from regions outside of North America was 28% and 25% for the nine months ended September 30, 2021 and 2020,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2021, approximately 38% of our full-time employees were located outside of the United States, 40%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trade relations,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9" w:name="page60"/>
    <w:bookmarkEnd w:id="59"/>
    <w:p>
      <w:pPr>
        <w:ind w:left="980" w:right="2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333333"/>
        </w:rPr>
        <w:t>an outbreak of a contagious disease</w:t>
      </w:r>
      <w:r>
        <w:rPr>
          <w:rFonts w:ascii="Arial" w:cs="Arial" w:eastAsia="Arial" w:hAnsi="Arial"/>
          <w:sz w:val="18"/>
          <w:szCs w:val="18"/>
          <w:color w:val="000000"/>
        </w:rPr>
        <w:t>,</w:t>
      </w:r>
      <w:r>
        <w:rPr>
          <w:rFonts w:ascii="Arial" w:cs="Arial" w:eastAsia="Arial" w:hAnsi="Arial"/>
          <w:sz w:val="18"/>
          <w:szCs w:val="18"/>
          <w:color w:val="333333"/>
        </w:rPr>
        <w:t xml:space="preserv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Tax Act, makes broad and complex changes to the U.S. tax code including, among other things, changes to U.S. federal tax rates, imposes additional limitations on the deductibility of interest, has both positive and negative changes to the utilization of future NOL carryforwards, allows for the expensing of certain capital expenditures, and puts into effect the migration from a “worldwide” system of taxation to a territorial system.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including those related to the ongoing COVID-19 pandemic, may also negatively impact the market price of our Class A common stock. The full impact of the COVID-19 pandemic is unknown at this time, but could result in material adverse changes in our results of operations for an unknown period of time as the virus and its related political, social and economic impacts spread.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As of September 30, 2021, our outstanding shares of Class B common stock represented approximately 69% of the voting power of our outstanding capital stock. As a result, the holders of our Class B common stock, which includes certain of our directors, executive officers and their affiliates, will be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will limit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our Class A common stock may not continue to develop or be sustained.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Prior to the closing of our IPO in September 2019, no public market for our Class A common stock existed. An active public trading market for our Class A common stock may not continue to develop or, if further developed, it may not be sustained. The lack of an active market may impair the ability of holders of our Class A common stock to sell their shares at the time they wish to sell them or at a price that the holders of our Class A common stock consider reasonable. The lack of an active market may also reduce the fair value of shares of our Class A common stock. An inactive market may also impair our ability to raise capital to continue to fund operations by selling shares and may impair our ability to acquire other companies or technologies by using our shares as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Further, as of September 30, 2021,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market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incurred significant legal, accounting, insurance, and other expenses as a public company, which we expect to further increase because we are no longer an “emerging growth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for the fiscal year ending December 31, 2021. This assessment will need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2025 Notes may adversely affect our financial condition and operating results.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conditional conversion feature of the 2025 Notes entitles holders of the 2025 Notes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500" w:right="7360" w:hanging="492"/>
        <w:spacing w:after="0" w:line="500" w:lineRule="auto"/>
        <w:tabs>
          <w:tab w:leader="none" w:pos="3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2019, we closed our IPO of 27,600,000 shares of our Class A common stock at an offering price of $27.00 per share, including 3,600,000 shares pursuant to the underwriters’ option to purchase additional shares of our Class A common stock, resulting in net proceeds to us of $705.9 million, after deducting underwriting discounts and commissions of $37.3 million and net offering expenses of $2.0 million. All of the shares issued and sold in our IPO were registered under the Securities Act pursuant to a registration statement on Form S-1 (File No. 333-233428), which was declared effective by the SEC on September 18, 2019.</w:t>
      </w:r>
    </w:p>
    <w:p>
      <w:pPr>
        <w:spacing w:after="0" w:line="184" w:lineRule="exact"/>
        <w:rPr>
          <w:sz w:val="20"/>
          <w:szCs w:val="20"/>
          <w:color w:val="auto"/>
        </w:rPr>
      </w:pPr>
    </w:p>
    <w:p>
      <w:pPr>
        <w:ind w:left="500" w:right="8060" w:hanging="492"/>
        <w:spacing w:after="0" w:line="500" w:lineRule="auto"/>
        <w:tabs>
          <w:tab w:leader="none" w:pos="33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6" w:name="page67"/>
    <w:bookmarkEnd w:id="66"/>
    <w:p>
      <w:pPr>
        <w:ind w:left="73"/>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73"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370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tcPr>
          <w:p>
            <w:pPr>
              <w:ind w:left="520"/>
              <w:spacing w:after="0"/>
              <w:rPr>
                <w:sz w:val="20"/>
                <w:szCs w:val="20"/>
                <w:color w:val="auto"/>
              </w:rPr>
            </w:pPr>
            <w:r>
              <w:rPr>
                <w:rFonts w:ascii="Arial" w:cs="Arial" w:eastAsia="Arial" w:hAnsi="Arial"/>
                <w:sz w:val="14"/>
                <w:szCs w:val="14"/>
                <w:b w:val="1"/>
                <w:bCs w:val="1"/>
                <w:color w:val="auto"/>
              </w:rPr>
              <w:t>File No.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Amended and Restated Certificate of</w:t>
              </w:r>
            </w:hyperlink>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79"/>
              <w:spacing w:after="0" w:line="196" w:lineRule="exact"/>
              <w:rPr>
                <w:sz w:val="20"/>
                <w:szCs w:val="20"/>
                <w:color w:val="auto"/>
              </w:rPr>
            </w:pPr>
            <w:r>
              <w:rPr>
                <w:rFonts w:ascii="Arial" w:cs="Arial" w:eastAsia="Arial" w:hAnsi="Arial"/>
                <w:sz w:val="18"/>
                <w:szCs w:val="18"/>
                <w:color w:val="auto"/>
              </w:rPr>
              <w:t>001-39051</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8"/>
              </w:rPr>
              <w:t>September 23,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Incorporation of Datadog, Inc.</w:t>
              </w:r>
            </w:hyperlink>
          </w:p>
        </w:tc>
        <w:tc>
          <w:tcPr>
            <w:tcW w:w="104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2"/>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Amended and Restated Bylaws of Datadog, Inc.</w:t>
              </w:r>
            </w:hyperlink>
          </w:p>
        </w:tc>
        <w:tc>
          <w:tcPr>
            <w:tcW w:w="2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500" w:type="dxa"/>
            <w:vAlign w:val="bottom"/>
          </w:tcPr>
          <w:p>
            <w:pPr>
              <w:jc w:val="right"/>
              <w:ind w:right="239"/>
              <w:spacing w:after="0"/>
              <w:rPr>
                <w:sz w:val="20"/>
                <w:szCs w:val="20"/>
                <w:color w:val="auto"/>
              </w:rPr>
            </w:pPr>
            <w:r>
              <w:rPr>
                <w:rFonts w:ascii="Arial" w:cs="Arial" w:eastAsia="Arial" w:hAnsi="Arial"/>
                <w:sz w:val="18"/>
                <w:szCs w:val="18"/>
                <w:color w:val="auto"/>
              </w:rPr>
              <w:t>333-233428</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line="250" w:lineRule="exact"/>
              <w:rPr>
                <w:sz w:val="20"/>
                <w:szCs w:val="20"/>
                <w:color w:val="auto"/>
              </w:rPr>
            </w:pPr>
            <w:r>
              <w:rPr>
                <w:rFonts w:ascii="Arial" w:cs="Arial" w:eastAsia="Arial" w:hAnsi="Arial"/>
                <w:sz w:val="18"/>
                <w:szCs w:val="18"/>
                <w:color w:val="auto"/>
              </w:rPr>
              <w:t>10.1</w:t>
            </w:r>
            <w:r>
              <w:rPr>
                <w:rFonts w:ascii="Arial" w:cs="Arial" w:eastAsia="Arial" w:hAnsi="Arial"/>
                <w:sz w:val="23"/>
                <w:szCs w:val="23"/>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69">
              <w:r>
                <w:rPr>
                  <w:rFonts w:ascii="Arial" w:cs="Arial" w:eastAsia="Arial" w:hAnsi="Arial"/>
                  <w:sz w:val="18"/>
                  <w:szCs w:val="18"/>
                  <w:color w:val="0000FF"/>
                  <w:w w:val="90"/>
                </w:rPr>
                <w:t>Amended and Restated Non-Employee Director</w:t>
              </w:r>
            </w:hyperlink>
          </w:p>
        </w:tc>
        <w:tc>
          <w:tcPr>
            <w:tcW w:w="24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Compensation Policy</w:t>
              </w:r>
            </w:hyperlink>
          </w:p>
        </w:tc>
        <w:tc>
          <w:tcPr>
            <w:tcW w:w="216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Principal Executive Officer</w:t>
              </w:r>
            </w:hyperlink>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Adopted Pursuant to Section 302 of the</w:t>
              </w:r>
            </w:hyperlink>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72">
              <w:r>
                <w:rPr>
                  <w:rFonts w:ascii="Arial" w:cs="Arial" w:eastAsia="Arial" w:hAnsi="Arial"/>
                  <w:sz w:val="18"/>
                  <w:szCs w:val="18"/>
                  <w:color w:val="0000FF"/>
                  <w:w w:val="90"/>
                </w:rPr>
                <w:t>Sarbanes-Oxley Act of 2002.</w:t>
              </w:r>
            </w:hyperlink>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Pursuant to Rules 13a-14(a) and 15d-14(a)</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under the Securities Exchange Act of 1934, as</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Adopted Pursuant to Section 302 of the</w:t>
              </w:r>
            </w:hyperlink>
          </w:p>
        </w:tc>
        <w:tc>
          <w:tcPr>
            <w:tcW w:w="480" w:type="dxa"/>
            <w:vAlign w:val="bottom"/>
            <w:tcBorders>
              <w:top w:val="single" w:sz="8" w:color="0000FF"/>
            </w:tcBorders>
            <w:gridSpan w:val="3"/>
          </w:tcPr>
          <w:p>
            <w:pPr>
              <w:spacing w:after="0"/>
              <w:rPr>
                <w:sz w:val="17"/>
                <w:szCs w:val="17"/>
                <w:color w:val="auto"/>
              </w:rPr>
            </w:pPr>
          </w:p>
        </w:tc>
        <w:tc>
          <w:tcPr>
            <w:tcW w:w="38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Sarbanes-Oxley Act of 2002.</w:t>
              </w:r>
            </w:hyperlink>
          </w:p>
        </w:tc>
        <w:tc>
          <w:tcPr>
            <w:tcW w:w="1600" w:type="dxa"/>
            <w:vAlign w:val="bottom"/>
            <w:gridSpan w:val="10"/>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74">
              <w:r>
                <w:rPr>
                  <w:rFonts w:ascii="Arial" w:cs="Arial" w:eastAsia="Arial" w:hAnsi="Arial"/>
                  <w:sz w:val="18"/>
                  <w:szCs w:val="18"/>
                  <w:color w:val="0000FF"/>
                  <w:w w:val="93"/>
                </w:rPr>
                <w:t>Certification of Principal Executive Officer</w:t>
              </w:r>
            </w:hyperlink>
          </w:p>
        </w:tc>
        <w:tc>
          <w:tcPr>
            <w:tcW w:w="58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w w:val="97"/>
              </w:rPr>
            </w:pPr>
            <w:hyperlink w:anchor="page74">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4">
              <w:r>
                <w:rPr>
                  <w:rFonts w:ascii="Arial" w:cs="Arial" w:eastAsia="Arial" w:hAnsi="Arial"/>
                  <w:sz w:val="18"/>
                  <w:szCs w:val="18"/>
                  <w:color w:val="0000FF"/>
                  <w:w w:val="91"/>
                </w:rPr>
                <w:t>Act of 2002.</w:t>
              </w:r>
            </w:hyperlink>
          </w:p>
        </w:tc>
        <w:tc>
          <w:tcPr>
            <w:tcW w:w="2460" w:type="dxa"/>
            <w:vAlign w:val="bottom"/>
            <w:tcBorders>
              <w:top w:val="single" w:sz="8" w:color="0000FF"/>
            </w:tcBorders>
            <w:gridSpan w:val="9"/>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Principal Financial Officer</w:t>
              </w:r>
            </w:hyperlink>
          </w:p>
        </w:tc>
        <w:tc>
          <w:tcPr>
            <w:tcW w:w="9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Pursuant to 18 U.S.C. Section 1350, as Adopted</w:t>
              </w:r>
            </w:hyperlink>
          </w:p>
        </w:tc>
        <w:tc>
          <w:tcPr>
            <w:tcW w:w="24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gridSpan w:val="13"/>
          </w:tcPr>
          <w:p>
            <w:pPr>
              <w:spacing w:after="0" w:line="196" w:lineRule="exact"/>
              <w:rPr>
                <w:rFonts w:ascii="Arial" w:cs="Arial" w:eastAsia="Arial" w:hAnsi="Arial"/>
                <w:sz w:val="18"/>
                <w:szCs w:val="18"/>
                <w:color w:val="0000FF"/>
                <w:w w:val="97"/>
              </w:rPr>
            </w:pPr>
            <w:hyperlink w:anchor="page75">
              <w:r>
                <w:rPr>
                  <w:rFonts w:ascii="Arial" w:cs="Arial" w:eastAsia="Arial" w:hAnsi="Arial"/>
                  <w:sz w:val="18"/>
                  <w:szCs w:val="18"/>
                  <w:color w:val="0000FF"/>
                  <w:w w:val="97"/>
                </w:rPr>
                <w:t>Pursuant to Section 906 of the Sarbanes-Oxley</w:t>
              </w:r>
            </w:hyperlink>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w:anchor="page75">
              <w:r>
                <w:rPr>
                  <w:rFonts w:ascii="Arial" w:cs="Arial" w:eastAsia="Arial" w:hAnsi="Arial"/>
                  <w:sz w:val="18"/>
                  <w:szCs w:val="18"/>
                  <w:color w:val="0000FF"/>
                  <w:w w:val="91"/>
                </w:rPr>
                <w:t>Act of 2002.</w:t>
              </w:r>
            </w:hyperlink>
          </w:p>
        </w:tc>
        <w:tc>
          <w:tcPr>
            <w:tcW w:w="2460" w:type="dxa"/>
            <w:vAlign w:val="bottom"/>
            <w:tcBorders>
              <w:top w:val="single" w:sz="8" w:color="0000FF"/>
            </w:tcBorders>
            <w:gridSpan w:val="9"/>
          </w:tcPr>
          <w:p>
            <w:pPr>
              <w:spacing w:after="0"/>
              <w:rPr>
                <w:sz w:val="17"/>
                <w:szCs w:val="17"/>
                <w:color w:val="auto"/>
              </w:rPr>
            </w:pPr>
          </w:p>
        </w:tc>
        <w:tc>
          <w:tcPr>
            <w:tcW w:w="34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w w:val="97"/>
              </w:rPr>
              <w:t>XBRL Taxonomy Extension Schema Document</w:t>
            </w:r>
          </w:p>
        </w:tc>
        <w:tc>
          <w:tcPr>
            <w:tcW w:w="9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XBRL Taxonomy Extension Definition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2"/>
                <w:szCs w:val="22"/>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0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3"/>
        <w:spacing w:after="0"/>
        <w:rPr>
          <w:sz w:val="20"/>
          <w:szCs w:val="20"/>
          <w:color w:val="auto"/>
        </w:rPr>
      </w:pPr>
      <w:r>
        <w:rPr>
          <w:rFonts w:ascii="Arial" w:cs="Arial" w:eastAsia="Arial" w:hAnsi="Arial"/>
          <w:sz w:val="18"/>
          <w:szCs w:val="18"/>
          <w:color w:val="auto"/>
        </w:rPr>
        <w:t>_________________</w:t>
      </w:r>
    </w:p>
    <w:p>
      <w:pPr>
        <w:ind w:left="113" w:hanging="113"/>
        <w:spacing w:after="0" w:line="206" w:lineRule="auto"/>
        <w:tabs>
          <w:tab w:leader="none" w:pos="113"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Indicates management contract or compensatory plan, contract or agreement.</w:t>
      </w:r>
    </w:p>
    <w:p>
      <w:pPr>
        <w:spacing w:after="0" w:line="5" w:lineRule="exact"/>
        <w:rPr>
          <w:rFonts w:ascii="Arial" w:cs="Arial" w:eastAsia="Arial" w:hAnsi="Arial"/>
          <w:sz w:val="23"/>
          <w:szCs w:val="23"/>
          <w:color w:val="auto"/>
          <w:vertAlign w:val="superscript"/>
        </w:rPr>
      </w:pPr>
    </w:p>
    <w:p>
      <w:pPr>
        <w:ind w:left="473" w:right="20" w:hanging="405"/>
        <w:spacing w:after="0" w:line="248" w:lineRule="auto"/>
        <w:rPr>
          <w:rFonts w:ascii="Arial" w:cs="Arial" w:eastAsia="Arial" w:hAnsi="Arial"/>
          <w:sz w:val="23"/>
          <w:szCs w:val="23"/>
          <w:color w:val="auto"/>
          <w:vertAlign w:val="superscript"/>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333" w:lineRule="exact"/>
        <w:rPr>
          <w:sz w:val="20"/>
          <w:szCs w:val="20"/>
          <w:color w:val="auto"/>
        </w:rPr>
      </w:pPr>
    </w:p>
    <w:p>
      <w:pPr>
        <w:jc w:val="center"/>
        <w:ind w:right="-112"/>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1107" w:right="3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color w:val="auto"/>
              </w:rPr>
              <w:t>DATADOG, INC.</w:t>
            </w:r>
          </w:p>
        </w:tc>
      </w:tr>
      <w:tr>
        <w:trPr>
          <w:trHeight w:val="499"/>
        </w:trPr>
        <w:tc>
          <w:tcPr>
            <w:tcW w:w="3580" w:type="dxa"/>
            <w:vAlign w:val="bottom"/>
          </w:tcPr>
          <w:p>
            <w:pPr>
              <w:spacing w:after="0"/>
              <w:rPr>
                <w:sz w:val="20"/>
                <w:szCs w:val="20"/>
                <w:color w:val="auto"/>
              </w:rPr>
            </w:pPr>
            <w:r>
              <w:rPr>
                <w:rFonts w:ascii="Arial" w:cs="Arial" w:eastAsia="Arial" w:hAnsi="Arial"/>
                <w:sz w:val="18"/>
                <w:szCs w:val="18"/>
                <w:color w:val="auto"/>
              </w:rPr>
              <w:t>Date: November 5, 2021</w:t>
            </w:r>
          </w:p>
        </w:tc>
        <w:tc>
          <w:tcPr>
            <w:tcW w:w="2760" w:type="dxa"/>
            <w:vAlign w:val="bottom"/>
          </w:tcPr>
          <w:p>
            <w:pPr>
              <w:ind w:left="1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Olivier Pomel</w:t>
            </w:r>
          </w:p>
        </w:tc>
      </w:tr>
      <w:tr>
        <w:trPr>
          <w:trHeight w:val="222"/>
        </w:trPr>
        <w:tc>
          <w:tcPr>
            <w:tcW w:w="3580" w:type="dxa"/>
            <w:vAlign w:val="bottom"/>
          </w:tcPr>
          <w:p>
            <w:pPr>
              <w:spacing w:after="0"/>
              <w:rPr>
                <w:sz w:val="19"/>
                <w:szCs w:val="19"/>
                <w:color w:val="auto"/>
              </w:rPr>
            </w:pPr>
          </w:p>
        </w:tc>
        <w:tc>
          <w:tcPr>
            <w:tcW w:w="2760" w:type="dxa"/>
            <w:vAlign w:val="bottom"/>
          </w:tcPr>
          <w:p>
            <w:pPr>
              <w:ind w:left="178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176"/>
        </w:trPr>
        <w:tc>
          <w:tcPr>
            <w:tcW w:w="3580" w:type="dxa"/>
            <w:vAlign w:val="bottom"/>
          </w:tcPr>
          <w:p>
            <w:pPr>
              <w:spacing w:after="0"/>
              <w:rPr>
                <w:sz w:val="15"/>
                <w:szCs w:val="15"/>
                <w:color w:val="auto"/>
              </w:rPr>
            </w:pPr>
          </w:p>
        </w:tc>
        <w:tc>
          <w:tcPr>
            <w:tcW w:w="2760" w:type="dxa"/>
            <w:vAlign w:val="bottom"/>
          </w:tcPr>
          <w:p>
            <w:pPr>
              <w:ind w:left="178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5"/>
        </w:trPr>
        <w:tc>
          <w:tcPr>
            <w:tcW w:w="3580" w:type="dxa"/>
            <w:vAlign w:val="bottom"/>
          </w:tcPr>
          <w:p>
            <w:pPr>
              <w:spacing w:after="0"/>
              <w:rPr>
                <w:sz w:val="20"/>
                <w:szCs w:val="20"/>
                <w:color w:val="auto"/>
              </w:rPr>
            </w:pPr>
            <w:r>
              <w:rPr>
                <w:rFonts w:ascii="Arial" w:cs="Arial" w:eastAsia="Arial" w:hAnsi="Arial"/>
                <w:sz w:val="18"/>
                <w:szCs w:val="18"/>
                <w:color w:val="auto"/>
              </w:rPr>
              <w:t>Date: November 5, 2021</w:t>
            </w:r>
          </w:p>
        </w:tc>
        <w:tc>
          <w:tcPr>
            <w:tcW w:w="2760" w:type="dxa"/>
            <w:vAlign w:val="bottom"/>
          </w:tcPr>
          <w:p>
            <w:pPr>
              <w:ind w:left="1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Obstler</w:t>
            </w:r>
          </w:p>
        </w:tc>
      </w:tr>
      <w:tr>
        <w:trPr>
          <w:trHeight w:val="222"/>
        </w:trPr>
        <w:tc>
          <w:tcPr>
            <w:tcW w:w="3580" w:type="dxa"/>
            <w:vAlign w:val="bottom"/>
          </w:tcPr>
          <w:p>
            <w:pPr>
              <w:spacing w:after="0"/>
              <w:rPr>
                <w:sz w:val="19"/>
                <w:szCs w:val="19"/>
                <w:color w:val="auto"/>
              </w:rPr>
            </w:pPr>
          </w:p>
        </w:tc>
        <w:tc>
          <w:tcPr>
            <w:tcW w:w="2760" w:type="dxa"/>
            <w:vAlign w:val="bottom"/>
          </w:tcPr>
          <w:p>
            <w:pPr>
              <w:ind w:left="178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David Obstler</w:t>
            </w:r>
          </w:p>
        </w:tc>
      </w:tr>
      <w:tr>
        <w:trPr>
          <w:trHeight w:val="176"/>
        </w:trPr>
        <w:tc>
          <w:tcPr>
            <w:tcW w:w="3580" w:type="dxa"/>
            <w:vAlign w:val="bottom"/>
          </w:tcPr>
          <w:p>
            <w:pPr>
              <w:spacing w:after="0"/>
              <w:rPr>
                <w:sz w:val="15"/>
                <w:szCs w:val="15"/>
                <w:color w:val="auto"/>
              </w:rPr>
            </w:pPr>
          </w:p>
        </w:tc>
        <w:tc>
          <w:tcPr>
            <w:tcW w:w="2760" w:type="dxa"/>
            <w:vAlign w:val="bottom"/>
          </w:tcPr>
          <w:p>
            <w:pPr>
              <w:ind w:left="178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DATADOG,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jc w:val="center"/>
        <w:spacing w:after="0"/>
        <w:rPr>
          <w:sz w:val="20"/>
          <w:szCs w:val="20"/>
          <w:color w:val="auto"/>
        </w:rPr>
      </w:pPr>
      <w:r>
        <w:rPr>
          <w:rFonts w:ascii="Arial" w:cs="Arial" w:eastAsia="Arial" w:hAnsi="Arial"/>
          <w:sz w:val="20"/>
          <w:szCs w:val="20"/>
          <w:b w:val="1"/>
          <w:bCs w:val="1"/>
          <w:color w:val="auto"/>
        </w:rPr>
        <w:t>AMENDED AND RESTATED AS OF MAY 13, 2021</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member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Datadog,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who is a non-employee director of the Company (each such member,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will be eligible to receive the compensation described in this Amended and Restated Non-Employee Director Compensation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for his or her Board service. Unless otherwise defined herein, capitalized terms used in this Policy will have the meaning given to such terms in the Company’s 2019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or any successor equity incentive plan. The Policy may be amended at any time in the sole discretion of the Board or the Compensation Committee.</w:t>
      </w:r>
    </w:p>
    <w:p>
      <w:pPr>
        <w:spacing w:after="0" w:line="200" w:lineRule="exact"/>
        <w:rPr>
          <w:sz w:val="20"/>
          <w:szCs w:val="20"/>
          <w:color w:val="auto"/>
        </w:rPr>
      </w:pPr>
    </w:p>
    <w:p>
      <w:pPr>
        <w:spacing w:after="0" w:line="23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Annual Cash Compensation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Non-Employee Director will be eligible to receive the following annual cash retainers for service on the Board:</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w:t>
      </w:r>
    </w:p>
    <w:p>
      <w:pPr>
        <w:spacing w:after="0" w:line="15"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Non-Employee Directors: $30,000</w:t>
      </w:r>
    </w:p>
    <w:p>
      <w:pPr>
        <w:ind w:left="1300" w:hanging="320"/>
        <w:spacing w:after="0"/>
        <w:tabs>
          <w:tab w:leader="none" w:pos="1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Lead Non-Employee Director (as applicable): $48,000 (in lieu of above)</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Committee Member Service Retainer</w:t>
      </w:r>
      <w:r>
        <w:rPr>
          <w:rFonts w:ascii="Arial" w:cs="Arial" w:eastAsia="Arial" w:hAnsi="Arial"/>
          <w:sz w:val="20"/>
          <w:szCs w:val="20"/>
          <w:color w:val="auto"/>
        </w:rPr>
        <w:t>:</w:t>
      </w:r>
    </w:p>
    <w:p>
      <w:pPr>
        <w:spacing w:after="0" w:line="15"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Member of the Audit Committee: $10,000</w:t>
      </w:r>
    </w:p>
    <w:p>
      <w:pPr>
        <w:ind w:left="1300" w:hanging="320"/>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Member of the Compensation Committee: $7,500</w:t>
      </w:r>
    </w:p>
    <w:p>
      <w:pPr>
        <w:ind w:left="1300" w:hanging="320"/>
        <w:spacing w:after="0"/>
        <w:tabs>
          <w:tab w:leader="none" w:pos="13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Member of the Nominating and Corporate Governance Committee: $4,000</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Annual Committee Chair Service Retainer (in lieu of Committee Member Service Retainer)</w:t>
      </w:r>
      <w:r>
        <w:rPr>
          <w:rFonts w:ascii="Arial" w:cs="Arial" w:eastAsia="Arial" w:hAnsi="Arial"/>
          <w:sz w:val="20"/>
          <w:szCs w:val="20"/>
          <w:color w:val="auto"/>
        </w:rPr>
        <w:t>:</w:t>
      </w:r>
    </w:p>
    <w:p>
      <w:pPr>
        <w:spacing w:after="0" w:line="15"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Chair of the Audit Committee: $20,000</w:t>
      </w:r>
    </w:p>
    <w:p>
      <w:pPr>
        <w:ind w:left="1300" w:hanging="320"/>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Chair of the Compensation Committee: $15,000</w:t>
      </w:r>
    </w:p>
    <w:p>
      <w:pPr>
        <w:ind w:left="1300" w:hanging="320"/>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Chair of the Nominating and Corporate Governance Committee: $8,000</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annual cash retainers above will be payable in equal quarterly installments in arrears on the last day of each calendar quarter (each such date, a “</w:t>
      </w:r>
      <w:r>
        <w:rPr>
          <w:rFonts w:ascii="Arial" w:cs="Arial" w:eastAsia="Arial" w:hAnsi="Arial"/>
          <w:sz w:val="20"/>
          <w:szCs w:val="20"/>
          <w:b w:val="1"/>
          <w:bCs w:val="1"/>
          <w:i w:val="1"/>
          <w:iCs w:val="1"/>
          <w:color w:val="auto"/>
        </w:rPr>
        <w:t>Retainer Accrual Date</w:t>
      </w:r>
      <w:r>
        <w:rPr>
          <w:rFonts w:ascii="Arial" w:cs="Arial" w:eastAsia="Arial" w:hAnsi="Arial"/>
          <w:sz w:val="20"/>
          <w:szCs w:val="20"/>
          <w:color w:val="auto"/>
        </w:rPr>
        <w:t>”) in which the service occurred, prorated for any partial calendar quarter of service (based on the number of days served in the applicable position divided by the total number of days in the quarter). All annual cash retainers will be vested upon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69" w:name="page70"/>
    <w:bookmarkEnd w:id="69"/>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Equity Compensation</w:t>
      </w:r>
    </w:p>
    <w:p>
      <w:pPr>
        <w:spacing w:after="0" w:line="222" w:lineRule="exact"/>
        <w:rPr>
          <w:sz w:val="20"/>
          <w:szCs w:val="20"/>
          <w:color w:val="auto"/>
        </w:rPr>
      </w:pPr>
    </w:p>
    <w:p>
      <w:pPr>
        <w:ind w:right="20" w:firstLine="354"/>
        <w:spacing w:after="0" w:line="260" w:lineRule="auto"/>
        <w:rPr>
          <w:sz w:val="20"/>
          <w:szCs w:val="20"/>
          <w:color w:val="auto"/>
        </w:rPr>
      </w:pPr>
      <w:r>
        <w:rPr>
          <w:rFonts w:ascii="Arial" w:cs="Arial" w:eastAsia="Arial" w:hAnsi="Arial"/>
          <w:sz w:val="20"/>
          <w:szCs w:val="20"/>
          <w:color w:val="auto"/>
        </w:rPr>
        <w:t>Each Non-Employee Director will be eligible to receive the equity compensation set forth below (as applicable). All such equity compensation will be granted under the Plan or any successor equity incentive plan.</w:t>
      </w:r>
    </w:p>
    <w:p>
      <w:pPr>
        <w:spacing w:after="0" w:line="198" w:lineRule="exact"/>
        <w:rPr>
          <w:sz w:val="20"/>
          <w:szCs w:val="20"/>
          <w:color w:val="auto"/>
        </w:rPr>
      </w:pPr>
    </w:p>
    <w:p>
      <w:pPr>
        <w:ind w:left="1300" w:hanging="806"/>
        <w:spacing w:after="0"/>
        <w:tabs>
          <w:tab w:leader="none" w:pos="1300" w:val="left"/>
        </w:tabs>
        <w:numPr>
          <w:ilvl w:val="0"/>
          <w:numId w:val="33"/>
        </w:numPr>
        <w:rPr>
          <w:rFonts w:ascii="Arial" w:cs="Arial" w:eastAsia="Arial" w:hAnsi="Arial"/>
          <w:sz w:val="22"/>
          <w:szCs w:val="22"/>
          <w:b w:val="1"/>
          <w:bCs w:val="1"/>
          <w:color w:val="auto"/>
        </w:rPr>
      </w:pPr>
      <w:r>
        <w:rPr>
          <w:rFonts w:ascii="Arial" w:cs="Arial" w:eastAsia="Arial" w:hAnsi="Arial"/>
          <w:sz w:val="20"/>
          <w:szCs w:val="20"/>
          <w:b w:val="1"/>
          <w:bCs w:val="1"/>
          <w:color w:val="auto"/>
        </w:rPr>
        <w:t>Elections to Receive an Equity Grant in lieu of Quarterly Cash Retainer.</w:t>
      </w:r>
    </w:p>
    <w:p>
      <w:pPr>
        <w:spacing w:after="0" w:line="192" w:lineRule="exact"/>
        <w:rPr>
          <w:rFonts w:ascii="Arial" w:cs="Arial" w:eastAsia="Arial" w:hAnsi="Arial"/>
          <w:sz w:val="22"/>
          <w:szCs w:val="22"/>
          <w:b w:val="1"/>
          <w:bCs w:val="1"/>
          <w:color w:val="auto"/>
        </w:rPr>
      </w:pPr>
    </w:p>
    <w:p>
      <w:pPr>
        <w:jc w:val="both"/>
        <w:ind w:firstLine="881"/>
        <w:spacing w:after="0" w:line="273" w:lineRule="auto"/>
        <w:tabs>
          <w:tab w:leader="none" w:pos="1284" w:val="left"/>
        </w:tabs>
        <w:numPr>
          <w:ilvl w:val="1"/>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Retainer Grant</w:t>
      </w:r>
      <w:r>
        <w:rPr>
          <w:rFonts w:ascii="Arial" w:cs="Arial" w:eastAsia="Arial" w:hAnsi="Arial"/>
          <w:sz w:val="18"/>
          <w:szCs w:val="18"/>
          <w:color w:val="auto"/>
        </w:rPr>
        <w:t>. Each Non-Employee Director may elect to convert all of his or her cash compensation under Section 1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calendar quarter into an RSU Award (each, a “</w:t>
      </w:r>
      <w:r>
        <w:rPr>
          <w:rFonts w:ascii="Arial" w:cs="Arial" w:eastAsia="Arial" w:hAnsi="Arial"/>
          <w:sz w:val="18"/>
          <w:szCs w:val="18"/>
          <w:b w:val="1"/>
          <w:bCs w:val="1"/>
          <w:i w:val="1"/>
          <w:iCs w:val="1"/>
          <w:color w:val="auto"/>
        </w:rPr>
        <w:t>Retainer Grant</w:t>
      </w:r>
      <w:r>
        <w:rPr>
          <w:rFonts w:ascii="Arial" w:cs="Arial" w:eastAsia="Arial" w:hAnsi="Arial"/>
          <w:sz w:val="18"/>
          <w:szCs w:val="18"/>
          <w:color w:val="auto"/>
        </w:rPr>
        <w:t>”) in accordance with this Section 2(a) (such election, a “</w:t>
      </w:r>
      <w:r>
        <w:rPr>
          <w:rFonts w:ascii="Arial" w:cs="Arial" w:eastAsia="Arial" w:hAnsi="Arial"/>
          <w:sz w:val="18"/>
          <w:szCs w:val="18"/>
          <w:b w:val="1"/>
          <w:bCs w:val="1"/>
          <w:i w:val="1"/>
          <w:iCs w:val="1"/>
          <w:color w:val="auto"/>
        </w:rPr>
        <w:t>Retainer 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If a Non-Employee Director timely makes a Retainer Grant Election pursuant to Section 2(a)(ii), on the first business 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applicable Retainer Accrual Date to which the Retainer Grant Election applies, and without any further action by the Board or Compensation Committee, such Non-Employee Director automatically will be granted an RSU Award covering a number of shares of the Company’s Class A Common Stock equal to (A) the aggregate amount of cash compensation otherwise payable to such Non-Employee Director under Section 1 on the Retainer Accrual Date to which the Retainer Grant Election applies divided by (B) the closing sales price per share of the Company’s Class A Common Stock on the applicable Retainer Accrual Date (or, if such date is not a business day, on the first business day thereafter), rounded down to the nearest whole share. Each Retainer Grant will be fully vested on the applicable grant date.</w:t>
      </w:r>
    </w:p>
    <w:p>
      <w:pPr>
        <w:spacing w:after="0" w:line="163" w:lineRule="exact"/>
        <w:rPr>
          <w:sz w:val="20"/>
          <w:szCs w:val="20"/>
          <w:color w:val="auto"/>
        </w:rPr>
      </w:pPr>
    </w:p>
    <w:p>
      <w:pPr>
        <w:jc w:val="both"/>
        <w:ind w:firstLine="867"/>
        <w:spacing w:after="0" w:line="243" w:lineRule="auto"/>
        <w:tabs>
          <w:tab w:leader="none" w:pos="1312" w:val="left"/>
        </w:tabs>
        <w:numPr>
          <w:ilvl w:val="1"/>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Election Mechanics</w:t>
      </w:r>
      <w:r>
        <w:rPr>
          <w:rFonts w:ascii="Arial" w:cs="Arial" w:eastAsia="Arial" w:hAnsi="Arial"/>
          <w:sz w:val="20"/>
          <w:szCs w:val="20"/>
          <w:color w:val="auto"/>
        </w:rPr>
        <w:t>. Each Retainer Grant Election must be submitted to the Company’s General Counsel in writing at least</w:t>
      </w:r>
      <w:r>
        <w:rPr>
          <w:rFonts w:ascii="Arial" w:cs="Arial" w:eastAsia="Arial" w:hAnsi="Arial"/>
          <w:sz w:val="20"/>
          <w:szCs w:val="20"/>
          <w:b w:val="1"/>
          <w:bCs w:val="1"/>
          <w:color w:val="auto"/>
        </w:rPr>
        <w:t xml:space="preserve"> </w:t>
      </w:r>
      <w:r>
        <w:rPr>
          <w:rFonts w:ascii="Arial" w:cs="Arial" w:eastAsia="Arial" w:hAnsi="Arial"/>
          <w:sz w:val="20"/>
          <w:szCs w:val="20"/>
          <w:color w:val="auto"/>
        </w:rPr>
        <w:t>10 business days in advance of the applicable Retainer Accrual Date, and subject to any other conditions specified by the Board or Compensation Committee.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Non-Employee Director revokes it in accordance with Section 2(a)(iii) below. A Non-Employee Director who fails to make a timely Retainer Grant Election will not receive a Retainer Grant and instead will receive the cash compensation under Section 1.</w:t>
      </w:r>
    </w:p>
    <w:p>
      <w:pPr>
        <w:spacing w:after="0" w:line="189" w:lineRule="exact"/>
        <w:rPr>
          <w:rFonts w:ascii="Arial" w:cs="Arial" w:eastAsia="Arial" w:hAnsi="Arial"/>
          <w:sz w:val="20"/>
          <w:szCs w:val="20"/>
          <w:b w:val="1"/>
          <w:bCs w:val="1"/>
          <w:color w:val="auto"/>
        </w:rPr>
      </w:pPr>
    </w:p>
    <w:p>
      <w:pPr>
        <w:jc w:val="both"/>
        <w:ind w:firstLine="948"/>
        <w:spacing w:after="0" w:line="244" w:lineRule="auto"/>
        <w:tabs>
          <w:tab w:leader="none" w:pos="1532" w:val="left"/>
        </w:tabs>
        <w:numPr>
          <w:ilvl w:val="2"/>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Revocation Mechanics</w:t>
      </w:r>
      <w:r>
        <w:rPr>
          <w:rFonts w:ascii="Arial" w:cs="Arial" w:eastAsia="Arial" w:hAnsi="Arial"/>
          <w:sz w:val="20"/>
          <w:szCs w:val="20"/>
          <w:color w:val="auto"/>
        </w:rPr>
        <w:t>. The revocation of any Retainer Grant Election must be submitted to the Company’s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Counsel in writing at least 10 business days in advance of the applicable Retainer Accrual Date, and subject to any other conditions specified by the Board or Compensation Committee.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2(a)(ii).</w:t>
      </w:r>
    </w:p>
    <w:p>
      <w:pPr>
        <w:spacing w:after="0" w:line="212" w:lineRule="exact"/>
        <w:rPr>
          <w:rFonts w:ascii="Arial" w:cs="Arial" w:eastAsia="Arial" w:hAnsi="Arial"/>
          <w:sz w:val="20"/>
          <w:szCs w:val="20"/>
          <w:b w:val="1"/>
          <w:bCs w:val="1"/>
          <w:color w:val="auto"/>
        </w:rPr>
      </w:pPr>
    </w:p>
    <w:p>
      <w:pPr>
        <w:ind w:left="640" w:hanging="632"/>
        <w:spacing w:after="0"/>
        <w:tabs>
          <w:tab w:leader="none" w:pos="640" w:val="left"/>
        </w:tabs>
        <w:numPr>
          <w:ilvl w:val="0"/>
          <w:numId w:val="35"/>
        </w:numPr>
        <w:rPr>
          <w:rFonts w:ascii="Arial" w:cs="Arial" w:eastAsia="Arial" w:hAnsi="Arial"/>
          <w:sz w:val="22"/>
          <w:szCs w:val="22"/>
          <w:b w:val="1"/>
          <w:bCs w:val="1"/>
          <w:color w:val="auto"/>
        </w:rPr>
      </w:pPr>
      <w:r>
        <w:rPr>
          <w:rFonts w:ascii="Arial" w:cs="Arial" w:eastAsia="Arial" w:hAnsi="Arial"/>
          <w:sz w:val="20"/>
          <w:szCs w:val="20"/>
          <w:b w:val="1"/>
          <w:bCs w:val="1"/>
          <w:color w:val="auto"/>
        </w:rPr>
        <w:t>Automatic Equity Grants.</w:t>
      </w:r>
    </w:p>
    <w:p>
      <w:pPr>
        <w:spacing w:after="0" w:line="220" w:lineRule="exact"/>
        <w:rPr>
          <w:sz w:val="20"/>
          <w:szCs w:val="20"/>
          <w:color w:val="auto"/>
        </w:rPr>
      </w:pPr>
    </w:p>
    <w:p>
      <w:pPr>
        <w:jc w:val="both"/>
        <w:ind w:firstLine="8"/>
        <w:spacing w:after="0" w:line="286" w:lineRule="auto"/>
        <w:tabs>
          <w:tab w:leader="none" w:pos="636" w:val="left"/>
        </w:tabs>
        <w:numPr>
          <w:ilvl w:val="0"/>
          <w:numId w:val="36"/>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Initial Grant for New Directors. </w:t>
      </w:r>
      <w:r>
        <w:rPr>
          <w:rFonts w:ascii="Arial" w:cs="Arial" w:eastAsia="Arial" w:hAnsi="Arial"/>
          <w:sz w:val="18"/>
          <w:szCs w:val="18"/>
          <w:color w:val="auto"/>
        </w:rPr>
        <w:t>Without any further action by the Board or Compensation Committee, each person who is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or appointed for the first time to be a Non-Employee Director will automatically, upon the date of his or her initial election or appointment to be a Non-Employee Director (or, if such date is not a business day, the first business day thereafter), be granted an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82" w:lineRule="auto"/>
        <w:rPr>
          <w:sz w:val="20"/>
          <w:szCs w:val="20"/>
          <w:color w:val="auto"/>
        </w:rPr>
      </w:pPr>
      <w:r>
        <w:rPr>
          <w:rFonts w:ascii="Arial" w:cs="Arial" w:eastAsia="Arial" w:hAnsi="Arial"/>
          <w:sz w:val="18"/>
          <w:szCs w:val="18"/>
          <w:color w:val="auto"/>
        </w:rPr>
        <w:t>covering a number of shares of the Company’s Class A Common Stock equal to (A) $400,000 divided by (B) the closing sales price per share of the Company’s Class A Common Stock on the applicable grant date, rounded down to the nearest whole share (each, an “</w:t>
      </w:r>
      <w:r>
        <w:rPr>
          <w:rFonts w:ascii="Arial" w:cs="Arial" w:eastAsia="Arial" w:hAnsi="Arial"/>
          <w:sz w:val="18"/>
          <w:szCs w:val="18"/>
          <w:b w:val="1"/>
          <w:bCs w:val="1"/>
          <w:i w:val="1"/>
          <w:iCs w:val="1"/>
          <w:color w:val="auto"/>
        </w:rPr>
        <w:t>Initial Grant</w:t>
      </w:r>
      <w:r>
        <w:rPr>
          <w:rFonts w:ascii="Arial" w:cs="Arial" w:eastAsia="Arial" w:hAnsi="Arial"/>
          <w:sz w:val="18"/>
          <w:szCs w:val="18"/>
          <w:color w:val="auto"/>
        </w:rPr>
        <w:t>”). Each Initial Grant will vest in a series of three successive equal annual installments over the three-year period measured from the applicable grant date, subject to the Non-Employee Director’s Continuous Service through each applicable vesting date.</w:t>
      </w:r>
    </w:p>
    <w:p>
      <w:pPr>
        <w:spacing w:after="0" w:line="182" w:lineRule="exact"/>
        <w:rPr>
          <w:sz w:val="20"/>
          <w:szCs w:val="20"/>
          <w:color w:val="auto"/>
        </w:rPr>
      </w:pPr>
    </w:p>
    <w:p>
      <w:pPr>
        <w:jc w:val="both"/>
        <w:ind w:firstLine="8"/>
        <w:spacing w:after="0" w:line="273" w:lineRule="auto"/>
        <w:tabs>
          <w:tab w:leader="none" w:pos="642" w:val="left"/>
        </w:tabs>
        <w:numPr>
          <w:ilvl w:val="0"/>
          <w:numId w:val="37"/>
        </w:numPr>
        <w:rPr>
          <w:rFonts w:ascii="Arial" w:cs="Arial" w:eastAsia="Arial" w:hAnsi="Arial"/>
          <w:sz w:val="19"/>
          <w:szCs w:val="19"/>
          <w:b w:val="1"/>
          <w:bCs w:val="1"/>
          <w:color w:val="auto"/>
        </w:rPr>
      </w:pPr>
      <w:r>
        <w:rPr>
          <w:rFonts w:ascii="Arial" w:cs="Arial" w:eastAsia="Arial" w:hAnsi="Arial"/>
          <w:sz w:val="18"/>
          <w:szCs w:val="18"/>
          <w:b w:val="1"/>
          <w:bCs w:val="1"/>
          <w:color w:val="auto"/>
        </w:rPr>
        <w:t xml:space="preserve">Annual Grant. </w:t>
      </w:r>
      <w:r>
        <w:rPr>
          <w:rFonts w:ascii="Arial" w:cs="Arial" w:eastAsia="Arial" w:hAnsi="Arial"/>
          <w:sz w:val="18"/>
          <w:szCs w:val="18"/>
          <w:color w:val="auto"/>
        </w:rPr>
        <w:t>Without any further action by the Board or Compensation Committee, at the close of business on the date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the stockholders of the Company (each,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each person who is then a Non-Employee Director will automatically be granted an RSU Award (each, an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covering a number of shares of the Company’s Class A Common Stock equal to (A) $200,000 divided by (B) the closing sales price per share of the Company’s Class A Common Stock on the date of the applicable Annual Meeting (or, if such date is not a business day, the first business day thereafter), rounded down to the nearest whole share. Each Annual Grant will fully vest on the earlier of (1) the first anniversary of the applicable grant date and (2) the date of the first Annual Meeting following the applicable grant date, subject to the Non-Employee Director’s Continuous Service through the vesting date.</w:t>
      </w:r>
    </w:p>
    <w:p>
      <w:pPr>
        <w:spacing w:after="0" w:line="188" w:lineRule="exact"/>
        <w:rPr>
          <w:sz w:val="20"/>
          <w:szCs w:val="20"/>
          <w:color w:val="auto"/>
        </w:rPr>
      </w:pPr>
    </w:p>
    <w:p>
      <w:pPr>
        <w:jc w:val="both"/>
        <w:ind w:firstLine="8"/>
        <w:spacing w:after="0"/>
        <w:tabs>
          <w:tab w:leader="none" w:pos="645"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Notwithstanding the foregoing, for each Non-Employee Director who remains in Continuous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until immediately prior to the closing of a Change in Control, the shares subject to his or her then-outstanding equity awards that were granted pursuant to the Policy (and any Existing Equity Awards) will become fully vested immediately prior to the closing of such Change in Control.</w:t>
      </w:r>
    </w:p>
    <w:p>
      <w:pPr>
        <w:spacing w:after="0" w:line="218" w:lineRule="exact"/>
        <w:rPr>
          <w:rFonts w:ascii="Arial" w:cs="Arial" w:eastAsia="Arial" w:hAnsi="Arial"/>
          <w:sz w:val="22"/>
          <w:szCs w:val="22"/>
          <w:b w:val="1"/>
          <w:bCs w:val="1"/>
          <w:color w:val="auto"/>
        </w:rPr>
      </w:pPr>
    </w:p>
    <w:p>
      <w:pPr>
        <w:jc w:val="both"/>
        <w:ind w:firstLine="8"/>
        <w:spacing w:after="0" w:line="241" w:lineRule="auto"/>
        <w:tabs>
          <w:tab w:leader="none" w:pos="642" w:val="left"/>
        </w:tabs>
        <w:numPr>
          <w:ilvl w:val="0"/>
          <w:numId w:val="38"/>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Remaining Terms. </w:t>
      </w:r>
      <w:r>
        <w:rPr>
          <w:rFonts w:ascii="Arial" w:cs="Arial" w:eastAsia="Arial" w:hAnsi="Arial"/>
          <w:sz w:val="20"/>
          <w:szCs w:val="20"/>
          <w:color w:val="auto"/>
        </w:rPr>
        <w:t>The remaining terms and conditions of each RSU Award will be as set forth in the Plan and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standard RSU Award Grant Notice and RSU Award Agreement, in the form adopted from time to time by the Board or Compensation Committee.</w:t>
      </w:r>
    </w:p>
    <w:p>
      <w:pPr>
        <w:spacing w:after="0" w:line="18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8"/>
          <w:szCs w:val="18"/>
          <w:b w:val="1"/>
          <w:bCs w:val="1"/>
          <w:color w:val="auto"/>
        </w:rPr>
        <w:t>Non-Employee Director Compensation Limit</w:t>
      </w:r>
    </w:p>
    <w:p>
      <w:pPr>
        <w:spacing w:after="0" w:line="249" w:lineRule="exact"/>
        <w:rPr>
          <w:sz w:val="20"/>
          <w:szCs w:val="20"/>
          <w:color w:val="auto"/>
        </w:rPr>
      </w:pPr>
    </w:p>
    <w:p>
      <w:pPr>
        <w:jc w:val="both"/>
        <w:ind w:firstLine="279"/>
        <w:spacing w:after="0" w:line="260" w:lineRule="auto"/>
        <w:rPr>
          <w:sz w:val="20"/>
          <w:szCs w:val="20"/>
          <w:color w:val="auto"/>
        </w:rPr>
      </w:pPr>
      <w:r>
        <w:rPr>
          <w:rFonts w:ascii="Arial" w:cs="Arial" w:eastAsia="Arial" w:hAnsi="Arial"/>
          <w:sz w:val="20"/>
          <w:szCs w:val="20"/>
          <w:color w:val="auto"/>
        </w:rPr>
        <w:t>Notwithstanding anything herein to the contrary, the cash compensation and equity compensation that each Non-Employee Director is eligible to receive under this Policy shall be subject to the limits set forth in Section 3(d) of the Plan.</w:t>
      </w:r>
    </w:p>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Ability to Decline Compensation</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Non-Employee Director may decline all or any portion of his or her compensation under the Policy by giving notice to the Company prior to the date cash is to be paid or equity awards are to be granted, as the case may be.</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Expenses</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2021;</w:t>
      </w:r>
    </w:p>
    <w:p>
      <w:pPr>
        <w:spacing w:after="0" w:line="236" w:lineRule="exact"/>
        <w:rPr>
          <w:rFonts w:ascii="Arial" w:cs="Arial" w:eastAsia="Arial" w:hAnsi="Arial"/>
          <w:sz w:val="17"/>
          <w:szCs w:val="17"/>
          <w:color w:val="auto"/>
        </w:rPr>
      </w:pPr>
    </w:p>
    <w:p>
      <w:pPr>
        <w:jc w:val="both"/>
        <w:ind w:left="580" w:right="200" w:hanging="572"/>
        <w:spacing w:after="0" w:line="263"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840" w:val="left"/>
          <w:tab w:leader="none" w:pos="710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032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6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2021;</w:t>
      </w:r>
    </w:p>
    <w:p>
      <w:pPr>
        <w:spacing w:after="0" w:line="236" w:lineRule="exact"/>
        <w:rPr>
          <w:rFonts w:ascii="Arial" w:cs="Arial" w:eastAsia="Arial" w:hAnsi="Arial"/>
          <w:sz w:val="17"/>
          <w:szCs w:val="17"/>
          <w:color w:val="auto"/>
        </w:rPr>
      </w:pPr>
    </w:p>
    <w:p>
      <w:pPr>
        <w:jc w:val="both"/>
        <w:ind w:left="580" w:right="200" w:hanging="572"/>
        <w:spacing w:after="0" w:line="263"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5, 2021</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September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5, 2021</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Olivier Pomel</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Olivier Pomel</w:t>
            </w:r>
          </w:p>
        </w:tc>
      </w:tr>
      <w:tr>
        <w:trPr>
          <w:trHeight w:val="233"/>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September 30, 2021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5, 2021</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3"/>
    </w:lvl>
  </w:abstractNum>
  <w:abstractNum w:abstractNumId="28">
    <w:nsid w:val="419AC241"/>
    <w:multiLevelType w:val="hybridMultilevel"/>
    <w:lvl w:ilvl="0">
      <w:lvlJc w:val="left"/>
      <w:lvlText w:val="#"/>
      <w:numFmt w:val="bullet"/>
      <w:start w:val="1"/>
    </w:lvl>
    <w:lvl w:ilvl="1">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lvl w:ilvl="1">
      <w:lvlJc w:val="left"/>
      <w:lvlText w:val="(%2)"/>
      <w:numFmt w:val="lowerLetter"/>
      <w:start w:val="9"/>
    </w:lvl>
  </w:abstractNum>
  <w:abstractNum w:abstractNumId="33">
    <w:nsid w:val="77465F01"/>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34">
    <w:nsid w:val="7724C67E"/>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35">
    <w:nsid w:val="5C482A97"/>
    <w:multiLevelType w:val="hybridMultilevel"/>
    <w:lvl w:ilvl="0">
      <w:lvlJc w:val="left"/>
      <w:lvlText w:val="(%1)"/>
      <w:numFmt w:val="lowerRoman"/>
      <w:start w:val="1"/>
    </w:lvl>
  </w:abstractNum>
  <w:abstractNum w:abstractNumId="36">
    <w:nsid w:val="2463B9EA"/>
    <w:multiLevelType w:val="hybridMultilevel"/>
    <w:lvl w:ilvl="0">
      <w:lvlJc w:val="left"/>
      <w:lvlText w:val="(%1)"/>
      <w:numFmt w:val="lowerRoman"/>
      <w:start w:val="2"/>
    </w:lvl>
  </w:abstractNum>
  <w:abstractNum w:abstractNumId="37">
    <w:nsid w:val="5E884ADC"/>
    <w:multiLevelType w:val="hybridMultilevel"/>
    <w:lvl w:ilvl="0">
      <w:lvlJc w:val="left"/>
      <w:lvlText w:val="(%1)"/>
      <w:numFmt w:val="lowerLetter"/>
      <w:start w:val="3"/>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1" Type="http://schemas.openxmlformats.org/officeDocument/2006/relationships/hyperlink" Target="https://www.sec.gov/Archives/edgar/data/0001561550/000119312519252279/d803834dex31.htm" TargetMode="External"/><Relationship Id="rId102" Type="http://schemas.openxmlformats.org/officeDocument/2006/relationships/hyperlink" Target="https://www.sec.gov/Archives/edgar/data/0001561550/000119312519227783/d745413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2021-11-05T07:33:49Z</dcterms:created>
  <dcterms:modified xsi:type="dcterms:W3CDTF">2021-11-05T07:33:49Z</dcterms:modified>
</cp:coreProperties>
</file>