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780" w:right="1580" w:hanging="3772"/>
        <w:spacing w:after="0" w:line="391" w:lineRule="auto"/>
        <w:tabs>
          <w:tab w:leader="none" w:pos="5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5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tbl>
      <w:tblPr>
        <w:tblLayout w:type="fixed"/>
        <w:tblInd w:w="382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500" w:type="dxa"/>
            <w:vAlign w:val="bottom"/>
            <w:tcBorders>
              <w:bottom w:val="single" w:sz="8" w:color="auto"/>
            </w:tcBorders>
          </w:tcPr>
          <w:p>
            <w:pPr>
              <w:spacing w:after="0"/>
              <w:rPr>
                <w:sz w:val="17"/>
                <w:szCs w:val="17"/>
                <w:color w:val="auto"/>
              </w:rPr>
            </w:pPr>
          </w:p>
        </w:tc>
      </w:tr>
      <w:tr>
        <w:trPr>
          <w:trHeight w:val="318"/>
        </w:trPr>
        <w:tc>
          <w:tcPr>
            <w:tcW w:w="3600" w:type="dxa"/>
            <w:vAlign w:val="bottom"/>
            <w:gridSpan w:val="4"/>
          </w:tcPr>
          <w:p>
            <w:pPr>
              <w:ind w:left="380"/>
              <w:spacing w:after="0"/>
              <w:rPr>
                <w:sz w:val="20"/>
                <w:szCs w:val="20"/>
                <w:color w:val="auto"/>
              </w:rPr>
            </w:pPr>
            <w:r>
              <w:rPr>
                <w:rFonts w:ascii="Arial" w:cs="Arial" w:eastAsia="Arial" w:hAnsi="Arial"/>
                <w:sz w:val="18"/>
                <w:szCs w:val="18"/>
                <w:b w:val="1"/>
                <w:bCs w:val="1"/>
                <w:color w:val="auto"/>
              </w:rPr>
              <w:t>Commission File Number: 001-39051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434"/>
        </w:trPr>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0" w:type="dxa"/>
            <w:vAlign w:val="bottom"/>
            <w:gridSpan w:val="2"/>
          </w:tcPr>
          <w:p>
            <w:pPr>
              <w:jc w:val="center"/>
              <w:ind w:right="760"/>
              <w:spacing w:after="0"/>
              <w:rPr>
                <w:sz w:val="20"/>
                <w:szCs w:val="20"/>
                <w:color w:val="auto"/>
              </w:rPr>
            </w:pPr>
            <w:r>
              <w:rPr>
                <w:rFonts w:ascii="Arial" w:cs="Arial" w:eastAsia="Arial" w:hAnsi="Arial"/>
                <w:sz w:val="36"/>
                <w:szCs w:val="36"/>
                <w:b w:val="1"/>
                <w:bCs w:val="1"/>
                <w:color w:val="auto"/>
                <w:w w:val="91"/>
              </w:rPr>
              <w:t>Datadog, Inc.</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980" w:type="dxa"/>
            <w:vAlign w:val="bottom"/>
            <w:gridSpan w:val="2"/>
            <w:vMerge w:val="restart"/>
          </w:tcPr>
          <w:p>
            <w:pPr>
              <w:jc w:val="center"/>
              <w:ind w:left="1499"/>
              <w:spacing w:after="0"/>
              <w:rPr>
                <w:sz w:val="20"/>
                <w:szCs w:val="20"/>
                <w:color w:val="auto"/>
              </w:rPr>
            </w:pPr>
            <w:r>
              <w:rPr>
                <w:rFonts w:ascii="Arial" w:cs="Arial" w:eastAsia="Arial" w:hAnsi="Arial"/>
                <w:sz w:val="18"/>
                <w:szCs w:val="18"/>
                <w:b w:val="1"/>
                <w:bCs w:val="1"/>
                <w:color w:val="auto"/>
                <w:w w:val="91"/>
              </w:rPr>
              <w:t>Delaware</w:t>
            </w:r>
          </w:p>
        </w:tc>
        <w:tc>
          <w:tcPr>
            <w:tcW w:w="52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740" w:type="dxa"/>
            <w:vAlign w:val="bottom"/>
            <w:vMerge w:val="restart"/>
          </w:tcPr>
          <w:p>
            <w:pPr>
              <w:jc w:val="right"/>
              <w:ind w:right="2284"/>
              <w:spacing w:after="0"/>
              <w:rPr>
                <w:sz w:val="20"/>
                <w:szCs w:val="20"/>
                <w:color w:val="auto"/>
              </w:rPr>
            </w:pPr>
            <w:r>
              <w:rPr>
                <w:rFonts w:ascii="Arial" w:cs="Arial" w:eastAsia="Arial" w:hAnsi="Arial"/>
                <w:sz w:val="18"/>
                <w:szCs w:val="18"/>
                <w:b w:val="1"/>
                <w:bCs w:val="1"/>
                <w:color w:val="auto"/>
              </w:rPr>
              <w:t>27-2825503</w:t>
            </w:r>
          </w:p>
        </w:tc>
        <w:tc>
          <w:tcPr>
            <w:tcW w:w="0" w:type="dxa"/>
            <w:vAlign w:val="bottom"/>
          </w:tcPr>
          <w:p>
            <w:pPr>
              <w:spacing w:after="0"/>
              <w:rPr>
                <w:sz w:val="1"/>
                <w:szCs w:val="1"/>
                <w:color w:val="auto"/>
              </w:rPr>
            </w:pPr>
          </w:p>
        </w:tc>
      </w:tr>
      <w:tr>
        <w:trPr>
          <w:trHeight w:val="281"/>
        </w:trPr>
        <w:tc>
          <w:tcPr>
            <w:tcW w:w="39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jc w:val="center"/>
              <w:ind w:left="14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40" w:type="dxa"/>
            <w:vAlign w:val="bottom"/>
          </w:tcPr>
          <w:p>
            <w:pPr>
              <w:jc w:val="center"/>
              <w:ind w:right="174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980" w:type="dxa"/>
            <w:vAlign w:val="bottom"/>
            <w:gridSpan w:val="2"/>
          </w:tcPr>
          <w:p>
            <w:pPr>
              <w:jc w:val="center"/>
              <w:ind w:left="1499"/>
              <w:spacing w:after="0"/>
              <w:rPr>
                <w:sz w:val="20"/>
                <w:szCs w:val="20"/>
                <w:color w:val="auto"/>
              </w:rPr>
            </w:pPr>
            <w:r>
              <w:rPr>
                <w:rFonts w:ascii="Arial" w:cs="Arial" w:eastAsia="Arial" w:hAnsi="Arial"/>
                <w:sz w:val="14"/>
                <w:szCs w:val="14"/>
                <w:b w:val="1"/>
                <w:bCs w:val="1"/>
                <w:color w:val="auto"/>
                <w:w w:val="94"/>
              </w:rPr>
              <w:t>incorporation or organization)</w:t>
            </w: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740" w:type="dxa"/>
            <w:vAlign w:val="bottom"/>
          </w:tcPr>
          <w:p>
            <w:pPr>
              <w:jc w:val="center"/>
              <w:ind w:right="176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77"/>
        </w:trPr>
        <w:tc>
          <w:tcPr>
            <w:tcW w:w="3980" w:type="dxa"/>
            <w:vAlign w:val="bottom"/>
            <w:gridSpan w:val="2"/>
          </w:tcPr>
          <w:p>
            <w:pPr>
              <w:jc w:val="center"/>
              <w:ind w:left="1499"/>
              <w:spacing w:after="0"/>
              <w:rPr>
                <w:sz w:val="20"/>
                <w:szCs w:val="20"/>
                <w:color w:val="auto"/>
              </w:rPr>
            </w:pPr>
            <w:r>
              <w:rPr>
                <w:rFonts w:ascii="Arial" w:cs="Arial" w:eastAsia="Arial" w:hAnsi="Arial"/>
                <w:sz w:val="18"/>
                <w:szCs w:val="18"/>
                <w:b w:val="1"/>
                <w:bCs w:val="1"/>
                <w:color w:val="auto"/>
                <w:w w:val="90"/>
              </w:rPr>
              <w:t>620 8th Avenue, 45th Floor</w:t>
            </w: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980" w:type="dxa"/>
            <w:vAlign w:val="bottom"/>
            <w:gridSpan w:val="2"/>
          </w:tcPr>
          <w:p>
            <w:pPr>
              <w:jc w:val="center"/>
              <w:ind w:left="1499"/>
              <w:spacing w:after="0"/>
              <w:rPr>
                <w:sz w:val="20"/>
                <w:szCs w:val="20"/>
                <w:color w:val="auto"/>
              </w:rPr>
            </w:pPr>
            <w:r>
              <w:rPr>
                <w:rFonts w:ascii="Arial" w:cs="Arial" w:eastAsia="Arial" w:hAnsi="Arial"/>
                <w:sz w:val="18"/>
                <w:szCs w:val="18"/>
                <w:b w:val="1"/>
                <w:bCs w:val="1"/>
                <w:color w:val="auto"/>
                <w:w w:val="95"/>
              </w:rPr>
              <w:t>New York, NY</w:t>
            </w:r>
          </w:p>
        </w:tc>
        <w:tc>
          <w:tcPr>
            <w:tcW w:w="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40" w:type="dxa"/>
            <w:vAlign w:val="bottom"/>
          </w:tcPr>
          <w:p>
            <w:pPr>
              <w:jc w:val="right"/>
              <w:ind w:right="2484"/>
              <w:spacing w:after="0"/>
              <w:rPr>
                <w:sz w:val="20"/>
                <w:szCs w:val="20"/>
                <w:color w:val="auto"/>
              </w:rPr>
            </w:pPr>
            <w:r>
              <w:rPr>
                <w:rFonts w:ascii="Arial" w:cs="Arial" w:eastAsia="Arial" w:hAnsi="Arial"/>
                <w:sz w:val="18"/>
                <w:szCs w:val="18"/>
                <w:b w:val="1"/>
                <w:bCs w:val="1"/>
                <w:color w:val="auto"/>
              </w:rPr>
              <w:t>10018</w:t>
            </w:r>
          </w:p>
        </w:tc>
        <w:tc>
          <w:tcPr>
            <w:tcW w:w="0" w:type="dxa"/>
            <w:vAlign w:val="bottom"/>
          </w:tcPr>
          <w:p>
            <w:pPr>
              <w:spacing w:after="0"/>
              <w:rPr>
                <w:sz w:val="1"/>
                <w:szCs w:val="1"/>
                <w:color w:val="auto"/>
              </w:rPr>
            </w:pPr>
          </w:p>
        </w:tc>
      </w:tr>
      <w:tr>
        <w:trPr>
          <w:trHeight w:val="186"/>
        </w:trPr>
        <w:tc>
          <w:tcPr>
            <w:tcW w:w="3980" w:type="dxa"/>
            <w:vAlign w:val="bottom"/>
            <w:gridSpan w:val="2"/>
          </w:tcPr>
          <w:p>
            <w:pPr>
              <w:jc w:val="center"/>
              <w:ind w:left="15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740" w:type="dxa"/>
            <w:vAlign w:val="bottom"/>
          </w:tcPr>
          <w:p>
            <w:pPr>
              <w:jc w:val="center"/>
              <w:ind w:right="176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82"/>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(866) 329-4466</w:t>
            </w:r>
          </w:p>
        </w:tc>
        <w:tc>
          <w:tcPr>
            <w:tcW w:w="0" w:type="dxa"/>
            <w:vAlign w:val="bottom"/>
          </w:tcPr>
          <w:p>
            <w:pPr>
              <w:spacing w:after="0"/>
              <w:rPr>
                <w:sz w:val="1"/>
                <w:szCs w:val="1"/>
                <w:color w:val="auto"/>
              </w:rPr>
            </w:pPr>
          </w:p>
        </w:tc>
      </w:tr>
      <w:tr>
        <w:trPr>
          <w:trHeight w:val="122"/>
        </w:trPr>
        <w:tc>
          <w:tcPr>
            <w:tcW w:w="376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750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gridSpan w:val="2"/>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0" w:type="dxa"/>
            <w:vAlign w:val="bottom"/>
            <w:tcBorders>
              <w:right w:val="single" w:sz="8" w:color="auto"/>
            </w:tcBorders>
            <w:gridSpan w:val="2"/>
          </w:tcPr>
          <w:p>
            <w:pPr>
              <w:jc w:val="center"/>
              <w:ind w:right="760"/>
              <w:spacing w:after="0"/>
              <w:rPr>
                <w:sz w:val="20"/>
                <w:szCs w:val="20"/>
                <w:color w:val="auto"/>
              </w:rPr>
            </w:pPr>
            <w:r>
              <w:rPr>
                <w:rFonts w:ascii="Arial" w:cs="Arial" w:eastAsia="Arial" w:hAnsi="Arial"/>
                <w:sz w:val="14"/>
                <w:szCs w:val="14"/>
                <w:color w:val="auto"/>
                <w:w w:val="94"/>
              </w:rPr>
              <w:t>Trading Symbol(s)</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25"/>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760" w:type="dxa"/>
            <w:vAlign w:val="bottom"/>
            <w:tcBorders>
              <w:left w:val="single" w:sz="8" w:color="auto"/>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67"/>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Class A common stock, par value $0.00001 per share</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0" w:type="dxa"/>
            <w:vAlign w:val="bottom"/>
            <w:tcBorders>
              <w:bottom w:val="single" w:sz="8" w:color="auto"/>
              <w:right w:val="single" w:sz="8" w:color="auto"/>
            </w:tcBorders>
            <w:gridSpan w:val="2"/>
          </w:tcPr>
          <w:p>
            <w:pPr>
              <w:jc w:val="center"/>
              <w:ind w:right="740"/>
              <w:spacing w:after="0"/>
              <w:rPr>
                <w:sz w:val="20"/>
                <w:szCs w:val="20"/>
                <w:color w:val="auto"/>
              </w:rPr>
            </w:pPr>
            <w:r>
              <w:rPr>
                <w:rFonts w:ascii="Arial" w:cs="Arial" w:eastAsia="Arial" w:hAnsi="Arial"/>
                <w:sz w:val="14"/>
                <w:szCs w:val="14"/>
                <w:color w:val="auto"/>
                <w:w w:val="99"/>
              </w:rPr>
              <w:t>DDOG</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bl>
    <w:p>
      <w:pPr>
        <w:spacing w:after="0" w:line="80"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280"/>
              <w:spacing w:after="0"/>
              <w:rPr>
                <w:sz w:val="20"/>
                <w:szCs w:val="20"/>
                <w:color w:val="auto"/>
              </w:rPr>
            </w:pPr>
            <w:r>
              <w:rPr>
                <w:rFonts w:ascii="Arial" w:cs="Arial" w:eastAsia="Arial" w:hAnsi="Arial"/>
                <w:sz w:val="18"/>
                <w:szCs w:val="18"/>
                <w:color w:val="auto"/>
              </w:rPr>
              <w:t>Small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6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6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6"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As of May 4, 2020, there were 176,047,887 shares of the registrant’s Class A common stock and 123,330,727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PART I.</w:t>
            </w:r>
          </w:p>
        </w:tc>
        <w:tc>
          <w:tcPr>
            <w:tcW w:w="9360" w:type="dxa"/>
            <w:vAlign w:val="bottom"/>
            <w:gridSpan w:val="5"/>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60" w:type="dxa"/>
            <w:vAlign w:val="bottom"/>
            <w:vMerge w:val="continue"/>
          </w:tcPr>
          <w:p>
            <w:pPr>
              <w:spacing w:after="0"/>
              <w:rPr>
                <w:sz w:val="16"/>
                <w:szCs w:val="16"/>
                <w:color w:val="auto"/>
              </w:rPr>
            </w:pPr>
          </w:p>
        </w:tc>
        <w:tc>
          <w:tcPr>
            <w:tcW w:w="9360" w:type="dxa"/>
            <w:vAlign w:val="bottom"/>
            <w:gridSpan w:val="5"/>
            <w:vMerge w:val="continue"/>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00"/>
              <w:spacing w:after="0"/>
              <w:rPr>
                <w:sz w:val="20"/>
                <w:szCs w:val="20"/>
                <w:color w:val="auto"/>
              </w:rPr>
            </w:pPr>
            <w:r>
              <w:rPr>
                <w:rFonts w:ascii="Arial" w:cs="Arial" w:eastAsia="Arial" w:hAnsi="Arial"/>
                <w:sz w:val="18"/>
                <w:szCs w:val="18"/>
                <w:color w:val="auto"/>
              </w:rPr>
              <w:t>Item 1.</w:t>
            </w:r>
          </w:p>
        </w:tc>
        <w:tc>
          <w:tcPr>
            <w:tcW w:w="936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36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March 31, 2020 and December 31, 2019 (unaudited)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360" w:type="dxa"/>
            <w:vAlign w:val="bottom"/>
            <w:gridSpan w:val="5"/>
          </w:tcPr>
          <w:p>
            <w:pPr>
              <w:spacing w:after="0"/>
              <w:rPr>
                <w:rFonts w:ascii="Arial" w:cs="Arial" w:eastAsia="Arial" w:hAnsi="Arial"/>
                <w:sz w:val="18"/>
                <w:szCs w:val="18"/>
                <w:u w:val="single" w:color="auto"/>
                <w:color w:val="0000EE"/>
                <w:w w:val="98"/>
              </w:rPr>
            </w:pPr>
            <w:hyperlink w:anchor="page5">
              <w:r>
                <w:rPr>
                  <w:rFonts w:ascii="Arial" w:cs="Arial" w:eastAsia="Arial" w:hAnsi="Arial"/>
                  <w:sz w:val="18"/>
                  <w:szCs w:val="18"/>
                  <w:u w:val="single" w:color="auto"/>
                  <w:color w:val="0000EE"/>
                  <w:w w:val="98"/>
                </w:rPr>
                <w:t>Condensed Consolidated Statements of Operations for the Three Months Ended March 31, 2020 and 2019 (unaudited)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360" w:type="dxa"/>
            <w:vAlign w:val="bottom"/>
          </w:tcPr>
          <w:p>
            <w:pPr>
              <w:spacing w:after="0"/>
              <w:rPr>
                <w:sz w:val="16"/>
                <w:szCs w:val="16"/>
                <w:color w:val="auto"/>
              </w:rPr>
            </w:pPr>
          </w:p>
        </w:tc>
        <w:tc>
          <w:tcPr>
            <w:tcW w:w="9080" w:type="dxa"/>
            <w:vAlign w:val="bottom"/>
            <w:tcBorders>
              <w:bottom w:val="single" w:sz="8" w:color="0000EE"/>
            </w:tcBorders>
            <w:gridSpan w:val="4"/>
          </w:tcPr>
          <w:p>
            <w:pPr>
              <w:spacing w:after="0" w:line="190"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 for the Three Months Ended March 31, 2020 and 2019</w:t>
              </w:r>
            </w:hyperlink>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852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9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 of Convertible Preferred Stock and Stockholders’ Equity (Deficit) for the Three Months</w:t>
              </w:r>
            </w:hyperlink>
          </w:p>
        </w:tc>
        <w:tc>
          <w:tcPr>
            <w:tcW w:w="42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32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Ended March 31, 2020 and 2019 (unaudited)</w:t>
              </w:r>
            </w:hyperlink>
          </w:p>
        </w:tc>
        <w:tc>
          <w:tcPr>
            <w:tcW w:w="612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9360" w:type="dxa"/>
            <w:vAlign w:val="bottom"/>
            <w:gridSpan w:val="5"/>
          </w:tcPr>
          <w:p>
            <w:pPr>
              <w:spacing w:after="0"/>
              <w:rPr>
                <w:rFonts w:ascii="Arial" w:cs="Arial" w:eastAsia="Arial" w:hAnsi="Arial"/>
                <w:sz w:val="18"/>
                <w:szCs w:val="18"/>
                <w:u w:val="single" w:color="auto"/>
                <w:color w:val="0000EE"/>
                <w:w w:val="98"/>
              </w:rPr>
            </w:pPr>
            <w:hyperlink w:anchor="page8">
              <w:r>
                <w:rPr>
                  <w:rFonts w:ascii="Arial" w:cs="Arial" w:eastAsia="Arial" w:hAnsi="Arial"/>
                  <w:sz w:val="18"/>
                  <w:szCs w:val="18"/>
                  <w:u w:val="single" w:color="auto"/>
                  <w:color w:val="0000EE"/>
                  <w:w w:val="98"/>
                </w:rPr>
                <w:t>Condensed Consolidated Statements of Cash Flows for the Three Months Ended March 31, 2020 and 2019 (unaudited)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9360" w:type="dxa"/>
            <w:vAlign w:val="bottom"/>
            <w:gridSpan w:val="5"/>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 (unaudited)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60" w:type="dxa"/>
            <w:vAlign w:val="bottom"/>
          </w:tcPr>
          <w:p>
            <w:pPr>
              <w:ind w:left="100"/>
              <w:spacing w:after="0"/>
              <w:rPr>
                <w:sz w:val="20"/>
                <w:szCs w:val="20"/>
                <w:color w:val="auto"/>
              </w:rPr>
            </w:pPr>
            <w:r>
              <w:rPr>
                <w:rFonts w:ascii="Arial" w:cs="Arial" w:eastAsia="Arial" w:hAnsi="Arial"/>
                <w:sz w:val="18"/>
                <w:szCs w:val="18"/>
                <w:color w:val="auto"/>
              </w:rPr>
              <w:t>Item 2.</w:t>
            </w:r>
          </w:p>
        </w:tc>
        <w:tc>
          <w:tcPr>
            <w:tcW w:w="9360" w:type="dxa"/>
            <w:vAlign w:val="bottom"/>
            <w:gridSpan w:val="5"/>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00"/>
              <w:spacing w:after="0"/>
              <w:rPr>
                <w:sz w:val="20"/>
                <w:szCs w:val="20"/>
                <w:color w:val="auto"/>
              </w:rPr>
            </w:pPr>
            <w:r>
              <w:rPr>
                <w:rFonts w:ascii="Arial" w:cs="Arial" w:eastAsia="Arial" w:hAnsi="Arial"/>
                <w:sz w:val="18"/>
                <w:szCs w:val="18"/>
                <w:color w:val="auto"/>
              </w:rPr>
              <w:t>Item 3.</w:t>
            </w:r>
          </w:p>
        </w:tc>
        <w:tc>
          <w:tcPr>
            <w:tcW w:w="9360" w:type="dxa"/>
            <w:vAlign w:val="bottom"/>
            <w:gridSpan w:val="5"/>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Quantitative and Qualitative Disclosures About Market Risk</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100"/>
              <w:spacing w:after="0"/>
              <w:rPr>
                <w:sz w:val="20"/>
                <w:szCs w:val="20"/>
                <w:color w:val="auto"/>
              </w:rPr>
            </w:pPr>
            <w:r>
              <w:rPr>
                <w:rFonts w:ascii="Arial" w:cs="Arial" w:eastAsia="Arial" w:hAnsi="Arial"/>
                <w:sz w:val="18"/>
                <w:szCs w:val="18"/>
                <w:color w:val="auto"/>
              </w:rPr>
              <w:t>Item 4.</w:t>
            </w:r>
          </w:p>
        </w:tc>
        <w:tc>
          <w:tcPr>
            <w:tcW w:w="9360" w:type="dxa"/>
            <w:vAlign w:val="bottom"/>
            <w:gridSpan w:val="5"/>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60" w:type="dxa"/>
            <w:vAlign w:val="bottom"/>
          </w:tcPr>
          <w:p>
            <w:pPr>
              <w:ind w:left="100"/>
              <w:spacing w:after="0"/>
              <w:rPr>
                <w:sz w:val="20"/>
                <w:szCs w:val="20"/>
                <w:color w:val="auto"/>
              </w:rPr>
            </w:pPr>
            <w:r>
              <w:rPr>
                <w:rFonts w:ascii="Arial" w:cs="Arial" w:eastAsia="Arial" w:hAnsi="Arial"/>
                <w:sz w:val="18"/>
                <w:szCs w:val="18"/>
                <w:b w:val="1"/>
                <w:bCs w:val="1"/>
                <w:color w:val="auto"/>
              </w:rPr>
              <w:t>PART II.</w:t>
            </w:r>
          </w:p>
        </w:tc>
        <w:tc>
          <w:tcPr>
            <w:tcW w:w="9360" w:type="dxa"/>
            <w:vAlign w:val="bottom"/>
            <w:gridSpan w:val="5"/>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00"/>
              <w:spacing w:after="0"/>
              <w:rPr>
                <w:sz w:val="20"/>
                <w:szCs w:val="20"/>
                <w:color w:val="auto"/>
              </w:rPr>
            </w:pPr>
            <w:r>
              <w:rPr>
                <w:rFonts w:ascii="Arial" w:cs="Arial" w:eastAsia="Arial" w:hAnsi="Arial"/>
                <w:sz w:val="18"/>
                <w:szCs w:val="18"/>
                <w:color w:val="auto"/>
              </w:rPr>
              <w:t>Item 1.</w:t>
            </w:r>
          </w:p>
        </w:tc>
        <w:tc>
          <w:tcPr>
            <w:tcW w:w="9360" w:type="dxa"/>
            <w:vAlign w:val="bottom"/>
            <w:gridSpan w:val="5"/>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00"/>
              <w:spacing w:after="0"/>
              <w:rPr>
                <w:sz w:val="20"/>
                <w:szCs w:val="20"/>
                <w:color w:val="auto"/>
              </w:rPr>
            </w:pPr>
            <w:r>
              <w:rPr>
                <w:rFonts w:ascii="Arial" w:cs="Arial" w:eastAsia="Arial" w:hAnsi="Arial"/>
                <w:sz w:val="18"/>
                <w:szCs w:val="18"/>
                <w:color w:val="auto"/>
              </w:rPr>
              <w:t>Item 1A.</w:t>
            </w:r>
          </w:p>
        </w:tc>
        <w:tc>
          <w:tcPr>
            <w:tcW w:w="9360" w:type="dxa"/>
            <w:vAlign w:val="bottom"/>
            <w:gridSpan w:val="5"/>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00"/>
              <w:spacing w:after="0"/>
              <w:rPr>
                <w:sz w:val="20"/>
                <w:szCs w:val="20"/>
                <w:color w:val="auto"/>
              </w:rPr>
            </w:pPr>
            <w:r>
              <w:rPr>
                <w:rFonts w:ascii="Arial" w:cs="Arial" w:eastAsia="Arial" w:hAnsi="Arial"/>
                <w:sz w:val="18"/>
                <w:szCs w:val="18"/>
                <w:color w:val="auto"/>
              </w:rPr>
              <w:t>Item 2.</w:t>
            </w:r>
          </w:p>
        </w:tc>
        <w:tc>
          <w:tcPr>
            <w:tcW w:w="9360" w:type="dxa"/>
            <w:vAlign w:val="bottom"/>
            <w:gridSpan w:val="5"/>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Unregistered Sales of Equity Securities and Use of Proceeds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00"/>
              <w:spacing w:after="0"/>
              <w:rPr>
                <w:sz w:val="20"/>
                <w:szCs w:val="20"/>
                <w:color w:val="auto"/>
              </w:rPr>
            </w:pPr>
            <w:r>
              <w:rPr>
                <w:rFonts w:ascii="Arial" w:cs="Arial" w:eastAsia="Arial" w:hAnsi="Arial"/>
                <w:sz w:val="18"/>
                <w:szCs w:val="18"/>
                <w:color w:val="auto"/>
              </w:rPr>
              <w:t>Item 3.</w:t>
            </w:r>
          </w:p>
        </w:tc>
        <w:tc>
          <w:tcPr>
            <w:tcW w:w="9360" w:type="dxa"/>
            <w:vAlign w:val="bottom"/>
            <w:gridSpan w:val="5"/>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Defaults Upon Senior Securities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00"/>
              <w:spacing w:after="0"/>
              <w:rPr>
                <w:sz w:val="20"/>
                <w:szCs w:val="20"/>
                <w:color w:val="auto"/>
              </w:rPr>
            </w:pPr>
            <w:r>
              <w:rPr>
                <w:rFonts w:ascii="Arial" w:cs="Arial" w:eastAsia="Arial" w:hAnsi="Arial"/>
                <w:sz w:val="18"/>
                <w:szCs w:val="18"/>
                <w:color w:val="auto"/>
              </w:rPr>
              <w:t>Item 4.</w:t>
            </w:r>
          </w:p>
        </w:tc>
        <w:tc>
          <w:tcPr>
            <w:tcW w:w="9360" w:type="dxa"/>
            <w:vAlign w:val="bottom"/>
            <w:gridSpan w:val="5"/>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00"/>
              <w:spacing w:after="0"/>
              <w:rPr>
                <w:sz w:val="20"/>
                <w:szCs w:val="20"/>
                <w:color w:val="auto"/>
              </w:rPr>
            </w:pPr>
            <w:r>
              <w:rPr>
                <w:rFonts w:ascii="Arial" w:cs="Arial" w:eastAsia="Arial" w:hAnsi="Arial"/>
                <w:sz w:val="18"/>
                <w:szCs w:val="18"/>
                <w:color w:val="auto"/>
              </w:rPr>
              <w:t>Item 5.</w:t>
            </w:r>
          </w:p>
        </w:tc>
        <w:tc>
          <w:tcPr>
            <w:tcW w:w="9360" w:type="dxa"/>
            <w:vAlign w:val="bottom"/>
            <w:gridSpan w:val="5"/>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00"/>
              <w:spacing w:after="0"/>
              <w:rPr>
                <w:sz w:val="20"/>
                <w:szCs w:val="20"/>
                <w:color w:val="auto"/>
              </w:rPr>
            </w:pPr>
            <w:r>
              <w:rPr>
                <w:rFonts w:ascii="Arial" w:cs="Arial" w:eastAsia="Arial" w:hAnsi="Arial"/>
                <w:sz w:val="18"/>
                <w:szCs w:val="18"/>
                <w:color w:val="auto"/>
              </w:rPr>
              <w:t>Item 6.</w:t>
            </w:r>
          </w:p>
        </w:tc>
        <w:tc>
          <w:tcPr>
            <w:tcW w:w="9360" w:type="dxa"/>
            <w:vAlign w:val="bottom"/>
            <w:gridSpan w:val="5"/>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Exhibits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10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Signatures</w:t>
              </w:r>
            </w:hyperlink>
          </w:p>
        </w:tc>
        <w:tc>
          <w:tcPr>
            <w:tcW w:w="8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1360" w:type="dxa"/>
            <w:vAlign w:val="bottom"/>
          </w:tcPr>
          <w:p>
            <w:pPr>
              <w:spacing w:after="0"/>
              <w:rPr>
                <w:sz w:val="24"/>
                <w:szCs w:val="24"/>
                <w:color w:val="auto"/>
              </w:rPr>
            </w:pPr>
          </w:p>
        </w:tc>
        <w:tc>
          <w:tcPr>
            <w:tcW w:w="8940" w:type="dxa"/>
            <w:vAlign w:val="bottom"/>
            <w:gridSpan w:val="3"/>
          </w:tcPr>
          <w:p>
            <w:pPr>
              <w:ind w:left="4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5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0"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usage of our platform and upsell and cross sell additional products;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the worldwide COVID-19 pandemic on our business, results of operations and financial condition.</w:t>
      </w:r>
    </w:p>
    <w:p>
      <w:pPr>
        <w:spacing w:after="0" w:line="26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in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21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Unless the context otherwise indicates, references in this report to the terms “Datadog”, “the Company,” “we,” “our” and “us” refer to Datadog,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subsidiaries.</w:t>
      </w:r>
    </w:p>
    <w:p>
      <w:pPr>
        <w:spacing w:after="0" w:line="251"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webcasts, press releases and conference calls.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DATADOG,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194,350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597,297</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600,384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176,674</w:t>
            </w: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credit losses of $1,649 and $817 as of</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March 31, 2020 and December 31, 2019, respectively</w:t>
            </w:r>
          </w:p>
        </w:tc>
        <w:tc>
          <w:tcPr>
            <w:tcW w:w="28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108,437</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102,394</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contract costs, current</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9,314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8,346</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20,580</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19,231</w:t>
            </w: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933,065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903,942</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34,084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32,749</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assets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51,286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53,002</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8,891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9,058</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1,176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1,435</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contract costs, non-current</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18,875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17,409</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3,382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3,456</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15,897</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16,990</w:t>
            </w:r>
          </w:p>
        </w:tc>
      </w:tr>
      <w:tr>
        <w:trPr>
          <w:trHeight w:val="26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1,066,656</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1,038,041</w:t>
            </w: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14,205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15,429</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41,755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38,746</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13,436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11,916</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 current</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141,242</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134,148</w:t>
            </w: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210,638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200,239</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liabilities, non-current</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46,042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48,510</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non-current</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3,940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4,340</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3,141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2,611</w:t>
            </w: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263,761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255,700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Class A common stock, $0.00001 par value per share; 2,000,000,000 shares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authorized as of March 31, 2020 and December 31, 2019; 153,495,803 and</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64,308,498 shares issued and outstanding as of March 31, 2020, and</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December 31, 2019, respectively</w:t>
            </w:r>
          </w:p>
        </w:tc>
        <w:tc>
          <w:tcPr>
            <w:tcW w:w="28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w:t>
            </w: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Class B common stock, $0.00001 par value per share; 310,000,000 shares</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authorized as of March 31, 2020 and December 31, 2019; 145,238,917 and</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232,078,452 shares issued and outstanding as of March 31, 2020, and</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 respectively</w:t>
            </w:r>
          </w:p>
        </w:tc>
        <w:tc>
          <w:tcPr>
            <w:tcW w:w="28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921,091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905,821</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 income</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133</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(117,137)</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(123,616)</w:t>
            </w: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802,895</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782,341</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1,066,656</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1,038,041</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9"/>
              </w:rPr>
              <w:t>131,248</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70,050</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26,479</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18,950</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9"/>
              </w:rPr>
              <w:t>104,769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51,100</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40,824</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22,815</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45,215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30,107</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14,952</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100,991</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60,762</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3,778</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2,896</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provision for income taxes</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6,674</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(9,432)</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6,479</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(9,491)</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Net income (loss) attributable to common stockholders</w:t>
            </w: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FF0FC"/>
            </w:tcBorders>
            <w:vMerge w:val="continue"/>
          </w:tcPr>
          <w:p>
            <w:pPr>
              <w:spacing w:after="0"/>
              <w:rPr>
                <w:sz w:val="21"/>
                <w:szCs w:val="21"/>
                <w:color w:val="auto"/>
              </w:rPr>
            </w:pPr>
          </w:p>
        </w:tc>
        <w:tc>
          <w:tcPr>
            <w:tcW w:w="92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6,479</w:t>
            </w:r>
          </w:p>
        </w:tc>
        <w:tc>
          <w:tcPr>
            <w:tcW w:w="1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(9,491)</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FF0FC"/>
            </w:tcBorders>
            <w:vMerge w:val="continue"/>
          </w:tcPr>
          <w:p>
            <w:pPr>
              <w:spacing w:after="0"/>
              <w:rPr>
                <w:sz w:val="21"/>
                <w:szCs w:val="21"/>
                <w:color w:val="auto"/>
              </w:rPr>
            </w:pPr>
          </w:p>
        </w:tc>
        <w:tc>
          <w:tcPr>
            <w:tcW w:w="92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used in calculating basic net income (loss) per share:</w:t>
            </w:r>
          </w:p>
        </w:tc>
        <w:tc>
          <w:tcPr>
            <w:tcW w:w="9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295,455</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77,061</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Weighted average shares used in calculating diluted net income (loss) per share:</w:t>
            </w: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327,801</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77,061</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Three Months Ended</w:t>
      </w:r>
    </w:p>
    <w:p>
      <w:pPr>
        <w:jc w:val="center"/>
        <w:ind w:left="6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6740" w:type="dxa"/>
            <w:vAlign w:val="bottom"/>
            <w:tcBorders>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27"/>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913"/>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340" w:type="dxa"/>
            <w:vAlign w:val="bottom"/>
            <w:shd w:val="clear" w:color="auto" w:fill="CFF0FC"/>
          </w:tcPr>
          <w:p>
            <w:pPr>
              <w:jc w:val="right"/>
              <w:ind w:right="11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6,479</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(9,491)</w:t>
            </w: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67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Unrealized loss on available-for-sale marketable securities</w:t>
            </w:r>
          </w:p>
        </w:tc>
        <w:tc>
          <w:tcPr>
            <w:tcW w:w="1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w:t>
            </w:r>
          </w:p>
        </w:tc>
        <w:tc>
          <w:tcPr>
            <w:tcW w:w="1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w:t>
            </w:r>
          </w:p>
        </w:tc>
        <w:tc>
          <w:tcPr>
            <w:tcW w:w="2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340" w:type="dxa"/>
            <w:vAlign w:val="bottom"/>
            <w:tcBorders>
              <w:bottom w:val="single" w:sz="8" w:color="auto"/>
            </w:tcBorders>
          </w:tcPr>
          <w:p>
            <w:pPr>
              <w:jc w:val="right"/>
              <w:ind w:right="11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5,284</w:t>
            </w:r>
          </w:p>
        </w:tc>
        <w:tc>
          <w:tcPr>
            <w:tcW w:w="2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(9,541)</w:t>
            </w:r>
          </w:p>
        </w:tc>
      </w:tr>
      <w:tr>
        <w:trPr>
          <w:trHeight w:val="20"/>
        </w:trPr>
        <w:tc>
          <w:tcPr>
            <w:tcW w:w="67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9"/>
            <w:vMerge w:val="restart"/>
          </w:tcPr>
          <w:p>
            <w:pPr>
              <w:jc w:val="center"/>
              <w:ind w:left="444"/>
              <w:spacing w:after="0"/>
              <w:rPr>
                <w:sz w:val="20"/>
                <w:szCs w:val="20"/>
                <w:color w:val="auto"/>
              </w:rPr>
            </w:pPr>
            <w:r>
              <w:rPr>
                <w:rFonts w:ascii="Arial" w:cs="Arial" w:eastAsia="Arial" w:hAnsi="Arial"/>
                <w:sz w:val="14"/>
                <w:szCs w:val="14"/>
                <w:b w:val="1"/>
                <w:bCs w:val="1"/>
                <w:color w:val="auto"/>
                <w:w w:val="90"/>
              </w:rPr>
              <w:t>Class A and Class B</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ind w:right="82"/>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9"/>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ind w:right="102"/>
              <w:spacing w:after="0"/>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1"/>
              </w:rPr>
              <w:t>Common Stock</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ind w:right="102"/>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300" w:type="dxa"/>
            <w:vAlign w:val="bottom"/>
            <w:gridSpan w:val="4"/>
          </w:tcPr>
          <w:p>
            <w:pPr>
              <w:jc w:val="right"/>
              <w:ind w:right="22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27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gridSpan w:val="4"/>
          </w:tcPr>
          <w:p>
            <w:pPr>
              <w:jc w:val="right"/>
              <w:ind w:right="361"/>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center"/>
              <w:ind w:right="420"/>
              <w:spacing w:after="0" w:line="155" w:lineRule="exact"/>
              <w:rPr>
                <w:sz w:val="20"/>
                <w:szCs w:val="20"/>
                <w:color w:val="auto"/>
              </w:rPr>
            </w:pPr>
            <w:r>
              <w:rPr>
                <w:rFonts w:ascii="Arial" w:cs="Arial" w:eastAsia="Arial" w:hAnsi="Arial"/>
                <w:sz w:val="14"/>
                <w:szCs w:val="14"/>
                <w:b w:val="1"/>
                <w:bCs w:val="1"/>
                <w:color w:val="auto"/>
                <w:w w:val="98"/>
              </w:rPr>
              <w:t>Capital</w:t>
            </w:r>
          </w:p>
        </w:tc>
        <w:tc>
          <w:tcPr>
            <w:tcW w:w="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left="243"/>
              <w:spacing w:after="0" w:line="155"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gridSpan w:val="4"/>
          </w:tcPr>
          <w:p>
            <w:pPr>
              <w:jc w:val="center"/>
              <w:ind w:left="202"/>
              <w:spacing w:after="0" w:line="155" w:lineRule="exact"/>
              <w:rPr>
                <w:sz w:val="20"/>
                <w:szCs w:val="20"/>
                <w:color w:val="auto"/>
              </w:rPr>
            </w:pPr>
            <w:r>
              <w:rPr>
                <w:rFonts w:ascii="Arial" w:cs="Arial" w:eastAsia="Arial" w:hAnsi="Arial"/>
                <w:sz w:val="14"/>
                <w:szCs w:val="14"/>
                <w:b w:val="1"/>
                <w:bCs w:val="1"/>
                <w:color w:val="auto"/>
                <w:w w:val="93"/>
              </w:rPr>
              <w:t>Deficit</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BALANCE—December 31, 2019</w:t>
            </w:r>
          </w:p>
        </w:tc>
        <w:tc>
          <w:tcPr>
            <w:tcW w:w="130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296,386,950</w:t>
            </w:r>
          </w:p>
        </w:tc>
        <w:tc>
          <w:tcPr>
            <w:tcW w:w="640" w:type="dxa"/>
            <w:vAlign w:val="bottom"/>
            <w:gridSpan w:val="3"/>
            <w:shd w:val="clear" w:color="auto" w:fill="CFF0FC"/>
          </w:tcPr>
          <w:p>
            <w:pPr>
              <w:jc w:val="right"/>
              <w:ind w:right="261"/>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905,821</w:t>
            </w:r>
          </w:p>
        </w:tc>
        <w:tc>
          <w:tcPr>
            <w:tcW w:w="40" w:type="dxa"/>
            <w:vAlign w:val="bottom"/>
            <w:shd w:val="clear" w:color="auto" w:fill="CFF0FC"/>
          </w:tcPr>
          <w:p>
            <w:pPr>
              <w:spacing w:after="0"/>
              <w:rPr>
                <w:sz w:val="18"/>
                <w:szCs w:val="18"/>
                <w:color w:val="auto"/>
              </w:rPr>
            </w:pPr>
          </w:p>
        </w:tc>
        <w:tc>
          <w:tcPr>
            <w:tcW w:w="2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2"/>
              <w:spacing w:after="0"/>
              <w:rPr>
                <w:sz w:val="20"/>
                <w:szCs w:val="20"/>
                <w:color w:val="auto"/>
              </w:rPr>
            </w:pPr>
            <w:r>
              <w:rPr>
                <w:rFonts w:ascii="Arial" w:cs="Arial" w:eastAsia="Arial" w:hAnsi="Arial"/>
                <w:sz w:val="16"/>
                <w:szCs w:val="16"/>
                <w:color w:val="auto"/>
              </w:rPr>
              <w:t>133</w:t>
            </w:r>
          </w:p>
        </w:tc>
        <w:tc>
          <w:tcPr>
            <w:tcW w:w="740" w:type="dxa"/>
            <w:vAlign w:val="bottom"/>
            <w:gridSpan w:val="3"/>
            <w:shd w:val="clear" w:color="auto" w:fill="CFF0FC"/>
          </w:tcPr>
          <w:p>
            <w:pPr>
              <w:jc w:val="center"/>
              <w:ind w:right="262"/>
              <w:spacing w:after="0"/>
              <w:rPr>
                <w:sz w:val="20"/>
                <w:szCs w:val="20"/>
                <w:color w:val="auto"/>
              </w:rPr>
            </w:pPr>
            <w:r>
              <w:rPr>
                <w:rFonts w:ascii="Arial" w:cs="Arial" w:eastAsia="Arial" w:hAnsi="Arial"/>
                <w:sz w:val="16"/>
                <w:szCs w:val="16"/>
                <w:color w:val="auto"/>
                <w:w w:val="89"/>
              </w:rPr>
              <w:t>$</w:t>
            </w:r>
          </w:p>
        </w:tc>
        <w:tc>
          <w:tcPr>
            <w:tcW w:w="7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w w:val="90"/>
              </w:rPr>
              <w:t>(123,616)</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782,341</w:t>
            </w:r>
          </w:p>
        </w:tc>
        <w:tc>
          <w:tcPr>
            <w:tcW w:w="0" w:type="dxa"/>
            <w:vAlign w:val="bottom"/>
          </w:tcPr>
          <w:p>
            <w:pPr>
              <w:spacing w:after="0"/>
              <w:rPr>
                <w:sz w:val="1"/>
                <w:szCs w:val="1"/>
                <w:color w:val="auto"/>
              </w:rPr>
            </w:pPr>
          </w:p>
        </w:tc>
      </w:tr>
      <w:tr>
        <w:trPr>
          <w:trHeight w:val="206"/>
        </w:trPr>
        <w:tc>
          <w:tcPr>
            <w:tcW w:w="2840" w:type="dxa"/>
            <w:vAlign w:val="bottom"/>
            <w:gridSpan w:val="2"/>
          </w:tcPr>
          <w:p>
            <w:pPr>
              <w:spacing w:after="0"/>
              <w:rPr>
                <w:sz w:val="20"/>
                <w:szCs w:val="20"/>
                <w:color w:val="auto"/>
              </w:rPr>
            </w:pPr>
            <w:r>
              <w:rPr>
                <w:rFonts w:ascii="Arial" w:cs="Arial" w:eastAsia="Arial" w:hAnsi="Arial"/>
                <w:sz w:val="16"/>
                <w:szCs w:val="16"/>
                <w:color w:val="auto"/>
                <w:w w:val="90"/>
              </w:rPr>
              <w:t>Issuance of common stock upon exercise of</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gridSpan w:val="2"/>
          </w:tcPr>
          <w:p>
            <w:pPr>
              <w:ind w:left="120"/>
              <w:spacing w:after="0"/>
              <w:rPr>
                <w:sz w:val="20"/>
                <w:szCs w:val="20"/>
                <w:color w:val="auto"/>
              </w:rPr>
            </w:pPr>
            <w:r>
              <w:rPr>
                <w:rFonts w:ascii="Arial" w:cs="Arial" w:eastAsia="Arial" w:hAnsi="Arial"/>
                <w:sz w:val="16"/>
                <w:szCs w:val="16"/>
                <w:color w:val="auto"/>
              </w:rPr>
              <w:t>options</w:t>
            </w:r>
          </w:p>
        </w:tc>
        <w:tc>
          <w:tcPr>
            <w:tcW w:w="1300" w:type="dxa"/>
            <w:vAlign w:val="bottom"/>
            <w:gridSpan w:val="5"/>
          </w:tcPr>
          <w:p>
            <w:pPr>
              <w:jc w:val="right"/>
              <w:spacing w:after="0"/>
              <w:rPr>
                <w:sz w:val="20"/>
                <w:szCs w:val="20"/>
                <w:color w:val="auto"/>
              </w:rPr>
            </w:pPr>
            <w:r>
              <w:rPr>
                <w:rFonts w:ascii="Arial" w:cs="Arial" w:eastAsia="Arial" w:hAnsi="Arial"/>
                <w:sz w:val="16"/>
                <w:szCs w:val="16"/>
                <w:color w:val="auto"/>
              </w:rPr>
              <w:t>2,347,770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2,813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219"/>
        </w:trPr>
        <w:tc>
          <w:tcPr>
            <w:tcW w:w="2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early exercised stock options</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3"/>
        </w:trPr>
        <w:tc>
          <w:tcPr>
            <w:tcW w:w="284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12,163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12,163</w:t>
            </w:r>
          </w:p>
        </w:tc>
        <w:tc>
          <w:tcPr>
            <w:tcW w:w="0" w:type="dxa"/>
            <w:vAlign w:val="bottom"/>
          </w:tcPr>
          <w:p>
            <w:pPr>
              <w:spacing w:after="0"/>
              <w:rPr>
                <w:sz w:val="1"/>
                <w:szCs w:val="1"/>
                <w:color w:val="auto"/>
              </w:rPr>
            </w:pPr>
          </w:p>
        </w:tc>
      </w:tr>
      <w:tr>
        <w:trPr>
          <w:trHeight w:val="209"/>
        </w:trPr>
        <w:tc>
          <w:tcPr>
            <w:tcW w:w="2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Change in accumulated other</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comprehensive</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income (loss)</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90"/>
              </w:rPr>
              <w:t>(1,195)</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13"/>
        </w:trPr>
        <w:tc>
          <w:tcPr>
            <w:tcW w:w="28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6,479</w:t>
            </w: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6,479</w:t>
            </w:r>
          </w:p>
        </w:tc>
        <w:tc>
          <w:tcPr>
            <w:tcW w:w="0" w:type="dxa"/>
            <w:vAlign w:val="bottom"/>
          </w:tcPr>
          <w:p>
            <w:pPr>
              <w:spacing w:after="0"/>
              <w:rPr>
                <w:sz w:val="1"/>
                <w:szCs w:val="1"/>
                <w:color w:val="auto"/>
              </w:rPr>
            </w:pPr>
          </w:p>
        </w:tc>
      </w:tr>
      <w:tr>
        <w:trPr>
          <w:trHeight w:val="209"/>
        </w:trPr>
        <w:tc>
          <w:tcPr>
            <w:tcW w:w="2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BALANCE—March 31, 2020</w:t>
            </w:r>
          </w:p>
        </w:tc>
        <w:tc>
          <w:tcPr>
            <w:tcW w:w="130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298,734,720</w:t>
            </w:r>
          </w:p>
        </w:tc>
        <w:tc>
          <w:tcPr>
            <w:tcW w:w="640" w:type="dxa"/>
            <w:vAlign w:val="bottom"/>
            <w:gridSpan w:val="3"/>
            <w:shd w:val="clear" w:color="auto" w:fill="CFF0FC"/>
          </w:tcPr>
          <w:p>
            <w:pPr>
              <w:jc w:val="right"/>
              <w:ind w:right="261"/>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921,091</w:t>
            </w:r>
          </w:p>
        </w:tc>
        <w:tc>
          <w:tcPr>
            <w:tcW w:w="40" w:type="dxa"/>
            <w:vAlign w:val="bottom"/>
            <w:shd w:val="clear" w:color="auto" w:fill="CFF0FC"/>
          </w:tcPr>
          <w:p>
            <w:pPr>
              <w:spacing w:after="0"/>
              <w:rPr>
                <w:sz w:val="18"/>
                <w:szCs w:val="18"/>
                <w:color w:val="auto"/>
              </w:rPr>
            </w:pPr>
          </w:p>
        </w:tc>
        <w:tc>
          <w:tcPr>
            <w:tcW w:w="2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90"/>
              </w:rPr>
              <w:t>(1,062)</w:t>
            </w:r>
          </w:p>
        </w:tc>
        <w:tc>
          <w:tcPr>
            <w:tcW w:w="740" w:type="dxa"/>
            <w:vAlign w:val="bottom"/>
            <w:gridSpan w:val="3"/>
            <w:shd w:val="clear" w:color="auto" w:fill="CFF0FC"/>
          </w:tcPr>
          <w:p>
            <w:pPr>
              <w:jc w:val="center"/>
              <w:ind w:right="262"/>
              <w:spacing w:after="0"/>
              <w:rPr>
                <w:sz w:val="20"/>
                <w:szCs w:val="20"/>
                <w:color w:val="auto"/>
              </w:rPr>
            </w:pPr>
            <w:r>
              <w:rPr>
                <w:rFonts w:ascii="Arial" w:cs="Arial" w:eastAsia="Arial" w:hAnsi="Arial"/>
                <w:sz w:val="16"/>
                <w:szCs w:val="16"/>
                <w:color w:val="auto"/>
                <w:w w:val="89"/>
              </w:rPr>
              <w:t>$</w:t>
            </w:r>
          </w:p>
        </w:tc>
        <w:tc>
          <w:tcPr>
            <w:tcW w:w="7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w w:val="90"/>
              </w:rPr>
              <w:t>(117,137)</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802,895</w:t>
            </w: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4"/>
            <w:vMerge w:val="restart"/>
          </w:tcPr>
          <w:p>
            <w:pPr>
              <w:jc w:val="right"/>
              <w:ind w:right="1"/>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3"/>
          </w:tcPr>
          <w:p>
            <w:pPr>
              <w:jc w:val="center"/>
              <w:ind w:right="262"/>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521"/>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3"/>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1040" w:type="dxa"/>
            <w:vAlign w:val="bottom"/>
            <w:gridSpan w:val="6"/>
          </w:tcPr>
          <w:p>
            <w:pPr>
              <w:ind w:left="1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w w:val="85"/>
              </w:rPr>
              <w:t>Shares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vMerge w:val="restart"/>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right w:val="single" w:sz="8" w:color="auto"/>
            </w:tcBorders>
            <w:vMerge w:val="restart"/>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restart"/>
          </w:tcPr>
          <w:p>
            <w:pPr>
              <w:jc w:val="center"/>
              <w:ind w:right="302"/>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121"/>
              <w:spacing w:after="0" w:line="133"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1"/>
        </w:trPr>
        <w:tc>
          <w:tcPr>
            <w:tcW w:w="27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4"/>
            <w:vMerge w:val="continue"/>
          </w:tcPr>
          <w:p>
            <w:pPr>
              <w:spacing w:after="0"/>
              <w:rPr>
                <w:sz w:val="14"/>
                <w:szCs w:val="14"/>
                <w:color w:val="auto"/>
              </w:rPr>
            </w:pPr>
          </w:p>
        </w:tc>
        <w:tc>
          <w:tcPr>
            <w:tcW w:w="140" w:type="dxa"/>
            <w:vAlign w:val="bottom"/>
            <w:tcBorders>
              <w:bottom w:val="single" w:sz="8" w:color="CFF0FC"/>
              <w:right w:val="single" w:sz="8" w:color="auto"/>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210"/>
        </w:trPr>
        <w:tc>
          <w:tcPr>
            <w:tcW w:w="2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BALANCE—December 31, 2018</w:t>
            </w:r>
          </w:p>
        </w:tc>
        <w:tc>
          <w:tcPr>
            <w:tcW w:w="92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w w:val="89"/>
              </w:rPr>
              <w:t>179,814,912</w:t>
            </w:r>
          </w:p>
        </w:tc>
        <w:tc>
          <w:tcPr>
            <w:tcW w:w="380" w:type="dxa"/>
            <w:vAlign w:val="bottom"/>
            <w:gridSpan w:val="3"/>
            <w:shd w:val="clear" w:color="auto" w:fill="CFF0FC"/>
          </w:tcPr>
          <w:p>
            <w:pPr>
              <w:jc w:val="right"/>
              <w:ind w:right="101"/>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FF0FC"/>
          </w:tcPr>
          <w:p>
            <w:pPr>
              <w:jc w:val="right"/>
              <w:ind w:right="41"/>
              <w:spacing w:after="0"/>
              <w:rPr>
                <w:sz w:val="20"/>
                <w:szCs w:val="20"/>
                <w:color w:val="auto"/>
              </w:rPr>
            </w:pPr>
            <w:r>
              <w:rPr>
                <w:rFonts w:ascii="Arial" w:cs="Arial" w:eastAsia="Arial" w:hAnsi="Arial"/>
                <w:sz w:val="16"/>
                <w:szCs w:val="16"/>
                <w:color w:val="auto"/>
                <w:w w:val="86"/>
              </w:rPr>
              <w:t>140,805</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78,180,606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220" w:type="dxa"/>
            <w:vAlign w:val="bottom"/>
            <w:gridSpan w:val="3"/>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30,834</w:t>
            </w:r>
          </w:p>
        </w:tc>
        <w:tc>
          <w:tcPr>
            <w:tcW w:w="500" w:type="dxa"/>
            <w:vAlign w:val="bottom"/>
            <w:gridSpan w:val="3"/>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30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(106,906)</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(76,041)</w:t>
            </w:r>
          </w:p>
        </w:tc>
        <w:tc>
          <w:tcPr>
            <w:tcW w:w="0" w:type="dxa"/>
            <w:vAlign w:val="bottom"/>
          </w:tcPr>
          <w:p>
            <w:pPr>
              <w:spacing w:after="0"/>
              <w:rPr>
                <w:sz w:val="1"/>
                <w:szCs w:val="1"/>
                <w:color w:val="auto"/>
              </w:rPr>
            </w:pPr>
          </w:p>
        </w:tc>
      </w:tr>
      <w:tr>
        <w:trPr>
          <w:trHeight w:val="206"/>
        </w:trPr>
        <w:tc>
          <w:tcPr>
            <w:tcW w:w="2840" w:type="dxa"/>
            <w:vAlign w:val="bottom"/>
            <w:gridSpan w:val="2"/>
          </w:tcPr>
          <w:p>
            <w:pPr>
              <w:spacing w:after="0"/>
              <w:rPr>
                <w:sz w:val="20"/>
                <w:szCs w:val="20"/>
                <w:color w:val="auto"/>
              </w:rPr>
            </w:pPr>
            <w:r>
              <w:rPr>
                <w:rFonts w:ascii="Arial" w:cs="Arial" w:eastAsia="Arial" w:hAnsi="Arial"/>
                <w:sz w:val="16"/>
                <w:szCs w:val="16"/>
                <w:color w:val="auto"/>
              </w:rPr>
              <w:t>Issuance of common stock upon</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Arial" w:cs="Arial" w:eastAsia="Arial" w:hAnsi="Arial"/>
                <w:sz w:val="16"/>
                <w:szCs w:val="16"/>
                <w:color w:val="auto"/>
              </w:rPr>
              <w:t>exercise of stock</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gridSpan w:val="2"/>
          </w:tcPr>
          <w:p>
            <w:pPr>
              <w:ind w:left="120"/>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2,773,200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219"/>
        </w:trPr>
        <w:tc>
          <w:tcPr>
            <w:tcW w:w="2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early exercised stock options</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3"/>
        </w:trPr>
        <w:tc>
          <w:tcPr>
            <w:tcW w:w="284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209"/>
        </w:trPr>
        <w:tc>
          <w:tcPr>
            <w:tcW w:w="2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Change in accumulated other</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comprehensive</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income (loss)</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(9,491)</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(9,491)</w:t>
            </w:r>
          </w:p>
        </w:tc>
        <w:tc>
          <w:tcPr>
            <w:tcW w:w="0" w:type="dxa"/>
            <w:vAlign w:val="bottom"/>
          </w:tcPr>
          <w:p>
            <w:pPr>
              <w:spacing w:after="0"/>
              <w:rPr>
                <w:sz w:val="1"/>
                <w:szCs w:val="1"/>
                <w:color w:val="auto"/>
              </w:rPr>
            </w:pPr>
          </w:p>
        </w:tc>
      </w:tr>
      <w:tr>
        <w:trPr>
          <w:trHeight w:val="209"/>
        </w:trPr>
        <w:tc>
          <w:tcPr>
            <w:tcW w:w="2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BALANCE—March 31, 2019</w:t>
            </w:r>
          </w:p>
        </w:tc>
        <w:tc>
          <w:tcPr>
            <w:tcW w:w="92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w w:val="89"/>
              </w:rPr>
              <w:t>179,814,912</w:t>
            </w:r>
          </w:p>
        </w:tc>
        <w:tc>
          <w:tcPr>
            <w:tcW w:w="380" w:type="dxa"/>
            <w:vAlign w:val="bottom"/>
            <w:gridSpan w:val="3"/>
            <w:shd w:val="clear" w:color="auto" w:fill="CFF0FC"/>
          </w:tcPr>
          <w:p>
            <w:pPr>
              <w:jc w:val="right"/>
              <w:ind w:right="101"/>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FF0FC"/>
          </w:tcPr>
          <w:p>
            <w:pPr>
              <w:jc w:val="right"/>
              <w:ind w:right="41"/>
              <w:spacing w:after="0"/>
              <w:rPr>
                <w:sz w:val="20"/>
                <w:szCs w:val="20"/>
                <w:color w:val="auto"/>
              </w:rPr>
            </w:pPr>
            <w:r>
              <w:rPr>
                <w:rFonts w:ascii="Arial" w:cs="Arial" w:eastAsia="Arial" w:hAnsi="Arial"/>
                <w:sz w:val="16"/>
                <w:szCs w:val="16"/>
                <w:color w:val="auto"/>
                <w:w w:val="86"/>
              </w:rPr>
              <w:t>140,805</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80,953,806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220" w:type="dxa"/>
            <w:vAlign w:val="bottom"/>
            <w:gridSpan w:val="3"/>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34,853</w:t>
            </w:r>
          </w:p>
        </w:tc>
        <w:tc>
          <w:tcPr>
            <w:tcW w:w="500" w:type="dxa"/>
            <w:vAlign w:val="bottom"/>
            <w:gridSpan w:val="3"/>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0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(116,397)</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(81,564)</w:t>
            </w: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6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5"/>
                <w:szCs w:val="15"/>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r>
      <w:tr>
        <w:trPr>
          <w:trHeight w:val="169"/>
        </w:trPr>
        <w:tc>
          <w:tcPr>
            <w:tcW w:w="77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2020</w:t>
            </w:r>
          </w:p>
        </w:tc>
        <w:tc>
          <w:tcPr>
            <w:tcW w:w="700" w:type="dxa"/>
            <w:vAlign w:val="bottom"/>
          </w:tcPr>
          <w:p>
            <w:pPr>
              <w:spacing w:after="0"/>
              <w:rPr>
                <w:sz w:val="14"/>
                <w:szCs w:val="14"/>
                <w:color w:val="auto"/>
              </w:rPr>
            </w:pPr>
          </w:p>
        </w:tc>
        <w:tc>
          <w:tcPr>
            <w:tcW w:w="1200" w:type="dxa"/>
            <w:vAlign w:val="bottom"/>
            <w:gridSpan w:val="2"/>
          </w:tcPr>
          <w:p>
            <w:pPr>
              <w:jc w:val="right"/>
              <w:ind w:right="100"/>
              <w:spacing w:after="0" w:line="169" w:lineRule="exact"/>
              <w:rPr>
                <w:sz w:val="20"/>
                <w:szCs w:val="20"/>
                <w:color w:val="auto"/>
              </w:rPr>
            </w:pPr>
            <w:r>
              <w:rPr>
                <w:rFonts w:ascii="Arial" w:cs="Arial" w:eastAsia="Arial" w:hAnsi="Arial"/>
                <w:sz w:val="15"/>
                <w:szCs w:val="15"/>
                <w:b w:val="1"/>
                <w:bCs w:val="1"/>
                <w:color w:val="auto"/>
              </w:rPr>
              <w:t>2019</w:t>
            </w:r>
          </w:p>
        </w:tc>
        <w:tc>
          <w:tcPr>
            <w:tcW w:w="640" w:type="dxa"/>
            <w:vAlign w:val="bottom"/>
          </w:tcPr>
          <w:p>
            <w:pPr>
              <w:spacing w:after="0"/>
              <w:rPr>
                <w:sz w:val="14"/>
                <w:szCs w:val="14"/>
                <w:color w:val="auto"/>
              </w:rPr>
            </w:pPr>
          </w:p>
        </w:tc>
      </w:tr>
      <w:tr>
        <w:trPr>
          <w:trHeight w:val="169"/>
        </w:trPr>
        <w:tc>
          <w:tcPr>
            <w:tcW w:w="77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CASH FLOWS FROM OPERATING ACTIVITIES:</w:t>
            </w:r>
          </w:p>
        </w:tc>
        <w:tc>
          <w:tcPr>
            <w:tcW w:w="9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r>
      <w:tr>
        <w:trPr>
          <w:trHeight w:val="175"/>
        </w:trPr>
        <w:tc>
          <w:tcPr>
            <w:tcW w:w="7760" w:type="dxa"/>
            <w:vAlign w:val="bottom"/>
          </w:tcPr>
          <w:p>
            <w:pPr>
              <w:ind w:left="260"/>
              <w:spacing w:after="0"/>
              <w:rPr>
                <w:sz w:val="20"/>
                <w:szCs w:val="20"/>
                <w:color w:val="auto"/>
              </w:rPr>
            </w:pPr>
            <w:r>
              <w:rPr>
                <w:rFonts w:ascii="Arial" w:cs="Arial" w:eastAsia="Arial" w:hAnsi="Arial"/>
                <w:sz w:val="15"/>
                <w:szCs w:val="15"/>
                <w:color w:val="auto"/>
              </w:rPr>
              <w:t>Net income (loss)</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6,479</w:t>
            </w:r>
          </w:p>
        </w:tc>
        <w:tc>
          <w:tcPr>
            <w:tcW w:w="1200" w:type="dxa"/>
            <w:vAlign w:val="bottom"/>
            <w:gridSpan w:val="2"/>
          </w:tcPr>
          <w:p>
            <w:pPr>
              <w:jc w:val="right"/>
              <w:ind w:right="9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(9,491)</w:t>
            </w:r>
          </w:p>
        </w:tc>
      </w:tr>
      <w:tr>
        <w:trPr>
          <w:trHeight w:val="176"/>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r>
      <w:tr>
        <w:trPr>
          <w:trHeight w:val="176"/>
        </w:trPr>
        <w:tc>
          <w:tcPr>
            <w:tcW w:w="7760" w:type="dxa"/>
            <w:vAlign w:val="bottom"/>
          </w:tcPr>
          <w:p>
            <w:pPr>
              <w:ind w:left="500"/>
              <w:spacing w:after="0"/>
              <w:rPr>
                <w:sz w:val="20"/>
                <w:szCs w:val="20"/>
                <w:color w:val="auto"/>
              </w:rPr>
            </w:pPr>
            <w:r>
              <w:rPr>
                <w:rFonts w:ascii="Arial" w:cs="Arial" w:eastAsia="Arial" w:hAnsi="Arial"/>
                <w:sz w:val="15"/>
                <w:szCs w:val="15"/>
                <w:color w:val="auto"/>
              </w:rPr>
              <w:t>Depreciation and amortization</w:t>
            </w:r>
          </w:p>
        </w:tc>
        <w:tc>
          <w:tcPr>
            <w:tcW w:w="940" w:type="dxa"/>
            <w:vAlign w:val="bottom"/>
          </w:tcPr>
          <w:p>
            <w:pPr>
              <w:spacing w:after="0"/>
              <w:rPr>
                <w:sz w:val="15"/>
                <w:szCs w:val="15"/>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3,688</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2,111</w:t>
            </w:r>
          </w:p>
        </w:tc>
      </w:tr>
      <w:tr>
        <w:trPr>
          <w:trHeight w:val="175"/>
        </w:trPr>
        <w:tc>
          <w:tcPr>
            <w:tcW w:w="77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Amortization of discounts or premiums on marketable securities</w:t>
            </w: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244</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r>
      <w:tr>
        <w:trPr>
          <w:trHeight w:val="176"/>
        </w:trPr>
        <w:tc>
          <w:tcPr>
            <w:tcW w:w="7760" w:type="dxa"/>
            <w:vAlign w:val="bottom"/>
          </w:tcPr>
          <w:p>
            <w:pPr>
              <w:ind w:left="500"/>
              <w:spacing w:after="0"/>
              <w:rPr>
                <w:sz w:val="20"/>
                <w:szCs w:val="20"/>
                <w:color w:val="auto"/>
              </w:rPr>
            </w:pPr>
            <w:r>
              <w:rPr>
                <w:rFonts w:ascii="Arial" w:cs="Arial" w:eastAsia="Arial" w:hAnsi="Arial"/>
                <w:sz w:val="15"/>
                <w:szCs w:val="15"/>
                <w:color w:val="auto"/>
              </w:rPr>
              <w:t>Amortization of deferred contract costs</w:t>
            </w:r>
          </w:p>
        </w:tc>
        <w:tc>
          <w:tcPr>
            <w:tcW w:w="940" w:type="dxa"/>
            <w:vAlign w:val="bottom"/>
          </w:tcPr>
          <w:p>
            <w:pPr>
              <w:spacing w:after="0"/>
              <w:rPr>
                <w:sz w:val="15"/>
                <w:szCs w:val="15"/>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2,185</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1,028</w:t>
            </w:r>
          </w:p>
        </w:tc>
      </w:tr>
      <w:tr>
        <w:trPr>
          <w:trHeight w:val="175"/>
        </w:trPr>
        <w:tc>
          <w:tcPr>
            <w:tcW w:w="77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Stock-based compensation, net of amounts capitalized</w:t>
            </w: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12,060</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2,445</w:t>
            </w:r>
          </w:p>
        </w:tc>
      </w:tr>
      <w:tr>
        <w:trPr>
          <w:trHeight w:val="176"/>
        </w:trPr>
        <w:tc>
          <w:tcPr>
            <w:tcW w:w="7760" w:type="dxa"/>
            <w:vAlign w:val="bottom"/>
          </w:tcPr>
          <w:p>
            <w:pPr>
              <w:ind w:left="500"/>
              <w:spacing w:after="0"/>
              <w:rPr>
                <w:sz w:val="20"/>
                <w:szCs w:val="20"/>
                <w:color w:val="auto"/>
              </w:rPr>
            </w:pPr>
            <w:r>
              <w:rPr>
                <w:rFonts w:ascii="Arial" w:cs="Arial" w:eastAsia="Arial" w:hAnsi="Arial"/>
                <w:sz w:val="15"/>
                <w:szCs w:val="15"/>
                <w:color w:val="auto"/>
              </w:rPr>
              <w:t>Non-cash lease expense</w:t>
            </w:r>
          </w:p>
        </w:tc>
        <w:tc>
          <w:tcPr>
            <w:tcW w:w="940" w:type="dxa"/>
            <w:vAlign w:val="bottom"/>
          </w:tcPr>
          <w:p>
            <w:pPr>
              <w:spacing w:after="0"/>
              <w:rPr>
                <w:sz w:val="15"/>
                <w:szCs w:val="15"/>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3,226</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117</w:t>
            </w:r>
          </w:p>
        </w:tc>
      </w:tr>
      <w:tr>
        <w:trPr>
          <w:trHeight w:val="175"/>
        </w:trPr>
        <w:tc>
          <w:tcPr>
            <w:tcW w:w="77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Provision for accounts receivable allowance</w:t>
            </w: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1,073</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74</w:t>
            </w:r>
          </w:p>
        </w:tc>
      </w:tr>
      <w:tr>
        <w:trPr>
          <w:trHeight w:val="176"/>
        </w:trPr>
        <w:tc>
          <w:tcPr>
            <w:tcW w:w="7760" w:type="dxa"/>
            <w:vAlign w:val="bottom"/>
          </w:tcPr>
          <w:p>
            <w:pPr>
              <w:ind w:left="500"/>
              <w:spacing w:after="0"/>
              <w:rPr>
                <w:sz w:val="20"/>
                <w:szCs w:val="20"/>
                <w:color w:val="auto"/>
              </w:rPr>
            </w:pPr>
            <w:r>
              <w:rPr>
                <w:rFonts w:ascii="Arial" w:cs="Arial" w:eastAsia="Arial" w:hAnsi="Arial"/>
                <w:sz w:val="15"/>
                <w:szCs w:val="15"/>
                <w:color w:val="auto"/>
              </w:rPr>
              <w:t>Loss on disposal of property and equipment</w:t>
            </w:r>
          </w:p>
        </w:tc>
        <w:tc>
          <w:tcPr>
            <w:tcW w:w="940" w:type="dxa"/>
            <w:vAlign w:val="bottom"/>
          </w:tcPr>
          <w:p>
            <w:pPr>
              <w:spacing w:after="0"/>
              <w:rPr>
                <w:sz w:val="15"/>
                <w:szCs w:val="15"/>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4</w:t>
            </w:r>
          </w:p>
        </w:tc>
      </w:tr>
      <w:tr>
        <w:trPr>
          <w:trHeight w:val="176"/>
        </w:trPr>
        <w:tc>
          <w:tcPr>
            <w:tcW w:w="77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Changes in operating assets and liabilities:</w:t>
            </w: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r>
      <w:tr>
        <w:trPr>
          <w:trHeight w:val="175"/>
        </w:trPr>
        <w:tc>
          <w:tcPr>
            <w:tcW w:w="7760" w:type="dxa"/>
            <w:vAlign w:val="bottom"/>
          </w:tcPr>
          <w:p>
            <w:pPr>
              <w:ind w:left="740"/>
              <w:spacing w:after="0"/>
              <w:rPr>
                <w:sz w:val="20"/>
                <w:szCs w:val="20"/>
                <w:color w:val="auto"/>
              </w:rPr>
            </w:pPr>
            <w:r>
              <w:rPr>
                <w:rFonts w:ascii="Arial" w:cs="Arial" w:eastAsia="Arial" w:hAnsi="Arial"/>
                <w:sz w:val="15"/>
                <w:szCs w:val="15"/>
                <w:color w:val="auto"/>
              </w:rPr>
              <w:t>Accounts receivable, net</w:t>
            </w:r>
          </w:p>
        </w:tc>
        <w:tc>
          <w:tcPr>
            <w:tcW w:w="9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(7,116)</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(7,585)</w:t>
            </w:r>
          </w:p>
        </w:tc>
      </w:tr>
      <w:tr>
        <w:trPr>
          <w:trHeight w:val="176"/>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Deferred contract costs</w:t>
            </w: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(4,619)</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(3,390)</w:t>
            </w:r>
          </w:p>
        </w:tc>
      </w:tr>
      <w:tr>
        <w:trPr>
          <w:trHeight w:val="175"/>
        </w:trPr>
        <w:tc>
          <w:tcPr>
            <w:tcW w:w="7760" w:type="dxa"/>
            <w:vAlign w:val="bottom"/>
          </w:tcPr>
          <w:p>
            <w:pPr>
              <w:ind w:left="740"/>
              <w:spacing w:after="0"/>
              <w:rPr>
                <w:sz w:val="20"/>
                <w:szCs w:val="20"/>
                <w:color w:val="auto"/>
              </w:rPr>
            </w:pPr>
            <w:r>
              <w:rPr>
                <w:rFonts w:ascii="Arial" w:cs="Arial" w:eastAsia="Arial" w:hAnsi="Arial"/>
                <w:sz w:val="15"/>
                <w:szCs w:val="15"/>
                <w:color w:val="auto"/>
              </w:rPr>
              <w:t>Prepaid expenses and other current assets</w:t>
            </w:r>
          </w:p>
        </w:tc>
        <w:tc>
          <w:tcPr>
            <w:tcW w:w="9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(1,404)</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(8,492)</w:t>
            </w:r>
          </w:p>
        </w:tc>
      </w:tr>
      <w:tr>
        <w:trPr>
          <w:trHeight w:val="176"/>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Other assets</w:t>
            </w: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919</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(8,219)</w:t>
            </w:r>
          </w:p>
        </w:tc>
      </w:tr>
      <w:tr>
        <w:trPr>
          <w:trHeight w:val="176"/>
        </w:trPr>
        <w:tc>
          <w:tcPr>
            <w:tcW w:w="7760" w:type="dxa"/>
            <w:vAlign w:val="bottom"/>
          </w:tcPr>
          <w:p>
            <w:pPr>
              <w:ind w:left="740"/>
              <w:spacing w:after="0"/>
              <w:rPr>
                <w:sz w:val="20"/>
                <w:szCs w:val="20"/>
                <w:color w:val="auto"/>
              </w:rPr>
            </w:pPr>
            <w:r>
              <w:rPr>
                <w:rFonts w:ascii="Arial" w:cs="Arial" w:eastAsia="Arial" w:hAnsi="Arial"/>
                <w:sz w:val="15"/>
                <w:szCs w:val="15"/>
                <w:color w:val="auto"/>
              </w:rPr>
              <w:t>Accounts payable</w:t>
            </w:r>
          </w:p>
        </w:tc>
        <w:tc>
          <w:tcPr>
            <w:tcW w:w="9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(1,391)</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14,524</w:t>
            </w:r>
          </w:p>
        </w:tc>
      </w:tr>
      <w:tr>
        <w:trPr>
          <w:trHeight w:val="175"/>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Accrued expenses and other liabilities</w:t>
            </w: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2,025</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1,408</w:t>
            </w:r>
          </w:p>
        </w:tc>
      </w:tr>
      <w:tr>
        <w:trPr>
          <w:trHeight w:val="176"/>
        </w:trPr>
        <w:tc>
          <w:tcPr>
            <w:tcW w:w="7760" w:type="dxa"/>
            <w:vAlign w:val="bottom"/>
            <w:tcBorders>
              <w:bottom w:val="single" w:sz="8" w:color="CFF0FC"/>
            </w:tcBorders>
          </w:tcPr>
          <w:p>
            <w:pPr>
              <w:ind w:left="740"/>
              <w:spacing w:after="0"/>
              <w:rPr>
                <w:sz w:val="20"/>
                <w:szCs w:val="20"/>
                <w:color w:val="auto"/>
              </w:rPr>
            </w:pPr>
            <w:r>
              <w:rPr>
                <w:rFonts w:ascii="Arial" w:cs="Arial" w:eastAsia="Arial" w:hAnsi="Arial"/>
                <w:sz w:val="15"/>
                <w:szCs w:val="15"/>
                <w:color w:val="auto"/>
              </w:rPr>
              <w:t>Deferred revenue</w:t>
            </w:r>
          </w:p>
        </w:tc>
        <w:tc>
          <w:tcPr>
            <w:tcW w:w="9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6,884</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18,884</w:t>
            </w:r>
          </w:p>
        </w:tc>
      </w:tr>
      <w:tr>
        <w:trPr>
          <w:trHeight w:val="169"/>
        </w:trPr>
        <w:tc>
          <w:tcPr>
            <w:tcW w:w="7760" w:type="dxa"/>
            <w:vAlign w:val="bottom"/>
            <w:shd w:val="clear" w:color="auto" w:fill="CFF0FC"/>
          </w:tcPr>
          <w:p>
            <w:pPr>
              <w:ind w:left="1000"/>
              <w:spacing w:after="0" w:line="169" w:lineRule="exact"/>
              <w:rPr>
                <w:sz w:val="20"/>
                <w:szCs w:val="20"/>
                <w:color w:val="auto"/>
              </w:rPr>
            </w:pPr>
            <w:r>
              <w:rPr>
                <w:rFonts w:ascii="Arial" w:cs="Arial" w:eastAsia="Arial" w:hAnsi="Arial"/>
                <w:sz w:val="15"/>
                <w:szCs w:val="15"/>
                <w:color w:val="auto"/>
              </w:rPr>
              <w:t>Net cash provided by operating activities</w:t>
            </w:r>
          </w:p>
        </w:tc>
        <w:tc>
          <w:tcPr>
            <w:tcW w:w="9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24,255</w:t>
            </w:r>
          </w:p>
        </w:tc>
        <w:tc>
          <w:tcPr>
            <w:tcW w:w="18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3,418</w:t>
            </w:r>
          </w:p>
        </w:tc>
      </w:tr>
      <w:tr>
        <w:trPr>
          <w:trHeight w:val="169"/>
        </w:trPr>
        <w:tc>
          <w:tcPr>
            <w:tcW w:w="7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CASH FLOWS FROM INVESTING ACTIVITIES:</w:t>
            </w: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r>
      <w:tr>
        <w:trPr>
          <w:trHeight w:val="175"/>
        </w:trPr>
        <w:tc>
          <w:tcPr>
            <w:tcW w:w="7760" w:type="dxa"/>
            <w:vAlign w:val="bottom"/>
          </w:tcPr>
          <w:p>
            <w:pPr>
              <w:ind w:left="260"/>
              <w:spacing w:after="0"/>
              <w:rPr>
                <w:sz w:val="20"/>
                <w:szCs w:val="20"/>
                <w:color w:val="auto"/>
              </w:rPr>
            </w:pPr>
            <w:r>
              <w:rPr>
                <w:rFonts w:ascii="Arial" w:cs="Arial" w:eastAsia="Arial" w:hAnsi="Arial"/>
                <w:sz w:val="15"/>
                <w:szCs w:val="15"/>
                <w:color w:val="auto"/>
              </w:rPr>
              <w:t>Purchases of marketable securities</w:t>
            </w:r>
          </w:p>
        </w:tc>
        <w:tc>
          <w:tcPr>
            <w:tcW w:w="9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96"/>
              </w:rPr>
              <w:t>(427,482)</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w:t>
            </w:r>
          </w:p>
        </w:tc>
      </w:tr>
      <w:tr>
        <w:trPr>
          <w:trHeight w:val="176"/>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Maturities of marketable securities</w:t>
            </w: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2,620</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r>
      <w:tr>
        <w:trPr>
          <w:trHeight w:val="176"/>
        </w:trPr>
        <w:tc>
          <w:tcPr>
            <w:tcW w:w="7760" w:type="dxa"/>
            <w:vAlign w:val="bottom"/>
          </w:tcPr>
          <w:p>
            <w:pPr>
              <w:ind w:left="260"/>
              <w:spacing w:after="0"/>
              <w:rPr>
                <w:sz w:val="20"/>
                <w:szCs w:val="20"/>
                <w:color w:val="auto"/>
              </w:rPr>
            </w:pPr>
            <w:r>
              <w:rPr>
                <w:rFonts w:ascii="Arial" w:cs="Arial" w:eastAsia="Arial" w:hAnsi="Arial"/>
                <w:sz w:val="15"/>
                <w:szCs w:val="15"/>
                <w:color w:val="auto"/>
              </w:rPr>
              <w:t>Purchases of property and equipment</w:t>
            </w:r>
          </w:p>
        </w:tc>
        <w:tc>
          <w:tcPr>
            <w:tcW w:w="9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(1,526)</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(2,197)</w:t>
            </w:r>
          </w:p>
        </w:tc>
      </w:tr>
      <w:tr>
        <w:trPr>
          <w:trHeight w:val="175"/>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Capitalized software development costs</w:t>
            </w:r>
          </w:p>
        </w:tc>
        <w:tc>
          <w:tcPr>
            <w:tcW w:w="9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(3,417)</w:t>
            </w:r>
          </w:p>
        </w:tc>
        <w:tc>
          <w:tcPr>
            <w:tcW w:w="18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(2,096)</w:t>
            </w:r>
          </w:p>
        </w:tc>
      </w:tr>
      <w:tr>
        <w:trPr>
          <w:trHeight w:val="169"/>
        </w:trPr>
        <w:tc>
          <w:tcPr>
            <w:tcW w:w="7760" w:type="dxa"/>
            <w:vAlign w:val="bottom"/>
            <w:tcBorders>
              <w:bottom w:val="single" w:sz="8" w:color="CFF0FC"/>
            </w:tcBorders>
          </w:tcPr>
          <w:p>
            <w:pPr>
              <w:ind w:left="1000"/>
              <w:spacing w:after="0" w:line="169" w:lineRule="exact"/>
              <w:rPr>
                <w:sz w:val="20"/>
                <w:szCs w:val="20"/>
                <w:color w:val="auto"/>
              </w:rPr>
            </w:pPr>
            <w:r>
              <w:rPr>
                <w:rFonts w:ascii="Arial" w:cs="Arial" w:eastAsia="Arial" w:hAnsi="Arial"/>
                <w:sz w:val="15"/>
                <w:szCs w:val="15"/>
                <w:color w:val="auto"/>
              </w:rPr>
              <w:t>Net cash used in investing activities</w:t>
            </w:r>
          </w:p>
        </w:tc>
        <w:tc>
          <w:tcPr>
            <w:tcW w:w="9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6"/>
              </w:rPr>
              <w:t>(429,805)</w:t>
            </w:r>
          </w:p>
        </w:tc>
        <w:tc>
          <w:tcPr>
            <w:tcW w:w="1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(4,293)</w:t>
            </w:r>
          </w:p>
        </w:tc>
      </w:tr>
      <w:tr>
        <w:trPr>
          <w:trHeight w:val="169"/>
        </w:trPr>
        <w:tc>
          <w:tcPr>
            <w:tcW w:w="77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r>
      <w:tr>
        <w:trPr>
          <w:trHeight w:val="175"/>
        </w:trPr>
        <w:tc>
          <w:tcPr>
            <w:tcW w:w="7760" w:type="dxa"/>
            <w:vAlign w:val="bottom"/>
          </w:tcPr>
          <w:p>
            <w:pPr>
              <w:spacing w:after="0"/>
              <w:rPr>
                <w:sz w:val="20"/>
                <w:szCs w:val="20"/>
                <w:color w:val="auto"/>
              </w:rPr>
            </w:pPr>
            <w:r>
              <w:rPr>
                <w:rFonts w:ascii="Arial" w:cs="Arial" w:eastAsia="Arial" w:hAnsi="Arial"/>
                <w:sz w:val="15"/>
                <w:szCs w:val="15"/>
                <w:color w:val="auto"/>
              </w:rPr>
              <w:t>CASH FLOWS FROM FINANCING ACTIVITIES:</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2,813</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1,776</w:t>
            </w:r>
          </w:p>
        </w:tc>
      </w:tr>
      <w:tr>
        <w:trPr>
          <w:trHeight w:val="175"/>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Initial public offering costs</w:t>
            </w:r>
          </w:p>
        </w:tc>
        <w:tc>
          <w:tcPr>
            <w:tcW w:w="9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r>
      <w:tr>
        <w:trPr>
          <w:trHeight w:val="169"/>
        </w:trPr>
        <w:tc>
          <w:tcPr>
            <w:tcW w:w="7760" w:type="dxa"/>
            <w:vAlign w:val="bottom"/>
            <w:shd w:val="clear" w:color="auto" w:fill="CFF0FC"/>
          </w:tcPr>
          <w:p>
            <w:pPr>
              <w:ind w:left="100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9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2,660</w:t>
            </w:r>
          </w:p>
        </w:tc>
        <w:tc>
          <w:tcPr>
            <w:tcW w:w="18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1,776</w:t>
            </w:r>
          </w:p>
        </w:tc>
      </w:tr>
      <w:tr>
        <w:trPr>
          <w:trHeight w:val="169"/>
        </w:trPr>
        <w:tc>
          <w:tcPr>
            <w:tcW w:w="7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5"/>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w:t>
            </w:r>
          </w:p>
        </w:tc>
      </w:tr>
      <w:tr>
        <w:trPr>
          <w:trHeight w:val="175"/>
        </w:trPr>
        <w:tc>
          <w:tcPr>
            <w:tcW w:w="7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NET (DECREASE) INCREASE IN CASH, CASH EQUIVALENTS AND RESTRICTED CASH</w:t>
            </w: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6"/>
              </w:rPr>
              <w:t>(403,031)</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814</w:t>
            </w:r>
          </w:p>
        </w:tc>
      </w:tr>
      <w:tr>
        <w:trPr>
          <w:trHeight w:val="175"/>
        </w:trPr>
        <w:tc>
          <w:tcPr>
            <w:tcW w:w="77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CASH EQUIVALENTS AND RESTRICTED CASH—Beginning of period</w:t>
            </w:r>
          </w:p>
        </w:tc>
        <w:tc>
          <w:tcPr>
            <w:tcW w:w="9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601,189</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64,980</w:t>
            </w:r>
          </w:p>
        </w:tc>
      </w:tr>
      <w:tr>
        <w:trPr>
          <w:trHeight w:val="169"/>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CASH EQUIVALENTS AND RESTRICTED CASH —End of period</w:t>
            </w:r>
          </w:p>
        </w:tc>
        <w:tc>
          <w:tcPr>
            <w:tcW w:w="940" w:type="dxa"/>
            <w:vAlign w:val="bottom"/>
            <w:shd w:val="clear" w:color="auto" w:fill="CFF0FC"/>
          </w:tcPr>
          <w:p>
            <w:pPr>
              <w:jc w:val="right"/>
              <w:ind w:right="784"/>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198,158</w:t>
            </w:r>
          </w:p>
        </w:tc>
        <w:tc>
          <w:tcPr>
            <w:tcW w:w="1200" w:type="dxa"/>
            <w:vAlign w:val="bottom"/>
            <w:gridSpan w:val="2"/>
            <w:shd w:val="clear" w:color="auto" w:fill="CFF0FC"/>
          </w:tcPr>
          <w:p>
            <w:pPr>
              <w:jc w:val="right"/>
              <w:ind w:right="940"/>
              <w:spacing w:after="0" w:line="169" w:lineRule="exact"/>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65,794</w:t>
            </w: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7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75"/>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SUPPLEMENTAL DISCLOSURES OF CASH FLOW INFORMATION:</w:t>
            </w: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r>
      <w:tr>
        <w:trPr>
          <w:trHeight w:val="175"/>
        </w:trPr>
        <w:tc>
          <w:tcPr>
            <w:tcW w:w="7760" w:type="dxa"/>
            <w:vAlign w:val="bottom"/>
          </w:tcPr>
          <w:p>
            <w:pPr>
              <w:ind w:left="260"/>
              <w:spacing w:after="0"/>
              <w:rPr>
                <w:sz w:val="20"/>
                <w:szCs w:val="20"/>
                <w:color w:val="auto"/>
              </w:rPr>
            </w:pPr>
            <w:r>
              <w:rPr>
                <w:rFonts w:ascii="Arial" w:cs="Arial" w:eastAsia="Arial" w:hAnsi="Arial"/>
                <w:sz w:val="15"/>
                <w:szCs w:val="15"/>
                <w:color w:val="auto"/>
              </w:rPr>
              <w:t>Cash paid for income taxes</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34</w:t>
            </w:r>
          </w:p>
        </w:tc>
        <w:tc>
          <w:tcPr>
            <w:tcW w:w="1200" w:type="dxa"/>
            <w:vAlign w:val="bottom"/>
            <w:gridSpan w:val="2"/>
          </w:tcPr>
          <w:p>
            <w:pPr>
              <w:jc w:val="right"/>
              <w:ind w:right="9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3</w:t>
            </w:r>
          </w:p>
        </w:tc>
      </w:tr>
      <w:tr>
        <w:trPr>
          <w:trHeight w:val="175"/>
        </w:trPr>
        <w:tc>
          <w:tcPr>
            <w:tcW w:w="77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r>
      <w:tr>
        <w:trPr>
          <w:trHeight w:val="162"/>
        </w:trPr>
        <w:tc>
          <w:tcPr>
            <w:tcW w:w="7760" w:type="dxa"/>
            <w:vAlign w:val="bottom"/>
          </w:tcPr>
          <w:p>
            <w:pPr>
              <w:spacing w:after="0" w:line="162" w:lineRule="exact"/>
              <w:rPr>
                <w:sz w:val="20"/>
                <w:szCs w:val="20"/>
                <w:color w:val="auto"/>
              </w:rPr>
            </w:pPr>
            <w:r>
              <w:rPr>
                <w:rFonts w:ascii="Arial" w:cs="Arial" w:eastAsia="Arial" w:hAnsi="Arial"/>
                <w:sz w:val="15"/>
                <w:szCs w:val="15"/>
                <w:color w:val="auto"/>
              </w:rPr>
              <w:t>SUPPLEMENTAL DISCLOSURE OF NON-CASH INVESTING AND FINANCING</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5"/>
        </w:trPr>
        <w:tc>
          <w:tcPr>
            <w:tcW w:w="7760" w:type="dxa"/>
            <w:vAlign w:val="bottom"/>
          </w:tcPr>
          <w:p>
            <w:pPr>
              <w:ind w:left="120"/>
              <w:spacing w:after="0"/>
              <w:rPr>
                <w:sz w:val="20"/>
                <w:szCs w:val="20"/>
                <w:color w:val="auto"/>
              </w:rPr>
            </w:pPr>
            <w:r>
              <w:rPr>
                <w:rFonts w:ascii="Arial" w:cs="Arial" w:eastAsia="Arial" w:hAnsi="Arial"/>
                <w:sz w:val="15"/>
                <w:szCs w:val="15"/>
                <w:color w:val="auto"/>
              </w:rPr>
              <w:t>ACTIVITIES:</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Accrued property and equipment purchases</w:t>
            </w:r>
          </w:p>
        </w:tc>
        <w:tc>
          <w:tcPr>
            <w:tcW w:w="940" w:type="dxa"/>
            <w:vAlign w:val="bottom"/>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610</w:t>
            </w:r>
          </w:p>
        </w:tc>
        <w:tc>
          <w:tcPr>
            <w:tcW w:w="1200" w:type="dxa"/>
            <w:vAlign w:val="bottom"/>
            <w:gridSpan w:val="2"/>
            <w:shd w:val="clear" w:color="auto" w:fill="CFF0FC"/>
          </w:tcPr>
          <w:p>
            <w:pPr>
              <w:jc w:val="right"/>
              <w:ind w:right="9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577</w:t>
            </w:r>
          </w:p>
        </w:tc>
      </w:tr>
      <w:tr>
        <w:trPr>
          <w:trHeight w:val="175"/>
        </w:trPr>
        <w:tc>
          <w:tcPr>
            <w:tcW w:w="7760" w:type="dxa"/>
            <w:vAlign w:val="bottom"/>
          </w:tcPr>
          <w:p>
            <w:pPr>
              <w:ind w:left="260"/>
              <w:spacing w:after="0"/>
              <w:rPr>
                <w:sz w:val="20"/>
                <w:szCs w:val="20"/>
                <w:color w:val="auto"/>
              </w:rPr>
            </w:pPr>
            <w:r>
              <w:rPr>
                <w:rFonts w:ascii="Arial" w:cs="Arial" w:eastAsia="Arial" w:hAnsi="Arial"/>
                <w:sz w:val="15"/>
                <w:szCs w:val="15"/>
                <w:color w:val="auto"/>
              </w:rPr>
              <w:t>Stock-based compensation included in capitalized software development costs</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103</w:t>
            </w:r>
          </w:p>
        </w:tc>
        <w:tc>
          <w:tcPr>
            <w:tcW w:w="1200" w:type="dxa"/>
            <w:vAlign w:val="bottom"/>
            <w:gridSpan w:val="2"/>
          </w:tcPr>
          <w:p>
            <w:pPr>
              <w:jc w:val="right"/>
              <w:ind w:right="9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52</w:t>
            </w:r>
          </w:p>
        </w:tc>
      </w:tr>
      <w:tr>
        <w:trPr>
          <w:trHeight w:val="176"/>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Vesting of early exercised options</w:t>
            </w:r>
          </w:p>
        </w:tc>
        <w:tc>
          <w:tcPr>
            <w:tcW w:w="940" w:type="dxa"/>
            <w:vAlign w:val="bottom"/>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294</w:t>
            </w:r>
          </w:p>
        </w:tc>
        <w:tc>
          <w:tcPr>
            <w:tcW w:w="1200" w:type="dxa"/>
            <w:vAlign w:val="bottom"/>
            <w:gridSpan w:val="2"/>
            <w:shd w:val="clear" w:color="auto" w:fill="CFF0FC"/>
          </w:tcPr>
          <w:p>
            <w:pPr>
              <w:jc w:val="right"/>
              <w:ind w:right="9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214</w:t>
            </w:r>
          </w:p>
        </w:tc>
      </w:tr>
      <w:tr>
        <w:trPr>
          <w:trHeight w:val="175"/>
        </w:trPr>
        <w:tc>
          <w:tcPr>
            <w:tcW w:w="7760" w:type="dxa"/>
            <w:vAlign w:val="bottom"/>
          </w:tcPr>
          <w:p>
            <w:pPr>
              <w:ind w:left="260"/>
              <w:spacing w:after="0"/>
              <w:rPr>
                <w:sz w:val="20"/>
                <w:szCs w:val="20"/>
                <w:color w:val="auto"/>
              </w:rPr>
            </w:pPr>
            <w:r>
              <w:rPr>
                <w:rFonts w:ascii="Arial" w:cs="Arial" w:eastAsia="Arial" w:hAnsi="Arial"/>
                <w:sz w:val="15"/>
                <w:szCs w:val="15"/>
                <w:color w:val="auto"/>
              </w:rPr>
              <w:t>Costs related to initial public offering included in accounts payable and accrued liabilities</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268</w:t>
            </w:r>
          </w:p>
        </w:tc>
        <w:tc>
          <w:tcPr>
            <w:tcW w:w="1200" w:type="dxa"/>
            <w:vAlign w:val="bottom"/>
            <w:gridSpan w:val="2"/>
          </w:tcPr>
          <w:p>
            <w:pPr>
              <w:jc w:val="right"/>
              <w:ind w:right="9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w:t>
            </w:r>
          </w:p>
        </w:tc>
      </w:tr>
      <w:tr>
        <w:trPr>
          <w:trHeight w:val="175"/>
        </w:trPr>
        <w:tc>
          <w:tcPr>
            <w:tcW w:w="77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r>
      <w:tr>
        <w:trPr>
          <w:trHeight w:val="162"/>
        </w:trPr>
        <w:tc>
          <w:tcPr>
            <w:tcW w:w="7760" w:type="dxa"/>
            <w:vAlign w:val="bottom"/>
          </w:tcPr>
          <w:p>
            <w:pPr>
              <w:spacing w:after="0" w:line="162" w:lineRule="exact"/>
              <w:rPr>
                <w:sz w:val="20"/>
                <w:szCs w:val="20"/>
                <w:color w:val="auto"/>
              </w:rPr>
            </w:pPr>
            <w:r>
              <w:rPr>
                <w:rFonts w:ascii="Arial" w:cs="Arial" w:eastAsia="Arial" w:hAnsi="Arial"/>
                <w:sz w:val="15"/>
                <w:szCs w:val="15"/>
                <w:color w:val="auto"/>
              </w:rPr>
              <w:t>RECONCILIATION OF CASH, CASH EQUIVALENTS AND RESTRICTED CASH</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7760" w:type="dxa"/>
            <w:vAlign w:val="bottom"/>
          </w:tcPr>
          <w:p>
            <w:pPr>
              <w:ind w:left="120"/>
              <w:spacing w:after="0" w:line="162" w:lineRule="exact"/>
              <w:rPr>
                <w:sz w:val="20"/>
                <w:szCs w:val="20"/>
                <w:color w:val="auto"/>
              </w:rPr>
            </w:pPr>
            <w:r>
              <w:rPr>
                <w:rFonts w:ascii="Arial" w:cs="Arial" w:eastAsia="Arial" w:hAnsi="Arial"/>
                <w:sz w:val="15"/>
                <w:szCs w:val="15"/>
                <w:color w:val="auto"/>
              </w:rPr>
              <w:t>WITHIN THE CONDENSED CONSOLIDATED BALANCE SHEETS TO THE AMOUNTS</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5"/>
        </w:trPr>
        <w:tc>
          <w:tcPr>
            <w:tcW w:w="7760" w:type="dxa"/>
            <w:vAlign w:val="bottom"/>
          </w:tcPr>
          <w:p>
            <w:pPr>
              <w:ind w:left="120"/>
              <w:spacing w:after="0"/>
              <w:rPr>
                <w:sz w:val="20"/>
                <w:szCs w:val="20"/>
                <w:color w:val="auto"/>
              </w:rPr>
            </w:pPr>
            <w:r>
              <w:rPr>
                <w:rFonts w:ascii="Arial" w:cs="Arial" w:eastAsia="Arial" w:hAnsi="Arial"/>
                <w:sz w:val="15"/>
                <w:szCs w:val="15"/>
                <w:color w:val="auto"/>
              </w:rPr>
              <w:t>SHOWN IN THE STATEMENTS OF CASH FLOWS ABOVE: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940" w:type="dxa"/>
            <w:vAlign w:val="bottom"/>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194,350</w:t>
            </w:r>
          </w:p>
        </w:tc>
        <w:tc>
          <w:tcPr>
            <w:tcW w:w="1200" w:type="dxa"/>
            <w:vAlign w:val="bottom"/>
            <w:gridSpan w:val="2"/>
            <w:shd w:val="clear" w:color="auto" w:fill="CFF0FC"/>
          </w:tcPr>
          <w:p>
            <w:pPr>
              <w:jc w:val="right"/>
              <w:ind w:right="9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54,554</w:t>
            </w:r>
          </w:p>
        </w:tc>
      </w:tr>
      <w:tr>
        <w:trPr>
          <w:trHeight w:val="162"/>
        </w:trPr>
        <w:tc>
          <w:tcPr>
            <w:tcW w:w="7760" w:type="dxa"/>
            <w:vAlign w:val="bottom"/>
          </w:tcPr>
          <w:p>
            <w:pPr>
              <w:ind w:left="260"/>
              <w:spacing w:after="0" w:line="162" w:lineRule="exact"/>
              <w:rPr>
                <w:sz w:val="20"/>
                <w:szCs w:val="20"/>
                <w:color w:val="auto"/>
              </w:rPr>
            </w:pPr>
            <w:r>
              <w:rPr>
                <w:rFonts w:ascii="Arial" w:cs="Arial" w:eastAsia="Arial" w:hAnsi="Arial"/>
                <w:sz w:val="15"/>
                <w:szCs w:val="15"/>
                <w:color w:val="auto"/>
              </w:rPr>
              <w:t>Restricted cash – Including amounts in prepaid expense and other current assets and</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5"/>
        </w:trPr>
        <w:tc>
          <w:tcPr>
            <w:tcW w:w="7760" w:type="dxa"/>
            <w:vAlign w:val="bottom"/>
            <w:tcBorders>
              <w:bottom w:val="single" w:sz="8" w:color="CFF0FC"/>
            </w:tcBorders>
          </w:tcPr>
          <w:p>
            <w:pPr>
              <w:ind w:left="360"/>
              <w:spacing w:after="0"/>
              <w:rPr>
                <w:sz w:val="20"/>
                <w:szCs w:val="20"/>
                <w:color w:val="auto"/>
              </w:rPr>
            </w:pPr>
            <w:r>
              <w:rPr>
                <w:rFonts w:ascii="Arial" w:cs="Arial" w:eastAsia="Arial" w:hAnsi="Arial"/>
                <w:sz w:val="15"/>
                <w:szCs w:val="15"/>
                <w:color w:val="auto"/>
              </w:rPr>
              <w:t>other assets</w:t>
            </w:r>
          </w:p>
        </w:tc>
        <w:tc>
          <w:tcPr>
            <w:tcW w:w="9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3,808</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11,240</w:t>
            </w:r>
          </w:p>
        </w:tc>
      </w:tr>
      <w:tr>
        <w:trPr>
          <w:trHeight w:val="169"/>
        </w:trPr>
        <w:tc>
          <w:tcPr>
            <w:tcW w:w="7760" w:type="dxa"/>
            <w:vAlign w:val="bottom"/>
            <w:shd w:val="clear" w:color="auto" w:fill="CFF0FC"/>
          </w:tcPr>
          <w:p>
            <w:pPr>
              <w:ind w:left="260"/>
              <w:spacing w:after="0" w:line="169" w:lineRule="exact"/>
              <w:rPr>
                <w:sz w:val="20"/>
                <w:szCs w:val="20"/>
                <w:color w:val="auto"/>
              </w:rPr>
            </w:pPr>
            <w:r>
              <w:rPr>
                <w:rFonts w:ascii="Arial" w:cs="Arial" w:eastAsia="Arial" w:hAnsi="Arial"/>
                <w:sz w:val="15"/>
                <w:szCs w:val="15"/>
                <w:color w:val="auto"/>
              </w:rPr>
              <w:t>Total cash, cash equivalents and restricted cash</w:t>
            </w:r>
          </w:p>
        </w:tc>
        <w:tc>
          <w:tcPr>
            <w:tcW w:w="940" w:type="dxa"/>
            <w:vAlign w:val="bottom"/>
            <w:shd w:val="clear" w:color="auto" w:fill="CFF0FC"/>
          </w:tcPr>
          <w:p>
            <w:pPr>
              <w:jc w:val="right"/>
              <w:ind w:right="784"/>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198,158</w:t>
            </w:r>
          </w:p>
        </w:tc>
        <w:tc>
          <w:tcPr>
            <w:tcW w:w="1200" w:type="dxa"/>
            <w:vAlign w:val="bottom"/>
            <w:gridSpan w:val="2"/>
            <w:shd w:val="clear" w:color="auto" w:fill="CFF0FC"/>
          </w:tcPr>
          <w:p>
            <w:pPr>
              <w:jc w:val="right"/>
              <w:ind w:right="940"/>
              <w:spacing w:after="0" w:line="169" w:lineRule="exact"/>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65,794</w:t>
            </w: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Datadog, Inc. (“Datadog” or the “Company”) was incorporated in the State of Delaware on June 4, 2010. The Company is the monitoring and analytics platform for developers, IT operations teams and business users in the cloud age. The Company’s SaaS platform integrates and automates infrastructure monitoring, application performance monitoring, log management, user experience and network performance monitoring to provide unified, real-time observability of its customers’ entire technology stack. The Company is headquartered in New York City and has various other global office locations.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225"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The unaudited condensed consolidated financial statements include the accounts of Datadog,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2020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2019, as filed with the SEC on February 25, 2020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accompanying condensed consolidated financial statements have been prepared in accordance with GAAP.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Datadog, Inc. and its wholly owned subsidiaries. All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September 6, 2019, the Board and stockholders approved an amended and restated certificate of incorporation of the Company effecting a 3-for-1 stock split of the Company’s issued and outstanding shares of common stock and convertible preferred stock, and an increase to the authorized shares of the Company’s common stock and convertible preferred stock to 380,000,000 shares and 179,814,912 shares, respectively. The split was effected on September 6, 2019 and without any change in the par value per share.</w:t>
      </w:r>
    </w:p>
    <w:p>
      <w:pPr>
        <w:spacing w:after="0" w:line="18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All information related to the Company’s common stock, convertible preferred stock and stock awards has been retroactively adjusted to give effect to the 3-for-1 stock split on September 6,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including the determination of the fair value of the Company’s stock prior to its initial public offering (“IPO”), fair value of common stock and redeemable convertible preferred stock prior to the IPO, valuation of long-lived assets and their recoverability, including goodwill, estimated expected period of benefit for deferred contract costs, the incremental borrowing rate for operating leases,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39" w:lineRule="exact"/>
        <w:rPr>
          <w:sz w:val="20"/>
          <w:szCs w:val="20"/>
          <w:color w:val="auto"/>
        </w:rPr>
      </w:pPr>
    </w:p>
    <w:p>
      <w:pPr>
        <w:jc w:val="both"/>
        <w:ind w:right="20" w:firstLine="510"/>
        <w:spacing w:after="0" w:line="287" w:lineRule="auto"/>
        <w:rPr>
          <w:sz w:val="20"/>
          <w:szCs w:val="20"/>
          <w:color w:val="auto"/>
        </w:rPr>
      </w:pPr>
      <w:r>
        <w:rPr>
          <w:rFonts w:ascii="Arial" w:cs="Arial" w:eastAsia="Arial" w:hAnsi="Arial"/>
          <w:sz w:val="16"/>
          <w:szCs w:val="16"/>
          <w:color w:val="auto"/>
        </w:rPr>
        <w:t>In June 2016, the Financial Accounting Standards Board (“FASB”) issued Accounting Standards Update (“ASU”) No. 2016-13, Financial Instruments—</w:t>
      </w:r>
      <w:r>
        <w:rPr>
          <w:rFonts w:ascii="Arial" w:cs="Arial" w:eastAsia="Arial" w:hAnsi="Arial"/>
          <w:sz w:val="16"/>
          <w:szCs w:val="16"/>
          <w:i w:val="1"/>
          <w:iCs w:val="1"/>
          <w:color w:val="auto"/>
        </w:rPr>
        <w:t>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which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Additionally, ASU No. 2016-13 amends the current available-for-sale security impairment model for debt securities held for investment. The new model will require an estimate of expected credit losses when the fair value is below the amortized cost of the asset. The credit-related impairment (and subsequent recoveries) are recognized as an allowance on the balance sheet with a corresponding adjustment to the income statement. Non-credit related losses will continue to be recognized through OCI. This guidance also requires new disclosures for financial assets measured at amortized cost, loans and available-for-sale debt securities. Entities will apply the standard’s provisions as a cumulative-effect adjustment to retained earnings as of the beginning of the first reporting period in which the guidance is adopted. The Company adopted this ASU on January 1, 2020 and determined that the ASU had no material impact on the Company’s condensed consolidated financial statements.</w:t>
      </w:r>
    </w:p>
    <w:p>
      <w:pPr>
        <w:spacing w:after="0" w:line="212" w:lineRule="exact"/>
        <w:rPr>
          <w:sz w:val="20"/>
          <w:szCs w:val="20"/>
          <w:color w:val="auto"/>
        </w:rPr>
      </w:pPr>
    </w:p>
    <w:p>
      <w:pPr>
        <w:jc w:val="both"/>
        <w:ind w:right="20" w:firstLine="510"/>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 Arrangement</w:t>
      </w:r>
      <w:r>
        <w:rPr>
          <w:rFonts w:ascii="Arial" w:cs="Arial" w:eastAsia="Arial" w:hAnsi="Arial"/>
          <w:sz w:val="18"/>
          <w:szCs w:val="18"/>
          <w:color w:val="auto"/>
        </w:rPr>
        <w:t xml:space="preserve"> </w:t>
      </w:r>
      <w:r>
        <w:rPr>
          <w:rFonts w:ascii="Arial" w:cs="Arial" w:eastAsia="Arial" w:hAnsi="Arial"/>
          <w:sz w:val="18"/>
          <w:szCs w:val="18"/>
          <w:i w:val="1"/>
          <w:iCs w:val="1"/>
          <w:color w:val="auto"/>
        </w:rPr>
        <w:t>That Is a Service Contract</w:t>
      </w:r>
      <w:r>
        <w:rPr>
          <w:rFonts w:ascii="Arial" w:cs="Arial" w:eastAsia="Arial" w:hAnsi="Arial"/>
          <w:sz w:val="18"/>
          <w:szCs w:val="18"/>
          <w:color w:val="auto"/>
        </w:rPr>
        <w:t>, which aligns the accounting for implementation costs incurred in a hosting arrangement that is a service contract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implementation costs incurred to develop or obtain internal-use software under ASC 350-40, in order to determine which costs to capitalize and recognize as an asset and which costs to expense. The Company adopted the ASU on January 1, 2020 and applied it prospectively to implementation costs incurred after the date of adoption. The Company’s adoption of this ASU had no material impact on the Company's condensed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52"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aims to reduce complexity in accounting standards by improving certain areas of GAAP without compromising information provided to users of financial statements. This guidance will be effective for the Company beginning January 1, 2021. The Company is currently evaluating the impact of the adoption of this standard on its condensed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Marketable Securities</w:t>
      </w:r>
    </w:p>
    <w:p>
      <w:pPr>
        <w:spacing w:after="0" w:line="270"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following is a summary of available-for-sale marketable securities, excluding those securities classified within cash and cash equivalents, on the condensed consolidated balance sheets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March 31, 2020</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jc w:val="center"/>
              <w:ind w:right="335"/>
              <w:spacing w:after="0" w:line="133"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0" w:type="dxa"/>
            <w:vAlign w:val="bottom"/>
          </w:tcPr>
          <w:p>
            <w:pPr>
              <w:jc w:val="center"/>
              <w:ind w:left="399"/>
              <w:spacing w:after="0" w:line="133" w:lineRule="exact"/>
              <w:rPr>
                <w:sz w:val="20"/>
                <w:szCs w:val="20"/>
                <w:color w:val="auto"/>
              </w:rPr>
            </w:pPr>
            <w:r>
              <w:rPr>
                <w:rFonts w:ascii="Arial" w:cs="Arial" w:eastAsia="Arial" w:hAnsi="Arial"/>
                <w:sz w:val="14"/>
                <w:szCs w:val="14"/>
                <w:b w:val="1"/>
                <w:bCs w:val="1"/>
                <w:color w:val="auto"/>
                <w:w w:val="95"/>
              </w:rPr>
              <w:t>Unrealized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tcPr>
          <w:p>
            <w:pPr>
              <w:jc w:val="center"/>
              <w:ind w:right="415"/>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r>
      <w:tr>
        <w:trPr>
          <w:trHeight w:val="171"/>
        </w:trPr>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center"/>
              <w:ind w:right="355"/>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Gain</w:t>
            </w:r>
          </w:p>
        </w:tc>
        <w:tc>
          <w:tcPr>
            <w:tcW w:w="1200" w:type="dxa"/>
            <w:vAlign w:val="bottom"/>
          </w:tcPr>
          <w:p>
            <w:pPr>
              <w:jc w:val="center"/>
              <w:ind w:left="399"/>
              <w:spacing w:after="0"/>
              <w:rPr>
                <w:sz w:val="20"/>
                <w:szCs w:val="20"/>
                <w:color w:val="auto"/>
              </w:rPr>
            </w:pPr>
            <w:r>
              <w:rPr>
                <w:rFonts w:ascii="Arial" w:cs="Arial" w:eastAsia="Arial" w:hAnsi="Arial"/>
                <w:sz w:val="14"/>
                <w:szCs w:val="14"/>
                <w:b w:val="1"/>
                <w:bCs w:val="1"/>
                <w:color w:val="auto"/>
                <w:w w:val="82"/>
              </w:rPr>
              <w:t>Losses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jc w:val="center"/>
              <w:ind w:right="415"/>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debt securities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321,534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1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(2,096)</w:t>
            </w: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319,498</w:t>
            </w:r>
          </w:p>
        </w:tc>
        <w:tc>
          <w:tcPr>
            <w:tcW w:w="2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39,865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ind w:right="57"/>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39,919</w:t>
            </w:r>
          </w:p>
        </w:tc>
        <w:tc>
          <w:tcPr>
            <w:tcW w:w="20" w:type="dxa"/>
            <w:vAlign w:val="bottom"/>
          </w:tcPr>
          <w:p>
            <w:pPr>
              <w:spacing w:after="0"/>
              <w:rPr>
                <w:sz w:val="19"/>
                <w:szCs w:val="19"/>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14,914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14,972</w:t>
            </w:r>
          </w:p>
        </w:tc>
        <w:tc>
          <w:tcPr>
            <w:tcW w:w="2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U.S. government treasury securities</w:t>
            </w:r>
          </w:p>
        </w:tc>
        <w:tc>
          <w:tcPr>
            <w:tcW w:w="30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106,033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ind w:right="57"/>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107,056</w:t>
            </w:r>
          </w:p>
        </w:tc>
        <w:tc>
          <w:tcPr>
            <w:tcW w:w="20" w:type="dxa"/>
            <w:vAlign w:val="bottom"/>
          </w:tcPr>
          <w:p>
            <w:pPr>
              <w:spacing w:after="0"/>
              <w:rPr>
                <w:sz w:val="19"/>
                <w:szCs w:val="19"/>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118,908</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118,939</w:t>
            </w:r>
          </w:p>
        </w:tc>
        <w:tc>
          <w:tcPr>
            <w:tcW w:w="20" w:type="dxa"/>
            <w:vAlign w:val="bottom"/>
          </w:tcPr>
          <w:p>
            <w:pPr>
              <w:spacing w:after="0"/>
              <w:rPr>
                <w:sz w:val="19"/>
                <w:szCs w:val="19"/>
                <w:color w:val="auto"/>
              </w:rPr>
            </w:pPr>
          </w:p>
        </w:tc>
      </w:tr>
      <w:tr>
        <w:trPr>
          <w:trHeight w:val="223"/>
        </w:trPr>
        <w:tc>
          <w:tcPr>
            <w:tcW w:w="350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601,254</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1,226</w:t>
            </w:r>
          </w:p>
        </w:tc>
        <w:tc>
          <w:tcPr>
            <w:tcW w:w="180" w:type="dxa"/>
            <w:vAlign w:val="bottom"/>
          </w:tcPr>
          <w:p>
            <w:pPr>
              <w:spacing w:after="0"/>
              <w:rPr>
                <w:sz w:val="19"/>
                <w:szCs w:val="19"/>
                <w:color w:val="auto"/>
              </w:rPr>
            </w:pP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(2,096)</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600,384</w:t>
            </w:r>
          </w:p>
        </w:tc>
        <w:tc>
          <w:tcPr>
            <w:tcW w:w="2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3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December 31, 2019</w:t>
            </w: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3"/>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jc w:val="center"/>
              <w:ind w:right="335"/>
              <w:spacing w:after="0" w:line="133"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0" w:type="dxa"/>
            <w:vAlign w:val="bottom"/>
          </w:tcPr>
          <w:p>
            <w:pPr>
              <w:jc w:val="center"/>
              <w:ind w:left="399"/>
              <w:spacing w:after="0" w:line="133" w:lineRule="exact"/>
              <w:rPr>
                <w:sz w:val="20"/>
                <w:szCs w:val="20"/>
                <w:color w:val="auto"/>
              </w:rPr>
            </w:pPr>
            <w:r>
              <w:rPr>
                <w:rFonts w:ascii="Arial" w:cs="Arial" w:eastAsia="Arial" w:hAnsi="Arial"/>
                <w:sz w:val="14"/>
                <w:szCs w:val="14"/>
                <w:b w:val="1"/>
                <w:bCs w:val="1"/>
                <w:color w:val="auto"/>
                <w:w w:val="95"/>
              </w:rPr>
              <w:t>Unrealized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tcPr>
          <w:p>
            <w:pPr>
              <w:jc w:val="center"/>
              <w:ind w:right="415"/>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r>
      <w:tr>
        <w:trPr>
          <w:trHeight w:val="171"/>
        </w:trPr>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center"/>
              <w:ind w:right="355"/>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Gain</w:t>
            </w:r>
          </w:p>
        </w:tc>
        <w:tc>
          <w:tcPr>
            <w:tcW w:w="1200" w:type="dxa"/>
            <w:vAlign w:val="bottom"/>
          </w:tcPr>
          <w:p>
            <w:pPr>
              <w:jc w:val="center"/>
              <w:ind w:left="399"/>
              <w:spacing w:after="0"/>
              <w:rPr>
                <w:sz w:val="20"/>
                <w:szCs w:val="20"/>
                <w:color w:val="auto"/>
              </w:rPr>
            </w:pPr>
            <w:r>
              <w:rPr>
                <w:rFonts w:ascii="Arial" w:cs="Arial" w:eastAsia="Arial" w:hAnsi="Arial"/>
                <w:sz w:val="14"/>
                <w:szCs w:val="14"/>
                <w:b w:val="1"/>
                <w:bCs w:val="1"/>
                <w:color w:val="auto"/>
                <w:w w:val="82"/>
              </w:rPr>
              <w:t>Losses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jc w:val="center"/>
              <w:ind w:right="415"/>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debt securities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80,376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46</w:t>
            </w:r>
          </w:p>
        </w:tc>
        <w:tc>
          <w:tcPr>
            <w:tcW w:w="1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1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80,417</w:t>
            </w:r>
          </w:p>
        </w:tc>
        <w:tc>
          <w:tcPr>
            <w:tcW w:w="2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U.S. government treasury securities</w:t>
            </w:r>
          </w:p>
        </w:tc>
        <w:tc>
          <w:tcPr>
            <w:tcW w:w="30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72,467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ind w:right="57"/>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72,473</w:t>
            </w:r>
          </w:p>
        </w:tc>
        <w:tc>
          <w:tcPr>
            <w:tcW w:w="20" w:type="dxa"/>
            <w:vAlign w:val="bottom"/>
          </w:tcPr>
          <w:p>
            <w:pPr>
              <w:spacing w:after="0"/>
              <w:rPr>
                <w:sz w:val="19"/>
                <w:szCs w:val="19"/>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23,784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23,784</w:t>
            </w:r>
          </w:p>
        </w:tc>
        <w:tc>
          <w:tcPr>
            <w:tcW w:w="20" w:type="dxa"/>
            <w:vAlign w:val="bottom"/>
          </w:tcPr>
          <w:p>
            <w:pPr>
              <w:spacing w:after="0"/>
              <w:rPr>
                <w:sz w:val="19"/>
                <w:szCs w:val="19"/>
                <w:color w:val="auto"/>
              </w:rPr>
            </w:pPr>
          </w:p>
        </w:tc>
      </w:tr>
      <w:tr>
        <w:trPr>
          <w:trHeight w:val="223"/>
        </w:trPr>
        <w:tc>
          <w:tcPr>
            <w:tcW w:w="350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176,627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176,674</w:t>
            </w:r>
          </w:p>
        </w:tc>
        <w:tc>
          <w:tcPr>
            <w:tcW w:w="2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3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right"/>
              <w:ind w:right="1537"/>
              <w:spacing w:after="0"/>
              <w:rPr>
                <w:sz w:val="20"/>
                <w:szCs w:val="20"/>
                <w:color w:val="auto"/>
              </w:rPr>
            </w:pPr>
            <w:r>
              <w:rPr>
                <w:rFonts w:ascii="Arial" w:cs="Arial" w:eastAsia="Arial" w:hAnsi="Arial"/>
                <w:sz w:val="15"/>
                <w:szCs w:val="15"/>
                <w:color w:val="auto"/>
                <w:w w:val="71"/>
              </w:rPr>
              <w:t>9</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0" w:name="page11"/>
    <w:bookmarkEnd w:id="10"/>
    <w:p>
      <w:pPr>
        <w:ind w:left="520"/>
        <w:spacing w:after="0"/>
        <w:rPr>
          <w:sz w:val="20"/>
          <w:szCs w:val="20"/>
          <w:color w:val="auto"/>
        </w:rPr>
      </w:pPr>
      <w:r>
        <w:rPr>
          <w:rFonts w:ascii="Arial" w:cs="Arial" w:eastAsia="Arial" w:hAnsi="Arial"/>
          <w:sz w:val="16"/>
          <w:szCs w:val="16"/>
          <w:color w:val="auto"/>
        </w:rPr>
        <w:t>As of March 31, 2020, the fair values of available-for-sale marketable securities, by remaining contractual maturity, were as follows (in thousands):</w:t>
      </w:r>
    </w:p>
    <w:p>
      <w:pPr>
        <w:spacing w:after="0" w:line="28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840" w:type="dxa"/>
            <w:vAlign w:val="bottom"/>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478,459</w:t>
            </w:r>
          </w:p>
        </w:tc>
      </w:tr>
      <w:tr>
        <w:trPr>
          <w:trHeight w:val="230"/>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in one year through five years</w:t>
            </w:r>
          </w:p>
        </w:tc>
        <w:tc>
          <w:tcPr>
            <w:tcW w:w="9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121,925</w:t>
            </w:r>
          </w:p>
        </w:tc>
      </w:tr>
      <w:tr>
        <w:trPr>
          <w:trHeight w:val="223"/>
        </w:trPr>
        <w:tc>
          <w:tcPr>
            <w:tcW w:w="3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600,384</w:t>
            </w:r>
          </w:p>
        </w:tc>
      </w:tr>
      <w:tr>
        <w:trPr>
          <w:trHeight w:val="20"/>
        </w:trPr>
        <w:tc>
          <w:tcPr>
            <w:tcW w:w="3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No tax benefits on unrealized losses have been reflected in the condensed consolidated statement of comprehensive income (loss) due to the Company’s full valuation allowance as of March 31, 2020 and December 31,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Fair Value Measurements</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following tables present information about the Company’s financial assets and liabilities that have been measured at fair value on a recurring basis as of March 31, 2020 and December 31, 2019, and indicate the fair value hierarchy of the valuation inputs utilized to determine such fair value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Fair Value Measurement as of March 31, 2020</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56"/>
        </w:trPr>
        <w:tc>
          <w:tcPr>
            <w:tcW w:w="316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12"/>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3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Cash equivalents:</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1500" w:type="dxa"/>
            <w:vAlign w:val="bottom"/>
            <w:gridSpan w:val="2"/>
            <w:shd w:val="clear" w:color="auto" w:fill="CFF0FC"/>
          </w:tcPr>
          <w:p>
            <w:pPr>
              <w:jc w:val="right"/>
              <w:ind w:right="8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w w:val="89"/>
              </w:rPr>
              <w:t>138,733</w:t>
            </w:r>
          </w:p>
        </w:tc>
        <w:tc>
          <w:tcPr>
            <w:tcW w:w="124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25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138,733</w:t>
            </w: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27,478</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27,478</w:t>
            </w:r>
          </w:p>
        </w:tc>
      </w:tr>
      <w:tr>
        <w:trPr>
          <w:trHeight w:val="229"/>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 government treasury securities</w:t>
            </w: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12,000</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12,000</w:t>
            </w:r>
          </w:p>
        </w:tc>
      </w:tr>
      <w:tr>
        <w:trPr>
          <w:trHeight w:val="229"/>
        </w:trPr>
        <w:tc>
          <w:tcPr>
            <w:tcW w:w="316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3,202</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3,202</w:t>
            </w: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29"/>
        </w:trPr>
        <w:tc>
          <w:tcPr>
            <w:tcW w:w="316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319,499</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319,499</w:t>
            </w:r>
          </w:p>
        </w:tc>
      </w:tr>
      <w:tr>
        <w:trPr>
          <w:trHeight w:val="230"/>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 government agencies</w:t>
            </w: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14,972</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14,972</w:t>
            </w: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39,919</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39,919</w:t>
            </w:r>
          </w:p>
        </w:tc>
      </w:tr>
      <w:tr>
        <w:trPr>
          <w:trHeight w:val="230"/>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 government treasury securities</w:t>
            </w: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6"/>
              </w:rPr>
              <w:t>107,054</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107,054</w:t>
            </w:r>
          </w:p>
        </w:tc>
      </w:tr>
      <w:tr>
        <w:trPr>
          <w:trHeight w:val="229"/>
        </w:trPr>
        <w:tc>
          <w:tcPr>
            <w:tcW w:w="31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118,940</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118,940</w:t>
            </w:r>
          </w:p>
        </w:tc>
      </w:tr>
      <w:tr>
        <w:trPr>
          <w:trHeight w:val="223"/>
        </w:trPr>
        <w:tc>
          <w:tcPr>
            <w:tcW w:w="31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financial assets</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w w:val="89"/>
              </w:rPr>
              <w:t>138,733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90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6"/>
              </w:rPr>
              <w:t>643,064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125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781,797</w:t>
            </w:r>
          </w:p>
        </w:tc>
      </w:tr>
      <w:tr>
        <w:trPr>
          <w:trHeight w:val="20"/>
        </w:trPr>
        <w:tc>
          <w:tcPr>
            <w:tcW w:w="3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58"/>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Fair Value Measurement as of December 31, 2019</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55"/>
        </w:trPr>
        <w:tc>
          <w:tcPr>
            <w:tcW w:w="316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12"/>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3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Cash equivalents:</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1500" w:type="dxa"/>
            <w:vAlign w:val="bottom"/>
            <w:gridSpan w:val="2"/>
            <w:shd w:val="clear" w:color="auto" w:fill="CFF0FC"/>
          </w:tcPr>
          <w:p>
            <w:pPr>
              <w:jc w:val="right"/>
              <w:ind w:right="8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w w:val="89"/>
              </w:rPr>
              <w:t>588,762</w:t>
            </w:r>
          </w:p>
        </w:tc>
        <w:tc>
          <w:tcPr>
            <w:tcW w:w="124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25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588,762</w:t>
            </w: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Marketable Securities:</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debt securities</w:t>
            </w: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80,417</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80,417</w:t>
            </w: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U.S. government treasury securities</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72,473</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72,473</w:t>
            </w:r>
          </w:p>
        </w:tc>
      </w:tr>
      <w:tr>
        <w:trPr>
          <w:trHeight w:val="230"/>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23,784</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23,784</w:t>
            </w:r>
          </w:p>
        </w:tc>
      </w:tr>
      <w:tr>
        <w:trPr>
          <w:trHeight w:val="223"/>
        </w:trPr>
        <w:tc>
          <w:tcPr>
            <w:tcW w:w="3160" w:type="dxa"/>
            <w:vAlign w:val="bottom"/>
          </w:tcPr>
          <w:p>
            <w:pPr>
              <w:ind w:left="260"/>
              <w:spacing w:after="0"/>
              <w:rPr>
                <w:sz w:val="20"/>
                <w:szCs w:val="20"/>
                <w:color w:val="auto"/>
              </w:rPr>
            </w:pPr>
            <w:r>
              <w:rPr>
                <w:rFonts w:ascii="Arial" w:cs="Arial" w:eastAsia="Arial" w:hAnsi="Arial"/>
                <w:sz w:val="18"/>
                <w:szCs w:val="18"/>
                <w:color w:val="auto"/>
              </w:rPr>
              <w:t>Total financial assets</w:t>
            </w:r>
          </w:p>
        </w:tc>
        <w:tc>
          <w:tcPr>
            <w:tcW w:w="4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w w:val="89"/>
              </w:rPr>
              <w:t>588,762</w:t>
            </w:r>
          </w:p>
        </w:tc>
        <w:tc>
          <w:tcPr>
            <w:tcW w:w="1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176,674</w:t>
            </w:r>
          </w:p>
        </w:tc>
        <w:tc>
          <w:tcPr>
            <w:tcW w:w="18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125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765,436</w:t>
            </w:r>
          </w:p>
        </w:tc>
      </w:tr>
      <w:tr>
        <w:trPr>
          <w:trHeight w:val="20"/>
        </w:trPr>
        <w:tc>
          <w:tcPr>
            <w:tcW w:w="3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Company classifies its highly liquid money market funds within Level 1 of the fair value hierarchy because they are valued based on quoted market prices in active markets. The Company classifies its commercial paper, corporate debt securities, U.S. government agencies, certificates of deposit,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ind w:right="474"/>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9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Computers and equipment</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8,667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7,536</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4,939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4,804</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16,487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16,517</w:t>
            </w: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software development costs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28,150</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24,630</w:t>
            </w:r>
          </w:p>
        </w:tc>
      </w:tr>
      <w:tr>
        <w:trPr>
          <w:trHeight w:val="22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58,243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53,487</w:t>
            </w: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(24,159)</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(20,738)</w:t>
            </w: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34,084</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32,749</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Company capitalizes costs related to the development of computer software for internal use and is included in capitalized software development costs within property and equipment, net.</w:t>
      </w:r>
    </w:p>
    <w:p>
      <w:pPr>
        <w:spacing w:after="0" w:line="211" w:lineRule="exact"/>
        <w:rPr>
          <w:sz w:val="20"/>
          <w:szCs w:val="20"/>
          <w:color w:val="auto"/>
        </w:rPr>
      </w:pPr>
    </w:p>
    <w:p>
      <w:pPr>
        <w:jc w:val="both"/>
        <w:ind w:right="40" w:firstLine="510"/>
        <w:spacing w:after="0" w:line="277" w:lineRule="auto"/>
        <w:rPr>
          <w:sz w:val="20"/>
          <w:szCs w:val="20"/>
          <w:color w:val="auto"/>
        </w:rPr>
      </w:pPr>
      <w:r>
        <w:rPr>
          <w:rFonts w:ascii="Arial" w:cs="Arial" w:eastAsia="Arial" w:hAnsi="Arial"/>
          <w:sz w:val="18"/>
          <w:szCs w:val="18"/>
          <w:color w:val="auto"/>
        </w:rPr>
        <w:t>Depreciation and amortization expense was approximately $3.5 million and $1.9 million for the three months ended March 31,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Intangibles, net consisted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As of March 31, 2020</w:t>
            </w: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224"/>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7"/>
              </w:rPr>
              <w:t>Net</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Carrying</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2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3,046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8"/>
              </w:rPr>
              <w:t>(1,870)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1,176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7"/>
              </w:rPr>
              <w:t>2-3 years</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2019</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224"/>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7"/>
              </w:rPr>
              <w:t>Net</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Carrying</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2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3,046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8"/>
              </w:rPr>
              <w:t>(1,611)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1,435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7"/>
              </w:rPr>
              <w:t>2-3 years</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0"/>
        <w:spacing w:after="0" w:line="341" w:lineRule="auto"/>
        <w:rPr>
          <w:sz w:val="20"/>
          <w:szCs w:val="20"/>
          <w:color w:val="auto"/>
        </w:rPr>
      </w:pPr>
      <w:r>
        <w:rPr>
          <w:rFonts w:ascii="Arial" w:cs="Arial" w:eastAsia="Arial" w:hAnsi="Arial"/>
          <w:sz w:val="17"/>
          <w:szCs w:val="17"/>
          <w:color w:val="auto"/>
        </w:rPr>
        <w:t>Intangible amortization expense was approximately $0.2 million and $0.2 million for the three months ended March 31, 2020 and 2019, respectively. Amortization of developed technology is included in cost of revenue on the Company’s condensed consolidated statement of operations.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2020, future amortization expense by year is expected to be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476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2021</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ind w:left="2260"/>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ind w:left="520"/>
              <w:spacing w:after="0"/>
              <w:rPr>
                <w:sz w:val="20"/>
                <w:szCs w:val="20"/>
                <w:color w:val="auto"/>
              </w:rPr>
            </w:pPr>
            <w:r>
              <w:rPr>
                <w:rFonts w:ascii="Arial" w:cs="Arial" w:eastAsia="Arial" w:hAnsi="Arial"/>
                <w:sz w:val="18"/>
                <w:szCs w:val="18"/>
                <w:color w:val="auto"/>
              </w:rPr>
              <w:t>The changes in the carrying amount of goodwill were as follows (in thousands):</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260" w:type="dxa"/>
            <w:vAlign w:val="bottom"/>
          </w:tcPr>
          <w:p>
            <w:pPr>
              <w:spacing w:after="0"/>
              <w:rPr>
                <w:sz w:val="24"/>
                <w:szCs w:val="24"/>
                <w:color w:val="auto"/>
              </w:rPr>
            </w:pPr>
          </w:p>
        </w:tc>
        <w:tc>
          <w:tcPr>
            <w:tcW w:w="4760" w:type="dxa"/>
            <w:vAlign w:val="bottom"/>
            <w:tcBorders>
              <w:bottom w:val="single" w:sz="8" w:color="CFF0FC"/>
            </w:tcBorders>
          </w:tcPr>
          <w:p>
            <w:pPr>
              <w:spacing w:after="0"/>
              <w:rPr>
                <w:sz w:val="24"/>
                <w:szCs w:val="24"/>
                <w:color w:val="auto"/>
              </w:rPr>
            </w:pPr>
          </w:p>
        </w:tc>
        <w:tc>
          <w:tcPr>
            <w:tcW w:w="74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7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9,058</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translation adjustments</w:t>
            </w:r>
          </w:p>
        </w:tc>
        <w:tc>
          <w:tcPr>
            <w:tcW w:w="7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2020</w:t>
            </w:r>
          </w:p>
        </w:tc>
        <w:tc>
          <w:tcPr>
            <w:tcW w:w="7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8,891</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jc w:val="right"/>
              <w:ind w:right="121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0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b w:val="1"/>
          <w:bCs w:val="1"/>
          <w:i w:val="1"/>
          <w:iCs w:val="1"/>
          <w:color w:val="auto"/>
        </w:rPr>
        <w:t>Non-cancelable Material Commitments</w:t>
      </w:r>
      <w:r>
        <w:rPr>
          <w:rFonts w:ascii="Arial" w:cs="Arial" w:eastAsia="Arial" w:hAnsi="Arial"/>
          <w:sz w:val="18"/>
          <w:szCs w:val="18"/>
          <w:color w:val="auto"/>
        </w:rPr>
        <w:t>—In January 2020, the Company entered into a cloud hosting agreement for a total purchase commitment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$21.0 million, payable over the three years following the date of the applicable agreement.</w:t>
      </w:r>
    </w:p>
    <w:p>
      <w:pPr>
        <w:spacing w:after="0" w:line="19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b w:val="1"/>
          <w:bCs w:val="1"/>
          <w:i w:val="1"/>
          <w:iCs w:val="1"/>
          <w:color w:val="auto"/>
        </w:rPr>
        <w:t>401(k) Plan</w:t>
      </w:r>
      <w:r>
        <w:rPr>
          <w:rFonts w:ascii="Arial" w:cs="Arial" w:eastAsia="Arial" w:hAnsi="Arial"/>
          <w:sz w:val="18"/>
          <w:szCs w:val="18"/>
          <w:color w:val="auto"/>
        </w:rPr>
        <w:t>—The Company sponsors a 401(k) defined contribution plan covering all eligible US employees. Contributions to the 401(k) plan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discretionary. The Company did not make any matching contributions to the 401(k) plan for the year ended December 31, 2019 and the three months ended March 31, 2020.</w:t>
      </w:r>
    </w:p>
    <w:p>
      <w:pPr>
        <w:spacing w:after="0" w:line="184"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b w:val="1"/>
          <w:bCs w:val="1"/>
          <w:i w:val="1"/>
          <w:iCs w:val="1"/>
          <w:color w:val="auto"/>
        </w:rPr>
        <w:t>Legal Matters</w:t>
      </w:r>
      <w:r>
        <w:rPr>
          <w:rFonts w:ascii="Arial" w:cs="Arial" w:eastAsia="Arial" w:hAnsi="Arial"/>
          <w:sz w:val="18"/>
          <w:szCs w:val="18"/>
          <w:color w:val="auto"/>
        </w:rPr>
        <w:t>—The Company is involved from time to time in various claims and legal actions arising in the ordinary course of business. While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84" w:lineRule="exact"/>
        <w:rPr>
          <w:sz w:val="20"/>
          <w:szCs w:val="20"/>
          <w:color w:val="auto"/>
        </w:rPr>
      </w:pPr>
    </w:p>
    <w:p>
      <w:pPr>
        <w:jc w:val="both"/>
        <w:ind w:right="20" w:firstLine="510"/>
        <w:spacing w:after="0" w:line="272" w:lineRule="auto"/>
        <w:rPr>
          <w:sz w:val="20"/>
          <w:szCs w:val="20"/>
          <w:color w:val="auto"/>
        </w:rPr>
      </w:pPr>
      <w:r>
        <w:rPr>
          <w:rFonts w:ascii="Arial" w:cs="Arial" w:eastAsia="Arial" w:hAnsi="Arial"/>
          <w:sz w:val="17"/>
          <w:szCs w:val="17"/>
          <w:b w:val="1"/>
          <w:bCs w:val="1"/>
          <w:i w:val="1"/>
          <w:iCs w:val="1"/>
          <w:color w:val="auto"/>
        </w:rPr>
        <w:t>Indemnification</w:t>
      </w:r>
      <w:r>
        <w:rPr>
          <w:rFonts w:ascii="Arial" w:cs="Arial" w:eastAsia="Arial" w:hAnsi="Arial"/>
          <w:sz w:val="17"/>
          <w:szCs w:val="17"/>
          <w:color w:val="auto"/>
        </w:rPr>
        <w:t>—The Company enters into indemnification provisions under some agreements with other parties in the ordinary course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The Company has entered into various noncancelable operating leases for its facilities expiring between fiscal 2020 and 2025. Certain lease agreements contain an option for the Company to renew a lease for a term of up to five years or an option to terminate a lease early within three years. The Company considers these options, which may be elected at the Company’s sole discretion, in determining the lease term on a lease-by-lease basis.</w:t>
      </w:r>
    </w:p>
    <w:p>
      <w:pPr>
        <w:spacing w:after="0" w:line="14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Lease expense for these leases is recognized on a straight-line basis over the lease term, with variable lease payments recognized in the period those payments are incurred.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components of lease cost recognized within the Company’s condensed consolidated statements of operations were as follows (in thousands):</w:t>
      </w:r>
    </w:p>
    <w:p>
      <w:pPr>
        <w:spacing w:after="0" w:line="24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20" w:type="dxa"/>
            <w:vAlign w:val="bottom"/>
          </w:tcPr>
          <w:p>
            <w:pPr>
              <w:jc w:val="center"/>
              <w:ind w:right="557"/>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438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jc w:val="center"/>
              <w:ind w:right="557"/>
              <w:spacing w:after="0"/>
              <w:rPr>
                <w:sz w:val="20"/>
                <w:szCs w:val="20"/>
                <w:color w:val="auto"/>
              </w:rPr>
            </w:pPr>
            <w:r>
              <w:rPr>
                <w:rFonts w:ascii="Arial" w:cs="Arial" w:eastAsia="Arial" w:hAnsi="Arial"/>
                <w:sz w:val="14"/>
                <w:szCs w:val="14"/>
                <w:b w:val="1"/>
                <w:bCs w:val="1"/>
                <w:color w:val="auto"/>
                <w:w w:val="96"/>
              </w:rPr>
              <w:t>March 31, 2020</w:t>
            </w: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15"/>
                <w:szCs w:val="15"/>
                <w:color w:val="auto"/>
              </w:rPr>
              <w:t>(1)</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2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15"/>
                <w:szCs w:val="15"/>
                <w:color w:val="auto"/>
              </w:rPr>
              <w:t>(2)</w:t>
            </w:r>
          </w:p>
        </w:tc>
        <w:tc>
          <w:tcPr>
            <w:tcW w:w="56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w:t>
            </w:r>
          </w:p>
        </w:tc>
        <w:tc>
          <w:tcPr>
            <w:tcW w:w="560" w:type="dxa"/>
            <w:vAlign w:val="bottom"/>
            <w:shd w:val="clear" w:color="auto" w:fill="CFF0FC"/>
          </w:tcPr>
          <w:p>
            <w:pPr>
              <w:spacing w:after="0"/>
              <w:rPr>
                <w:sz w:val="19"/>
                <w:szCs w:val="19"/>
                <w:color w:val="auto"/>
              </w:rPr>
            </w:pPr>
          </w:p>
        </w:tc>
        <w:tc>
          <w:tcPr>
            <w:tcW w:w="2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w:t>
            </w:r>
          </w:p>
        </w:tc>
      </w:tr>
      <w:tr>
        <w:trPr>
          <w:trHeight w:val="355"/>
        </w:trPr>
        <w:tc>
          <w:tcPr>
            <w:tcW w:w="4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20" w:type="dxa"/>
            <w:vAlign w:val="bottom"/>
          </w:tcPr>
          <w:p>
            <w:pPr>
              <w:jc w:val="center"/>
              <w:ind w:right="557"/>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438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jc w:val="center"/>
              <w:ind w:right="557"/>
              <w:spacing w:after="0"/>
              <w:rPr>
                <w:sz w:val="20"/>
                <w:szCs w:val="20"/>
                <w:color w:val="auto"/>
              </w:rPr>
            </w:pPr>
            <w:r>
              <w:rPr>
                <w:rFonts w:ascii="Arial" w:cs="Arial" w:eastAsia="Arial" w:hAnsi="Arial"/>
                <w:sz w:val="14"/>
                <w:szCs w:val="14"/>
                <w:b w:val="1"/>
                <w:bCs w:val="1"/>
                <w:color w:val="auto"/>
                <w:w w:val="96"/>
              </w:rPr>
              <w:t>March 31, 2019</w:t>
            </w: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15"/>
                <w:szCs w:val="15"/>
                <w:color w:val="auto"/>
              </w:rPr>
              <w:t>(1)</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2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15"/>
                <w:szCs w:val="15"/>
                <w:color w:val="auto"/>
              </w:rPr>
              <w:t>(2)</w:t>
            </w:r>
          </w:p>
        </w:tc>
        <w:tc>
          <w:tcPr>
            <w:tcW w:w="56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w:t>
            </w:r>
          </w:p>
        </w:tc>
        <w:tc>
          <w:tcPr>
            <w:tcW w:w="560" w:type="dxa"/>
            <w:vAlign w:val="bottom"/>
            <w:shd w:val="clear" w:color="auto" w:fill="CFF0FC"/>
          </w:tcPr>
          <w:p>
            <w:pPr>
              <w:spacing w:after="0"/>
              <w:rPr>
                <w:sz w:val="19"/>
                <w:szCs w:val="19"/>
                <w:color w:val="auto"/>
              </w:rPr>
            </w:pPr>
          </w:p>
        </w:tc>
        <w:tc>
          <w:tcPr>
            <w:tcW w:w="2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512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7" w:lineRule="exact"/>
        <w:rPr>
          <w:sz w:val="20"/>
          <w:szCs w:val="20"/>
          <w:color w:val="auto"/>
        </w:rPr>
      </w:pPr>
    </w:p>
    <w:p>
      <w:pPr>
        <w:ind w:left="380" w:hanging="372"/>
        <w:spacing w:after="0"/>
        <w:tabs>
          <w:tab w:leader="none" w:pos="380" w:val="left"/>
        </w:tabs>
        <w:numPr>
          <w:ilvl w:val="0"/>
          <w:numId w:val="4"/>
        </w:numPr>
        <w:rPr>
          <w:rFonts w:ascii="Arial" w:cs="Arial" w:eastAsia="Arial" w:hAnsi="Arial"/>
          <w:sz w:val="29"/>
          <w:szCs w:val="29"/>
          <w:color w:val="auto"/>
          <w:vertAlign w:val="superscript"/>
        </w:rPr>
      </w:pPr>
      <w:r>
        <w:rPr>
          <w:rFonts w:ascii="Arial" w:cs="Arial" w:eastAsia="Arial" w:hAnsi="Arial"/>
          <w:sz w:val="14"/>
          <w:szCs w:val="14"/>
          <w:color w:val="auto"/>
        </w:rPr>
        <w:t>Includes non-cash lease expense of $3.2 million and $2.3 million for the three months ended March 31, 2020 and 2019, respectively.</w:t>
      </w:r>
    </w:p>
    <w:p>
      <w:pPr>
        <w:spacing w:after="0" w:line="45" w:lineRule="exact"/>
        <w:rPr>
          <w:rFonts w:ascii="Arial" w:cs="Arial" w:eastAsia="Arial" w:hAnsi="Arial"/>
          <w:sz w:val="29"/>
          <w:szCs w:val="29"/>
          <w:color w:val="auto"/>
          <w:vertAlign w:val="superscript"/>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Primarily related to Consumer Price Index adjustments, common area maintenance and property tax.</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and non-cash activity related to the Company’s operating leases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ind w:right="199"/>
              <w:spacing w:after="0"/>
              <w:rPr>
                <w:sz w:val="20"/>
                <w:szCs w:val="20"/>
                <w:color w:val="auto"/>
              </w:rPr>
            </w:pPr>
            <w:r>
              <w:rPr>
                <w:rFonts w:ascii="Arial" w:cs="Arial" w:eastAsia="Arial" w:hAnsi="Arial"/>
                <w:sz w:val="14"/>
                <w:szCs w:val="14"/>
                <w:b w:val="1"/>
                <w:bCs w:val="1"/>
                <w:color w:val="auto"/>
                <w:w w:val="95"/>
              </w:rPr>
              <w:t>Three Months Ended</w:t>
            </w:r>
          </w:p>
        </w:tc>
        <w:tc>
          <w:tcPr>
            <w:tcW w:w="170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512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March 31, 2020</w:t>
            </w:r>
          </w:p>
        </w:tc>
        <w:tc>
          <w:tcPr>
            <w:tcW w:w="1700" w:type="dxa"/>
            <w:vAlign w:val="bottom"/>
          </w:tcPr>
          <w:p>
            <w:pPr>
              <w:spacing w:after="0"/>
              <w:rPr>
                <w:sz w:val="14"/>
                <w:szCs w:val="14"/>
                <w:color w:val="auto"/>
              </w:rPr>
            </w:pPr>
          </w:p>
        </w:tc>
      </w:tr>
      <w:tr>
        <w:trPr>
          <w:trHeight w:val="209"/>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measurement of lease</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liabilities</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3,134</w:t>
            </w:r>
          </w:p>
        </w:tc>
        <w:tc>
          <w:tcPr>
            <w:tcW w:w="170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Operating lease assets obtained in exchange for new lease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8"/>
                <w:szCs w:val="18"/>
                <w:color w:val="auto"/>
              </w:rPr>
              <w:t>1,862</w:t>
            </w:r>
          </w:p>
        </w:tc>
        <w:tc>
          <w:tcPr>
            <w:tcW w:w="1700" w:type="dxa"/>
            <w:vAlign w:val="bottom"/>
          </w:tcPr>
          <w:p>
            <w:pPr>
              <w:spacing w:after="0"/>
              <w:rPr>
                <w:sz w:val="20"/>
                <w:szCs w:val="20"/>
                <w:color w:val="auto"/>
              </w:rPr>
            </w:pPr>
          </w:p>
        </w:tc>
      </w:tr>
      <w:tr>
        <w:trPr>
          <w:trHeight w:val="432"/>
        </w:trPr>
        <w:tc>
          <w:tcPr>
            <w:tcW w:w="6820" w:type="dxa"/>
            <w:vAlign w:val="bottom"/>
            <w:gridSpan w:val="2"/>
          </w:tcPr>
          <w:p>
            <w:pPr>
              <w:jc w:val="right"/>
              <w:ind w:right="1010"/>
              <w:spacing w:after="0"/>
              <w:rPr>
                <w:sz w:val="20"/>
                <w:szCs w:val="20"/>
                <w:color w:val="auto"/>
              </w:rPr>
            </w:pPr>
            <w:r>
              <w:rPr>
                <w:rFonts w:ascii="Arial" w:cs="Arial" w:eastAsia="Arial" w:hAnsi="Arial"/>
                <w:sz w:val="18"/>
                <w:szCs w:val="18"/>
                <w:color w:val="auto"/>
              </w:rPr>
              <w:t>12</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 w:name="page14"/>
    <w:bookmarkEnd w:id="13"/>
    <w:tbl>
      <w:tblPr>
        <w:tblLayout w:type="fixed"/>
        <w:tblInd w:w="170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ind w:right="199"/>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12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March 31, 2019</w:t>
            </w:r>
          </w:p>
        </w:tc>
      </w:tr>
      <w:tr>
        <w:trPr>
          <w:trHeight w:val="20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measurement of lease</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liabilities</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2,996</w:t>
            </w: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Operating lease assets obtained in exchange for new lease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 by fiscal year for the Company’s operating leases are as follows (in thousands):</w:t>
      </w:r>
    </w:p>
    <w:p>
      <w:pPr>
        <w:spacing w:after="0" w:line="325"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Amount</w:t>
            </w: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11,695</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17,194</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16,994</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14,820</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2,572</w:t>
            </w: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beyond</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2,172</w:t>
            </w: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65,447</w:t>
            </w: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w:t>
            </w: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59,478</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Weighted average remaining lease term and discount rate for the Company’s operating leases are as follows: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00" w:type="dxa"/>
            <w:vAlign w:val="bottom"/>
          </w:tcPr>
          <w:p>
            <w:pPr>
              <w:jc w:val="center"/>
              <w:ind w:right="119"/>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514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2020</w:t>
            </w: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(years)</w:t>
            </w:r>
          </w:p>
        </w:tc>
        <w:tc>
          <w:tcPr>
            <w:tcW w:w="1600" w:type="dxa"/>
            <w:vAlign w:val="bottom"/>
            <w:shd w:val="clear" w:color="auto" w:fill="CFF0FC"/>
          </w:tcPr>
          <w:p>
            <w:pPr>
              <w:ind w:left="1080"/>
              <w:spacing w:after="0"/>
              <w:rPr>
                <w:sz w:val="20"/>
                <w:szCs w:val="20"/>
                <w:color w:val="auto"/>
              </w:rPr>
            </w:pPr>
            <w:r>
              <w:rPr>
                <w:rFonts w:ascii="Arial" w:cs="Arial" w:eastAsia="Arial" w:hAnsi="Arial"/>
                <w:sz w:val="18"/>
                <w:szCs w:val="18"/>
                <w:color w:val="auto"/>
              </w:rPr>
              <w:t>3.82</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600" w:type="dxa"/>
            <w:vAlign w:val="bottom"/>
          </w:tcPr>
          <w:p>
            <w:pPr>
              <w:ind w:left="1080"/>
              <w:spacing w:after="0"/>
              <w:rPr>
                <w:sz w:val="20"/>
                <w:szCs w:val="20"/>
                <w:color w:val="auto"/>
              </w:rPr>
            </w:pPr>
            <w:r>
              <w:rPr>
                <w:rFonts w:ascii="Arial" w:cs="Arial" w:eastAsia="Arial" w:hAnsi="Arial"/>
                <w:sz w:val="18"/>
                <w:szCs w:val="18"/>
                <w:color w:val="auto"/>
                <w:w w:val="97"/>
              </w:rPr>
              <w:t>4.98%</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by location is determined by the billing address for the customer. The following table sets forth revenue by geographic area (in thousands):</w:t>
      </w:r>
    </w:p>
    <w:p>
      <w:pPr>
        <w:spacing w:after="0" w:line="253" w:lineRule="exact"/>
        <w:rPr>
          <w:sz w:val="20"/>
          <w:szCs w:val="20"/>
          <w:color w:val="auto"/>
        </w:rPr>
      </w:pPr>
    </w:p>
    <w:p>
      <w:pPr>
        <w:jc w:val="center"/>
        <w:ind w:left="4320"/>
        <w:spacing w:after="0"/>
        <w:rPr>
          <w:sz w:val="20"/>
          <w:szCs w:val="20"/>
          <w:color w:val="auto"/>
        </w:rPr>
      </w:pPr>
      <w:r>
        <w:rPr>
          <w:rFonts w:ascii="Arial" w:cs="Arial" w:eastAsia="Arial" w:hAnsi="Arial"/>
          <w:sz w:val="14"/>
          <w:szCs w:val="14"/>
          <w:b w:val="1"/>
          <w:bCs w:val="1"/>
          <w:color w:val="auto"/>
        </w:rPr>
        <w:t>Three Months Ended</w:t>
      </w:r>
    </w:p>
    <w:p>
      <w:pPr>
        <w:jc w:val="center"/>
        <w:ind w:left="43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140" w:type="dxa"/>
        <w:tblCellMar>
          <w:top w:w="0" w:type="dxa"/>
          <w:left w:w="0" w:type="dxa"/>
          <w:bottom w:w="0" w:type="dxa"/>
          <w:right w:w="0" w:type="dxa"/>
        </w:tblCellMar>
      </w:tblPr>
      <w:tr>
        <w:trPr>
          <w:trHeight w:val="155"/>
        </w:trPr>
        <w:tc>
          <w:tcPr>
            <w:tcW w:w="2760" w:type="dxa"/>
            <w:vAlign w:val="bottom"/>
            <w:tcBorders>
              <w:bottom w:val="single" w:sz="8" w:color="CFF0FC"/>
            </w:tcBorders>
          </w:tcPr>
          <w:p>
            <w:pPr>
              <w:spacing w:after="0"/>
              <w:rPr>
                <w:sz w:val="13"/>
                <w:szCs w:val="13"/>
                <w:color w:val="auto"/>
              </w:rPr>
            </w:pPr>
          </w:p>
        </w:tc>
        <w:tc>
          <w:tcPr>
            <w:tcW w:w="1660" w:type="dxa"/>
            <w:vAlign w:val="bottom"/>
            <w:tcBorders>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91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6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15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99,382</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53,238</w:t>
            </w:r>
          </w:p>
        </w:tc>
      </w:tr>
      <w:tr>
        <w:trPr>
          <w:trHeight w:val="230"/>
        </w:trPr>
        <w:tc>
          <w:tcPr>
            <w:tcW w:w="2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6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31,866</w:t>
            </w: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16,812</w:t>
            </w:r>
          </w:p>
        </w:tc>
      </w:tr>
      <w:tr>
        <w:trPr>
          <w:trHeight w:val="223"/>
        </w:trPr>
        <w:tc>
          <w:tcPr>
            <w:tcW w:w="2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1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131,248</w:t>
            </w: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70,050</w:t>
            </w:r>
          </w:p>
        </w:tc>
      </w:tr>
      <w:tr>
        <w:trPr>
          <w:trHeight w:val="20"/>
        </w:trPr>
        <w:tc>
          <w:tcPr>
            <w:tcW w:w="2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22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6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Revenue recognized during the three months ended March 31, 2020 and 2019, that was included in the deferred revenue balances at the beginning of each such period was $68.1 million and $31.3 million, respectively.</w:t>
      </w:r>
    </w:p>
    <w:p>
      <w:pPr>
        <w:spacing w:after="0" w:line="17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March 31, 2020 and December 31, 2019, the aggregate transaction price allocated to remaining performance obligations was $256.1 million and $243.8 million, respectively. There is uncertainty in the timing of revenues associated with the Company’s drawdown contracts, as future revenue can often vary significantly from past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revenue. However, the Company expects to recognize substantially all of the remaining performance obligations over the next 24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Accounts receivable deemed uncollectible are charged against the allowance for credit losses when identified. During the three months ended March 31, 2020, the Company charged $0.2 million, of accounts receivable deemed uncollectible against the allowance for credit losses. The Company did not charge any accounts receivable deemed uncollectible against the allowance for credit losses during the three months ended March 31, 2019.</w:t>
      </w:r>
    </w:p>
    <w:p>
      <w:pPr>
        <w:spacing w:after="0" w:line="14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March 31, 2020, and December 31, 2019, unbilled accounts receivable of approximately $16.4 million and $14.4 million, respectively, was included in accounts receivable on the Company’s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7" w:lineRule="exact"/>
        <w:rPr>
          <w:sz w:val="20"/>
          <w:szCs w:val="20"/>
          <w:color w:val="auto"/>
        </w:rPr>
      </w:pPr>
    </w:p>
    <w:p>
      <w:pPr>
        <w:jc w:val="both"/>
        <w:ind w:firstLine="510"/>
        <w:spacing w:after="0" w:line="341" w:lineRule="auto"/>
        <w:rPr>
          <w:sz w:val="20"/>
          <w:szCs w:val="20"/>
          <w:color w:val="auto"/>
        </w:rPr>
      </w:pPr>
      <w:r>
        <w:rPr>
          <w:rFonts w:ascii="Arial" w:cs="Arial" w:eastAsia="Arial" w:hAnsi="Arial"/>
          <w:sz w:val="17"/>
          <w:szCs w:val="17"/>
          <w:color w:val="auto"/>
        </w:rPr>
        <w:t>Deferred contract costs on the Company’s condensed consolidated balance sheets were $28.2 million and $25.8 million as of March 31, 2020 and December 31, 2019, respectively. Amortization expense was $2.2 million and $1.0 million for the three months ended March 31, 2020 and 2019.</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represents a rollforward of the Company’s deferred contract costs (in thousands):</w:t>
      </w:r>
    </w:p>
    <w:p>
      <w:pPr>
        <w:spacing w:after="0" w:line="325"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6350</wp:posOffset>
            </wp:positionV>
            <wp:extent cx="498919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Balance as of December 31, 2019</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Additions to deferred contract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21590</wp:posOffset>
            </wp:positionV>
            <wp:extent cx="498919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14"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Amortization of deferred contract costs</w:t>
      </w:r>
    </w:p>
    <w:p>
      <w:pPr>
        <w:spacing w:after="0" w:line="5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Balance as of March 31,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Common Stock</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028" w:hanging="1028"/>
        <w:spacing w:after="0"/>
        <w:tabs>
          <w:tab w:leader="none" w:pos="1028" w:val="left"/>
        </w:tabs>
        <w:numPr>
          <w:ilvl w:val="0"/>
          <w:numId w:val="5"/>
        </w:numPr>
        <w:rPr>
          <w:rFonts w:ascii="Arial" w:cs="Arial" w:eastAsia="Arial" w:hAnsi="Arial"/>
          <w:sz w:val="18"/>
          <w:szCs w:val="18"/>
          <w:color w:val="auto"/>
        </w:rPr>
      </w:pPr>
      <w:r>
        <w:rPr>
          <w:rFonts w:ascii="Arial" w:cs="Arial" w:eastAsia="Arial" w:hAnsi="Arial"/>
          <w:sz w:val="18"/>
          <w:szCs w:val="18"/>
          <w:color w:val="auto"/>
        </w:rPr>
        <w:t>25,755</w:t>
      </w:r>
    </w:p>
    <w:p>
      <w:pPr>
        <w:spacing w:after="0" w:line="21" w:lineRule="exact"/>
        <w:rPr>
          <w:rFonts w:ascii="Arial" w:cs="Arial" w:eastAsia="Arial" w:hAnsi="Arial"/>
          <w:sz w:val="18"/>
          <w:szCs w:val="18"/>
          <w:color w:val="auto"/>
        </w:rPr>
      </w:pPr>
    </w:p>
    <w:p>
      <w:pPr>
        <w:ind w:left="1128"/>
        <w:spacing w:after="0"/>
        <w:rPr>
          <w:rFonts w:ascii="Arial" w:cs="Arial" w:eastAsia="Arial" w:hAnsi="Arial"/>
          <w:sz w:val="18"/>
          <w:szCs w:val="18"/>
          <w:color w:val="auto"/>
        </w:rPr>
      </w:pPr>
      <w:r>
        <w:rPr>
          <w:rFonts w:ascii="Arial" w:cs="Arial" w:eastAsia="Arial" w:hAnsi="Arial"/>
          <w:sz w:val="18"/>
          <w:szCs w:val="18"/>
          <w:color w:val="auto"/>
        </w:rPr>
        <w:t>4,619</w:t>
      </w:r>
    </w:p>
    <w:p>
      <w:pPr>
        <w:spacing w:after="0" w:line="23"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(2,185)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28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15" w:lineRule="exact"/>
        <w:rPr>
          <w:sz w:val="20"/>
          <w:szCs w:val="20"/>
          <w:color w:val="auto"/>
        </w:rPr>
      </w:pPr>
    </w:p>
    <w:p>
      <w:pPr>
        <w:ind w:left="1028" w:hanging="1028"/>
        <w:spacing w:after="0"/>
        <w:tabs>
          <w:tab w:leader="none" w:pos="1028" w:val="left"/>
        </w:tabs>
        <w:numPr>
          <w:ilvl w:val="0"/>
          <w:numId w:val="6"/>
        </w:numPr>
        <w:rPr>
          <w:rFonts w:ascii="Arial" w:cs="Arial" w:eastAsia="Arial" w:hAnsi="Arial"/>
          <w:sz w:val="18"/>
          <w:szCs w:val="18"/>
          <w:color w:val="auto"/>
        </w:rPr>
      </w:pPr>
      <w:r>
        <w:rPr>
          <w:rFonts w:ascii="Arial" w:cs="Arial" w:eastAsia="Arial" w:hAnsi="Arial"/>
          <w:sz w:val="18"/>
          <w:szCs w:val="18"/>
          <w:color w:val="auto"/>
        </w:rPr>
        <w:t>28,189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28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28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1131" w:lineRule="exact"/>
        <w:rPr>
          <w:sz w:val="20"/>
          <w:szCs w:val="20"/>
          <w:color w:val="auto"/>
        </w:rPr>
      </w:pPr>
    </w:p>
    <w:p>
      <w:pPr>
        <w:sectPr>
          <w:pgSz w:w="11900" w:h="16838" w:orient="portrait"/>
          <w:cols w:equalWidth="0" w:num="2">
            <w:col w:w="7212" w:space="720"/>
            <w:col w:w="3308"/>
          </w:cols>
          <w:pgMar w:left="320" w:top="341" w:right="339" w:bottom="1440" w:gutter="0" w:footer="0" w:header="0"/>
          <w:type w:val="continuous"/>
        </w:sectPr>
      </w:pPr>
    </w:p>
    <w:p>
      <w:pPr>
        <w:spacing w:after="0" w:line="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upon the sale or transfer to Class A common stock, subject to certain limited exceptions.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three months ended March 31, 2020, 87,517,942 shares of Class B common stock were converted into Class A common stock.</w:t>
      </w:r>
    </w:p>
    <w:p>
      <w:pPr>
        <w:spacing w:after="0" w:line="23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8"/>
          <w:szCs w:val="18"/>
          <w:color w:val="auto"/>
        </w:rPr>
        <w:t>As of March 31, 2020, the Company had authorized 2,000,000,000 shares of Class A common stock and 310,000,000 shares of Class B common stock, each at a par value per share of $0.00001, of which 153,495,803 shares of Class A common stock and 145,238,917 shares of Class B common stock were issued and outstanding.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color w:val="auto"/>
        </w:rPr>
        <w:t>The Company has two equity incentive plans, the 2012 equity incentive plan (the “2012 Plan”) and the 2019 equity incentive plan (the “2019 Plan”). In connection with the IPO, the Company ceased granting awards under the 2012 Plan, and all shares that remained available for issuance under the 2012 Plan at that time were transferred to the 2019 Plan. Under the 2019 Plan, the Board and any other committee or subcommittee of the Board may grant stock options, stock appreciation rights (“SARs”), restricted stock awards (“RSAs”), restricted stock units (“RSUs”), and performance-based and other awards, each valued or based on the Company’s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5" w:name="page16"/>
    <w:bookmarkEnd w:id="15"/>
    <w:p>
      <w:pPr>
        <w:jc w:val="both"/>
        <w:spacing w:after="0" w:line="308" w:lineRule="auto"/>
        <w:rPr>
          <w:sz w:val="20"/>
          <w:szCs w:val="20"/>
          <w:color w:val="auto"/>
        </w:rPr>
      </w:pPr>
      <w:r>
        <w:rPr>
          <w:rFonts w:ascii="Arial" w:cs="Arial" w:eastAsia="Arial" w:hAnsi="Arial"/>
          <w:sz w:val="18"/>
          <w:szCs w:val="18"/>
          <w:color w:val="auto"/>
        </w:rPr>
        <w:t>Class A common stock, to employees, consultants, and advisors of the Company. As of March 31, 2020, there were 46,421,549 shares available for grant under the 2019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42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4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42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Exercise Price</w:t>
            </w:r>
          </w:p>
        </w:tc>
        <w:tc>
          <w:tcPr>
            <w:tcW w:w="144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Life (in Years)</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2019</w:t>
            </w:r>
          </w:p>
        </w:tc>
        <w:tc>
          <w:tcPr>
            <w:tcW w:w="14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36,384,767</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2.96</w:t>
            </w: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6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Options granted</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14,600</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41.19</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(2,347,770)</w:t>
            </w:r>
          </w:p>
        </w:tc>
        <w:tc>
          <w:tcPr>
            <w:tcW w:w="3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(180,499)</w:t>
            </w:r>
          </w:p>
        </w:tc>
        <w:tc>
          <w:tcPr>
            <w:tcW w:w="320" w:type="dxa"/>
            <w:vAlign w:val="bottom"/>
            <w:tcBorders>
              <w:bottom w:val="single" w:sz="8" w:color="CFF0FC"/>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tcPr>
          <w:p>
            <w:pPr>
              <w:jc w:val="right"/>
              <w:ind w:right="36"/>
              <w:spacing w:after="0"/>
              <w:rPr>
                <w:sz w:val="20"/>
                <w:szCs w:val="20"/>
                <w:color w:val="auto"/>
              </w:rPr>
            </w:pPr>
            <w:r>
              <w:rPr>
                <w:rFonts w:ascii="Arial" w:cs="Arial" w:eastAsia="Arial" w:hAnsi="Arial"/>
                <w:sz w:val="18"/>
                <w:szCs w:val="18"/>
                <w:color w:val="auto"/>
              </w:rPr>
              <w:t>4.58</w:t>
            </w:r>
          </w:p>
        </w:tc>
        <w:tc>
          <w:tcPr>
            <w:tcW w:w="16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Balance—March 31, 2020</w:t>
            </w: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33,871,098</w:t>
            </w:r>
          </w:p>
        </w:tc>
        <w:tc>
          <w:tcPr>
            <w:tcW w:w="320" w:type="dxa"/>
            <w:vAlign w:val="bottom"/>
            <w:tcBorders>
              <w:bottom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3.09</w:t>
            </w:r>
          </w:p>
        </w:tc>
        <w:tc>
          <w:tcPr>
            <w:tcW w:w="1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Exercisable—March 31, 2020</w:t>
            </w: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ind w:right="36"/>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line="20" w:lineRule="exact"/>
              <w:rPr>
                <w:sz w:val="1"/>
                <w:szCs w:val="1"/>
                <w:color w:val="auto"/>
              </w:rPr>
            </w:pPr>
          </w:p>
        </w:tc>
        <w:tc>
          <w:tcPr>
            <w:tcW w:w="1440" w:type="dxa"/>
            <w:vAlign w:val="bottom"/>
            <w:vMerge w:val="restart"/>
          </w:tcPr>
          <w:p>
            <w:pPr>
              <w:jc w:val="right"/>
              <w:ind w:right="61"/>
              <w:spacing w:after="0"/>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211"/>
        </w:trPr>
        <w:tc>
          <w:tcPr>
            <w:tcW w:w="6640" w:type="dxa"/>
            <w:vAlign w:val="bottom"/>
            <w:vMerge w:val="continue"/>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21,804,073</w:t>
            </w:r>
          </w:p>
        </w:tc>
        <w:tc>
          <w:tcPr>
            <w:tcW w:w="32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March 31, 2020, there were 35,300 shares of Class A common stock and 33,835,798 shares of Class B common stock issuable upon the exercise of options outstanding. As of December 31, 2019, there were 20,700 shares of Class A common stock and 36,364,067 shares of Class B common stock issuable upon the exercise of options outstanding.</w:t>
      </w:r>
    </w:p>
    <w:p>
      <w:pPr>
        <w:spacing w:after="0" w:line="25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Total compensation cost related to unvested options not yet recognized was approximately $83.1 million and $90.5 million as of March 31, 2020 and December 31, 2019, respectively. The weighted average period over which this compensation cost related to unvested employee options will be recognized is 2.5 years and 2.7 years as of March 31, 2020 and December 31, 2019, respectively.</w:t>
      </w:r>
    </w:p>
    <w:p>
      <w:pPr>
        <w:spacing w:after="0" w:line="21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weighted average grant-date fair value of options granted during the three months ended March 31, 2020 and March 31, 2019, was $16.55 and $3.34, respectively. The Company received approximately $2.8 million and $1.8 million in cash proceeds from options exercised during the three months ended March 31, 2020 and March 31, 2019, respectively. The intrinsic value of options exercised during the three months ended March 31, 2020 and March 31, 2019 was approximately $86.5 million and $16.8 million, respectively. The aggregate fair value of options vested during the three months ended March 31, 2020 and 2019 was $3.8 million and $1.8 million, respectively.</w:t>
      </w:r>
    </w:p>
    <w:p>
      <w:pPr>
        <w:spacing w:after="0" w:line="22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Common stock purchased pursuant to an early exercise of stock options is not deemed to be outstanding for accounting purposes until those shares vest. The consideration received for an exercise of an option is considered to be a deposit of the 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recorded liabilities related to early exercises of 1,039,500 shares of common stock and 1,239,750 shares of common stock as of March 31, 2020 and December 31, 2019,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for the Company's unvested RSUs: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8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68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w w:val="97"/>
              </w:rPr>
              <w:t>Weighted-Average Fair</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Balance—December 31, 2019</w:t>
            </w: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647,094</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696,740</w:t>
            </w:r>
          </w:p>
        </w:tc>
        <w:tc>
          <w:tcPr>
            <w:tcW w:w="50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Forfeited/canceled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(27,610)</w:t>
            </w:r>
          </w:p>
        </w:tc>
        <w:tc>
          <w:tcPr>
            <w:tcW w:w="500" w:type="dxa"/>
            <w:vAlign w:val="bottom"/>
            <w:tcBorders>
              <w:bottom w:val="single" w:sz="8" w:color="CFF0FC"/>
            </w:tcBorders>
            <w:gridSpan w:val="2"/>
          </w:tcPr>
          <w:p>
            <w:pPr>
              <w:jc w:val="right"/>
              <w:ind w:right="159"/>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tcPr>
          <w:p>
            <w:pPr>
              <w:jc w:val="right"/>
              <w:ind w:right="53"/>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Balance—March 31, 2020</w:t>
            </w:r>
          </w:p>
        </w:tc>
        <w:tc>
          <w:tcPr>
            <w:tcW w:w="1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1,316,224</w:t>
            </w:r>
          </w:p>
        </w:tc>
        <w:tc>
          <w:tcPr>
            <w:tcW w:w="500" w:type="dxa"/>
            <w:vAlign w:val="bottom"/>
            <w:tcBorders>
              <w:bottom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231F20"/>
        </w:rPr>
        <w:t xml:space="preserve">In November 2019, the Company granted 244,445 restricted shares of Class A common stock, which are subject to service-based vesting conditions over approximately four years. </w:t>
      </w:r>
      <w:r>
        <w:rPr>
          <w:rFonts w:ascii="Arial" w:cs="Arial" w:eastAsia="Arial" w:hAnsi="Arial"/>
          <w:sz w:val="18"/>
          <w:szCs w:val="18"/>
          <w:color w:val="000000"/>
        </w:rPr>
        <w:t>Total compensation cost related to</w:t>
      </w:r>
      <w:r>
        <w:rPr>
          <w:rFonts w:ascii="Arial" w:cs="Arial" w:eastAsia="Arial" w:hAnsi="Arial"/>
          <w:sz w:val="18"/>
          <w:szCs w:val="18"/>
          <w:color w:val="231F20"/>
        </w:rPr>
        <w:t xml:space="preserve"> unvested RSUs and restricted shares of common stock not yet recognized </w:t>
      </w:r>
      <w:r>
        <w:rPr>
          <w:rFonts w:ascii="Arial" w:cs="Arial" w:eastAsia="Arial" w:hAnsi="Arial"/>
          <w:sz w:val="18"/>
          <w:szCs w:val="18"/>
          <w:color w:val="000000"/>
        </w:rPr>
        <w:t>was</w:t>
      </w:r>
      <w:r>
        <w:rPr>
          <w:rFonts w:ascii="Arial" w:cs="Arial" w:eastAsia="Arial" w:hAnsi="Arial"/>
          <w:sz w:val="18"/>
          <w:szCs w:val="18"/>
          <w:color w:val="231F20"/>
        </w:rPr>
        <w:t xml:space="preserve"> </w:t>
      </w:r>
      <w:r>
        <w:rPr>
          <w:rFonts w:ascii="Arial" w:cs="Arial" w:eastAsia="Arial" w:hAnsi="Arial"/>
          <w:sz w:val="18"/>
          <w:szCs w:val="18"/>
          <w:color w:val="000000"/>
        </w:rPr>
        <w:t>approximately $56.4 million and $30.4 million as of March 31, 2020 and December 31,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respectively. The weighted average period over which this compensation cost related to unvested RSUs and restricted shares will be recognized is 3.8 years and 3.9 years as of March 31, 2020 and December 31,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In September 2019, the Board adopted and approved the 2019 Employee Stock Purchase Plan (the “ESPP”), which became effective on the date of the final prospectus for the Company’s IPO (the “Final Prospectus”). The ESPP initially reserved and authorized the issuance of up to a total of 6,725,000 shares of Class A common stock to participating employees, subject to periodic automatic increases in the amount of shares reserved under the ESPP. As of March 31, 2020, 9,688,869 shares of Class A common stock remain available for grant under the ESPP. The initial offering period began on the date of the Final Prospectus and will end on May 15, 2020. On each purchase date, eligible employees will purchase the shares at a price per share equal to 85% of the lesser of (1) the $27.00 initial public offering price of the Company’s Class A common stock or (2) the fair market value of the Company’s Class A common stock on the purchase date, as defined in the ESPP.</w:t>
      </w:r>
    </w:p>
    <w:p>
      <w:pPr>
        <w:spacing w:after="0" w:line="17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The Company recognized $1.0 million of stock-based compensation expense related to the ESPP during the three months ended March 31, 2020, beginning upon the IPO in September 2019. As of March 31, 2020, $6.4 million has been withheld on behalf of employees for a future purchase under the ESPP due to the timing of payroll deductions. There were no purchases for the three months ended March 31, 2020 related to the ESPP.</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The Company uses the Black-Scholes option-pricing model to estimate the fair value of stock options on the date of grant. The Company recognizes and measures compensation expense for all stock-based payment awards granted to employees, directors, and nonemployees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is determined by the closing price on the date of grant of the Company’s Class A common stock, as reported on The Nasdaq Global Select Market. The Company estimates the fair value of the rights to acquire stock under the ESPP using the Black-Scholes option pricing model. Stock-based compensation is recognized on a straight-line basis over the requisite service period and account for forfeitures as they occur.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included in the condensed consolidated statement of operations as follows (in thousands):</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22288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99</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5,847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786</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3,074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729</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2,908</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831</w:t>
            </w: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net of amounts capitalized</w:t>
            </w: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12,060</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2,445</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stock-based compensation expense</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w:t>
            </w: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12,163</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2,497</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an effective tax rate of 2.9% and (0.6)% for the three months ended March 31, 2020 and 2019. The Company has incurred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operating losses and has minimal profits in its foreign jurisdictions.</w:t>
      </w:r>
    </w:p>
    <w:p>
      <w:pPr>
        <w:spacing w:after="0" w:line="21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U.S. Due to uncertainties surrounding the realization of the deferred tax assets, the Company maintains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both"/>
        <w:ind w:firstLine="510"/>
        <w:spacing w:after="0" w:line="329" w:lineRule="auto"/>
        <w:rPr>
          <w:sz w:val="20"/>
          <w:szCs w:val="20"/>
          <w:color w:val="auto"/>
        </w:rPr>
      </w:pPr>
      <w:r>
        <w:rPr>
          <w:rFonts w:ascii="Arial" w:cs="Arial" w:eastAsia="Arial" w:hAnsi="Arial"/>
          <w:sz w:val="16"/>
          <w:szCs w:val="16"/>
          <w:color w:val="auto"/>
        </w:rPr>
        <w:t xml:space="preserve">The Company has applied ASC 740, </w:t>
      </w:r>
      <w:r>
        <w:rPr>
          <w:rFonts w:ascii="Arial" w:cs="Arial" w:eastAsia="Arial" w:hAnsi="Arial"/>
          <w:sz w:val="16"/>
          <w:szCs w:val="16"/>
          <w:i w:val="1"/>
          <w:iCs w:val="1"/>
          <w:color w:val="auto"/>
        </w:rPr>
        <w:t>Income Taxes</w:t>
      </w:r>
      <w:r>
        <w:rPr>
          <w:rFonts w:ascii="Arial" w:cs="Arial" w:eastAsia="Arial" w:hAnsi="Arial"/>
          <w:sz w:val="16"/>
          <w:szCs w:val="16"/>
          <w:color w:val="auto"/>
        </w:rPr>
        <w:t>, and has determined that it has uncertain positions that would result in an immaterial tax reserve for each of the three months ended March 31, 2020 and 2019. The Company’s policy is to recognize interest and penalties related to uncertain tax positions in income tax expense. The Company is subject to U.S. federal tax authority, U.S. state tax authority and foreign tax authority examinations.</w:t>
      </w:r>
    </w:p>
    <w:p>
      <w:pPr>
        <w:spacing w:after="0" w:line="13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On March 27, 2020 the Coronavirus Aid, Relief, and Economic Security Act ("CARES Act") was enacted and signed into law. The CARES Act makes changes to the U.S. tax code, including, but not limited to: (1) modifications to the business interest deduction limitation for tax years 2019 and 2020; (2) a technical correction of the recovery period of qualified improvement property from 39 to 15 years; and (3) a repeal of the 80% taxable income limitation on the deduction of net operating losses ("NOLs") for tax years beginning before January 1, 2021 as well as a five-year carryback period allowed for NOLs generated in tax years beginning after December 31, 2017 and before January 1, 2021.</w:t>
      </w:r>
    </w:p>
    <w:p>
      <w:pPr>
        <w:spacing w:after="0" w:line="17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Under ASC 740, the effects of new legislation would need to be recognized in the period of enactment. Therefore, the effects of the CARES Act would need to be accounted for in the quarter that includes March 27, 2020. The Company evaluated the provisions of the CARES Act and determined that there was no material impact as of the quarter ended March 31, 2020. The Company will continue to assess the potential income tax impact and monitor any updates to the legislation.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(Loss) Per Share</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Basic and diluted net income (loss) per common share is presented in conformity with the two-class method required for participating securities. Immediately prior to the consummation of the Company’s IPO in September 2019, all outstanding shares of convertible preferred stock and common stock were converted to Class B common stock. As a result, Class A and Class B common stock are the only outstanding equity in the Company as of March 31, 2020.</w:t>
      </w:r>
    </w:p>
    <w:p>
      <w:pPr>
        <w:spacing w:after="0" w:line="1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Basic and diluted net income (loss) per share is computed using the weighted-average number of common shares outstanding during the period. The undistributed earnings are allocated based on the contractual participation rights of the Class A and Class B common shares as if the earnings for the year have been distributed. As the liquidation and dividend rights are identical, the undistributed earnings are allocated on a proportionate basis. Further, as the conversion of Class B common stock is assumed in the computation of the diluted net income (loss) per share of Class A common stock, the undistributed earnings are equal to net income (loss) for that computation.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The following table presents the calculation of basic and diluted net income (loss) per share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40" w:type="dxa"/>
            <w:vAlign w:val="bottom"/>
            <w:vMerge w:val="restart"/>
          </w:tcPr>
          <w:p>
            <w:pPr>
              <w:spacing w:after="0"/>
              <w:rPr>
                <w:sz w:val="20"/>
                <w:szCs w:val="20"/>
                <w:color w:val="auto"/>
              </w:rPr>
            </w:pPr>
            <w:r>
              <w:rPr>
                <w:rFonts w:ascii="Arial" w:cs="Arial" w:eastAsia="Arial" w:hAnsi="Arial"/>
                <w:sz w:val="18"/>
                <w:szCs w:val="18"/>
                <w:color w:val="auto"/>
              </w:rPr>
              <w:t>Basic net income (loss) per share:</w:t>
            </w: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113"/>
              <w:spacing w:after="0" w:line="155" w:lineRule="exact"/>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Class A</w:t>
            </w:r>
          </w:p>
        </w:tc>
        <w:tc>
          <w:tcPr>
            <w:tcW w:w="220" w:type="dxa"/>
            <w:vAlign w:val="bottom"/>
          </w:tcPr>
          <w:p>
            <w:pPr>
              <w:spacing w:after="0"/>
              <w:rPr>
                <w:sz w:val="19"/>
                <w:szCs w:val="19"/>
                <w:color w:val="auto"/>
              </w:rPr>
            </w:pPr>
          </w:p>
        </w:tc>
        <w:tc>
          <w:tcPr>
            <w:tcW w:w="1200" w:type="dxa"/>
            <w:vAlign w:val="bottom"/>
          </w:tcPr>
          <w:p>
            <w:pPr>
              <w:jc w:val="right"/>
              <w:ind w:right="452"/>
              <w:spacing w:after="0"/>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Numerator:</w:t>
            </w:r>
          </w:p>
        </w:tc>
        <w:tc>
          <w:tcPr>
            <w:tcW w:w="2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1,852</w:t>
            </w:r>
          </w:p>
        </w:tc>
        <w:tc>
          <w:tcPr>
            <w:tcW w:w="1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4,627</w:t>
            </w: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(9,491)</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40" w:type="dxa"/>
            <w:vAlign w:val="bottom"/>
          </w:tcPr>
          <w:p>
            <w:pPr>
              <w:ind w:left="260"/>
              <w:spacing w:after="0"/>
              <w:rPr>
                <w:sz w:val="20"/>
                <w:szCs w:val="20"/>
                <w:color w:val="auto"/>
              </w:rPr>
            </w:pPr>
            <w:r>
              <w:rPr>
                <w:rFonts w:ascii="Arial" w:cs="Arial" w:eastAsia="Arial" w:hAnsi="Arial"/>
                <w:sz w:val="18"/>
                <w:szCs w:val="18"/>
                <w:color w:val="auto"/>
              </w:rPr>
              <w:t>Weighted average shares used in calculating net</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income (loss) per share, basic</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84,434</w:t>
            </w: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211,021</w:t>
            </w: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77,061</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40" w:type="dxa"/>
            <w:vAlign w:val="bottom"/>
          </w:tcPr>
          <w:p>
            <w:pPr>
              <w:ind w:left="260"/>
              <w:spacing w:after="0"/>
              <w:rPr>
                <w:sz w:val="20"/>
                <w:szCs w:val="20"/>
                <w:color w:val="auto"/>
              </w:rPr>
            </w:pPr>
            <w:r>
              <w:rPr>
                <w:rFonts w:ascii="Arial" w:cs="Arial" w:eastAsia="Arial" w:hAnsi="Arial"/>
                <w:sz w:val="18"/>
                <w:szCs w:val="18"/>
                <w:color w:val="auto"/>
              </w:rPr>
              <w:t>Allocation of distributed income (loss) for basic</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380"/>
              <w:spacing w:after="0"/>
              <w:rPr>
                <w:sz w:val="20"/>
                <w:szCs w:val="20"/>
                <w:color w:val="auto"/>
              </w:rPr>
            </w:pPr>
            <w:r>
              <w:rPr>
                <w:rFonts w:ascii="Arial" w:cs="Arial" w:eastAsia="Arial" w:hAnsi="Arial"/>
                <w:sz w:val="18"/>
                <w:szCs w:val="18"/>
                <w:color w:val="auto"/>
              </w:rPr>
              <w:t>computation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1,852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4,627</w:t>
            </w: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(9,491)</w:t>
            </w:r>
          </w:p>
        </w:tc>
        <w:tc>
          <w:tcPr>
            <w:tcW w:w="0" w:type="dxa"/>
            <w:vAlign w:val="bottom"/>
          </w:tcPr>
          <w:p>
            <w:pPr>
              <w:spacing w:after="0"/>
              <w:rPr>
                <w:sz w:val="1"/>
                <w:szCs w:val="1"/>
                <w:color w:val="auto"/>
              </w:rPr>
            </w:pPr>
          </w:p>
        </w:tc>
      </w:tr>
      <w:tr>
        <w:trPr>
          <w:trHeight w:val="215"/>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Reallocation of undistributed income as a result of</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conversion of Class B to Class A shares</w:t>
            </w: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4,627</w:t>
            </w:r>
          </w:p>
        </w:tc>
        <w:tc>
          <w:tcPr>
            <w:tcW w:w="16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Allocation of undistributed income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6,479</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4,627</w:t>
            </w: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w:t>
            </w: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Number of shares used in basic calculation</w:t>
            </w: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84,434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211,021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77,061</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Weighted average effect of diluted securities: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40" w:type="dxa"/>
            <w:vAlign w:val="bottom"/>
          </w:tcPr>
          <w:p>
            <w:pPr>
              <w:ind w:left="260"/>
              <w:spacing w:after="0"/>
              <w:rPr>
                <w:sz w:val="20"/>
                <w:szCs w:val="20"/>
                <w:color w:val="auto"/>
              </w:rPr>
            </w:pPr>
            <w:r>
              <w:rPr>
                <w:rFonts w:ascii="Arial" w:cs="Arial" w:eastAsia="Arial" w:hAnsi="Arial"/>
                <w:sz w:val="18"/>
                <w:szCs w:val="18"/>
                <w:color w:val="auto"/>
              </w:rPr>
              <w:t>Conversion of Class B to Class A common shares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38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211,021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options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30,708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Employee stock purchase plan</w:t>
            </w: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Unvested early exercises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1,139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Restricted Stock Units</w:t>
            </w: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Unvested restricted stock in connection with acquisition</w:t>
            </w: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Number of shares used in diluted calculation</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327,801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211,021</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77,061</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 (in thousands):</w:t>
      </w:r>
    </w:p>
    <w:p>
      <w:pPr>
        <w:spacing w:after="0" w:line="270"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6350</wp:posOffset>
            </wp:positionV>
            <wp:extent cx="2211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80" w:type="dxa"/>
            <w:vAlign w:val="bottom"/>
            <w:gridSpan w:val="2"/>
          </w:tcPr>
          <w:p>
            <w:pPr>
              <w:ind w:left="8380"/>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right"/>
              <w:ind w:right="65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0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179,814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Shares subject to outstanding stock options and restricted stock units</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4,352</w:t>
            </w:r>
          </w:p>
        </w:tc>
        <w:tc>
          <w:tcPr>
            <w:tcW w:w="18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36,672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early exercised stock options</w:t>
            </w: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80" w:type="dxa"/>
            <w:vAlign w:val="bottom"/>
            <w:gridSpan w:val="2"/>
          </w:tcPr>
          <w:p>
            <w:pPr>
              <w:spacing w:after="0"/>
              <w:rPr>
                <w:sz w:val="20"/>
                <w:szCs w:val="20"/>
                <w:color w:val="auto"/>
              </w:rPr>
            </w:pPr>
            <w:r>
              <w:rPr>
                <w:rFonts w:ascii="Arial" w:cs="Arial" w:eastAsia="Arial" w:hAnsi="Arial"/>
                <w:sz w:val="18"/>
                <w:szCs w:val="18"/>
                <w:color w:val="auto"/>
              </w:rPr>
              <w:t>Shares subject to the employee stock purchase plan</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4,569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218,664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5540"/>
              <w:spacing w:after="0"/>
              <w:rPr>
                <w:sz w:val="20"/>
                <w:szCs w:val="20"/>
                <w:color w:val="auto"/>
              </w:rPr>
            </w:pPr>
            <w:r>
              <w:rPr>
                <w:rFonts w:ascii="Arial" w:cs="Arial" w:eastAsia="Arial" w:hAnsi="Arial"/>
                <w:sz w:val="18"/>
                <w:szCs w:val="18"/>
                <w:color w:val="auto"/>
              </w:rPr>
              <w:t>18</w:t>
            </w: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7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 Q and our audited consolidated financial statements and the related notes and the discussion under the heading “Management’s Discussion and Analysis of Financial Condition and Results of Operations” in our Annual Report on Form 10-K for the fiscal year ended December 31, 2019, or the Annual Report. This discussion, particularly information with respect to our future results of operations or financial condition, business strategy, plans and objectives of management for future operations and the potential impact that the worldwide COVID-19 pandemic may have on our business,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25"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Our SaaS platform integrates and automates infrastructure monitoring, application performance monitoring and log management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7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generate revenue from the sale of subscriptions to customers using our cloud-based platform. Our paid subscriptions are available in Pro and Enterprise tiers.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7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As of March 31, 2020, we had $198.2 million in cash, cash equivalents and restricted cash, and $600.4 million in marketable securities. We generated revenue of $131.2 million and $70.1 million in the three months ended March 31, 2020 and 2019, respectively, representing year-over-year growth of 87%. Substantially all of our revenue is subscription software sales. Our net income (loss) was $6.5 million and $(9.5) million for the three months ended March 31, 2020 and 2019, respectively. We generated operating cash flow of $24.3 million and $3.4 million in the three months ended March 31, 2020 and 2019, respectively. Our free cash flow was $19.3 million and $(0.9) million in the three months ended March 31, 2020 and 2019, respectively. See the section titled “—Liquidity and Capital Resources—Non-GAAP Free Cash Flow” for additional information.</w:t>
      </w:r>
    </w:p>
    <w:p>
      <w:pPr>
        <w:spacing w:after="0" w:line="178"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Since December 2019, a novel strain of coronavirus, which we refer to, together with other related strains of coronavirus, as “COVID-19”, has spread to multiple countries, including the United States and other countries in which we and our customers, partners, suppliers, vendors and other parties with whom we do business operate. The extent of the impact of the COVID-19 pandemic on our operational and financial performance will depend on certain developments, including the duration and spread of the outbreak, its impact on industry events, and its effect on our customers, partners, suppliers and vendors and other parties with whom we do business, all of which are uncertain and cannot be predicted at this time. To the extent possible, we are conducting business as usual, with necessary or advisable modifications to employee travel and employee work locations, and cancelling or holding virtually Datadog marketing events. We will continue to actively monitor the rapidly evolving situation related to COVID-19 and may take further actions that alter our business operations, including those that may be required by federal, state or local authorities, or that we determine are in the best interests of our employees, customers, partners, suppliers, vendors and stockholders. At this point, the extent to which the COVID-19 pandemic may impact our results of operations and financial condition is uncertain. Furthermore, due to our subscription model, the effect of the COVID-19 pandemic, if any, may not be fully reflected in our results of operations until future periods.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225"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March 31, 2020, we had approximately 11,500 customers spanning organizations of a broad range of sizes and industries. Our ability to attract new customers will depend on a number of factors, including the effectiveness and pricing of our products, offerings of our competitors, and the effectiveness of our marketing efforts.</w:t>
      </w:r>
    </w:p>
    <w:p>
      <w:pPr>
        <w:spacing w:after="0" w:line="16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225"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Our base of customers represents a significant opportunity for further sales expansion. As of March 31, 2020, we had 960 customers with annual run-rate revenue, or ARR, of $100,000 or more, up from 508 as of March 31, 2019.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and monthly subscriptions. ARR and MRR should be viewed independently of revenue, and do not represent our revenue under generally accepted accounting principles in the United States, or GAAP, on a monthly or annualized basis, as they are operating metrics that can be impacted by contract start and end dates and renewal rates. ARR and MRR are not intended to be replacements or forecasts of revenue. 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Sustaining Innovation and Technology Leadership</w:t>
      </w:r>
    </w:p>
    <w:p>
      <w:pPr>
        <w:spacing w:after="0" w:line="225"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proven initial success of our platform approach, through expansion beyond our initial infrastructure monitoring solution, to include APM in 2017, logs in 2018, user experience and network performance monitoring in 2019, and security monitoring in April 2020. As of March 31, 2020, approximately 60% of our customers were using more than one product, up from approximately 30% a year earlier. We believe these metrics indicate strong momentum in the uptake of our newer platform products.</w:t>
      </w:r>
    </w:p>
    <w:p>
      <w:pPr>
        <w:spacing w:after="0" w:line="16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believe there is a significant opportunity to expand usage of our platform outside of North America. Revenue, as determined based on the billing address of our customers, from regions outside of North America was 24% for each of the three months ended March 31, 2020 and 2019. In addition, we have made and plan to continue to make significant investments to expand geographically, particularly in Europe, the Middle East, Africa and in the Asia Pacific region. Although these investments may adversely affect our operating results in the near term, we believe that they will contribute to our long-term growth. Beyond North America, we now have sales presence internationally, including in Dublin, London, Amsterdam, Paris, Singapore, Sydney and Tokyo.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generate revenue from the sale of subscriptions to customers using our cloud-based platform. The terms of our subscription agreements 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78"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 xml:space="preserve">Usage is measured primarily by the number of hosts or by the volume of data indexed. A host is generally defined as a server, either in the cloud or on-premise. Our infrastructure monitoring, APM </w:t>
      </w:r>
      <w:r>
        <w:rPr>
          <w:rFonts w:ascii="Arial" w:cs="Arial" w:eastAsia="Arial" w:hAnsi="Arial"/>
          <w:sz w:val="17"/>
          <w:szCs w:val="17"/>
          <w:color w:val="333333"/>
        </w:rPr>
        <w:t>and network performance monitoring</w:t>
      </w:r>
      <w:r>
        <w:rPr>
          <w:rFonts w:ascii="Arial" w:cs="Arial" w:eastAsia="Arial" w:hAnsi="Arial"/>
          <w:sz w:val="17"/>
          <w:szCs w:val="17"/>
          <w:color w:val="auto"/>
        </w:rPr>
        <w:t xml:space="preserve"> products are priced per host, our logs product is priced primarily per log events indexed and secondarily by events ingested. </w:t>
      </w:r>
      <w:r>
        <w:rPr>
          <w:rFonts w:ascii="Arial" w:cs="Arial" w:eastAsia="Arial" w:hAnsi="Arial"/>
          <w:sz w:val="17"/>
          <w:szCs w:val="17"/>
          <w:color w:val="333333"/>
        </w:rPr>
        <w:t>Customers also have the option to purchase additional products, such as additional container or</w:t>
      </w:r>
      <w:r>
        <w:rPr>
          <w:rFonts w:ascii="Arial" w:cs="Arial" w:eastAsia="Arial" w:hAnsi="Arial"/>
          <w:sz w:val="17"/>
          <w:szCs w:val="17"/>
          <w:color w:val="auto"/>
        </w:rPr>
        <w:t xml:space="preserve"> </w:t>
      </w:r>
      <w:r>
        <w:rPr>
          <w:rFonts w:ascii="Arial" w:cs="Arial" w:eastAsia="Arial" w:hAnsi="Arial"/>
          <w:sz w:val="17"/>
          <w:szCs w:val="17"/>
          <w:color w:val="333333"/>
        </w:rPr>
        <w:t>serverless monitoring, custom metrics packages, anomaly detection, synthetic monitoring and app analytics.</w:t>
      </w:r>
    </w:p>
    <w:p>
      <w:pPr>
        <w:spacing w:after="0" w:line="171"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Due to ease of implementation of our products, professional services generally are not required and revenue from such services has been immaterial to date.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 related expenses, including depreciation expense.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and continue to be our largest operating expense for the foreseeable future as we expand our sales and marketing efforts. However, we expect that our sales and marketing expense will decrease as a percentage of our revenue over the long term.</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4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 However, we expect that our general and administrative expense will decrease as a percentage of our revenue as our revenue grows over the longer term.</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6"/>
          <w:szCs w:val="16"/>
          <w:color w:val="333333"/>
        </w:rPr>
        <w:t>income, net consists of income earned on our money market funds included in cash and cash equivalents and on our marketable securities.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Provision for income taxes consists of U.S. federal and state income taxes and income taxes in certain foreign jurisdictions in which we conduct business. We maintain a full valuation allowance on our federal and state deferred tax assets as we have concluded that it is not more likely than not that the deferred tax assets will be realized.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230"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Three Months Ended</w:t>
      </w:r>
    </w:p>
    <w:p>
      <w:pPr>
        <w:jc w:val="center"/>
        <w:ind w:left="61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15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60" w:type="dxa"/>
            <w:vAlign w:val="bottom"/>
            <w:tcBorders>
              <w:top w:val="single" w:sz="8" w:color="auto"/>
              <w:bottom w:val="single" w:sz="8" w:color="auto"/>
            </w:tcBorders>
          </w:tcPr>
          <w:p>
            <w:pPr>
              <w:jc w:val="right"/>
              <w:ind w:right="127"/>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1031"/>
              <w:spacing w:after="0" w:line="155" w:lineRule="exact"/>
              <w:rPr>
                <w:sz w:val="20"/>
                <w:szCs w:val="20"/>
                <w:color w:val="auto"/>
              </w:rPr>
            </w:pPr>
            <w:r>
              <w:rPr>
                <w:rFonts w:ascii="Arial" w:cs="Arial" w:eastAsia="Arial" w:hAnsi="Arial"/>
                <w:sz w:val="14"/>
                <w:szCs w:val="14"/>
                <w:b w:val="1"/>
                <w:bCs w:val="1"/>
                <w:color w:val="auto"/>
              </w:rPr>
              <w:t>2019</w:t>
            </w:r>
          </w:p>
        </w:tc>
      </w:tr>
      <w:tr>
        <w:trPr>
          <w:trHeight w:val="197"/>
        </w:trPr>
        <w:tc>
          <w:tcPr>
            <w:tcW w:w="15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80" w:type="dxa"/>
            <w:vAlign w:val="bottom"/>
            <w:gridSpan w:val="3"/>
          </w:tcPr>
          <w:p>
            <w:pPr>
              <w:jc w:val="right"/>
              <w:ind w:right="287"/>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Pr>
          <w:p>
            <w:pPr>
              <w:spacing w:after="0"/>
              <w:rPr>
                <w:sz w:val="17"/>
                <w:szCs w:val="17"/>
                <w:color w:val="auto"/>
              </w:rPr>
            </w:pPr>
          </w:p>
        </w:tc>
      </w:tr>
      <w:tr>
        <w:trPr>
          <w:trHeight w:val="26"/>
        </w:trPr>
        <w:tc>
          <w:tcPr>
            <w:tcW w:w="15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2860" w:type="dxa"/>
            <w:vAlign w:val="bottom"/>
            <w:gridSpan w:val="2"/>
            <w:shd w:val="clear" w:color="auto" w:fill="CFF0FC"/>
          </w:tcPr>
          <w:p>
            <w:pPr>
              <w:jc w:val="right"/>
              <w:ind w:right="13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131,248</w:t>
            </w:r>
          </w:p>
        </w:tc>
        <w:tc>
          <w:tcPr>
            <w:tcW w:w="880" w:type="dxa"/>
            <w:vAlign w:val="bottom"/>
            <w:gridSpan w:val="2"/>
            <w:shd w:val="clear" w:color="auto" w:fill="CFF0FC"/>
          </w:tcPr>
          <w:p>
            <w:pPr>
              <w:jc w:val="right"/>
              <w:ind w:right="467"/>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70,050</w:t>
            </w:r>
          </w:p>
        </w:tc>
      </w:tr>
      <w:tr>
        <w:trPr>
          <w:trHeight w:val="229"/>
        </w:trPr>
        <w:tc>
          <w:tcPr>
            <w:tcW w:w="4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5"/>
                <w:szCs w:val="15"/>
                <w:color w:val="auto"/>
              </w:rPr>
              <w:t>(1)(2)</w:t>
            </w:r>
          </w:p>
        </w:tc>
        <w:tc>
          <w:tcPr>
            <w:tcW w:w="140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26,479</w:t>
            </w:r>
          </w:p>
        </w:tc>
        <w:tc>
          <w:tcPr>
            <w:tcW w:w="2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18,950</w:t>
            </w:r>
          </w:p>
        </w:tc>
      </w:tr>
      <w:tr>
        <w:trPr>
          <w:trHeight w:val="223"/>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104,769</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51,100</w:t>
            </w: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w:t>
            </w:r>
          </w:p>
        </w:tc>
        <w:tc>
          <w:tcPr>
            <w:tcW w:w="1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40,824</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22,815</w:t>
            </w:r>
          </w:p>
        </w:tc>
      </w:tr>
      <w:tr>
        <w:trPr>
          <w:trHeight w:val="229"/>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5"/>
                <w:szCs w:val="15"/>
                <w:color w:val="auto"/>
              </w:rPr>
              <w:t>(1)</w:t>
            </w:r>
          </w:p>
        </w:tc>
        <w:tc>
          <w:tcPr>
            <w:tcW w:w="1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45,215</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30,107</w:t>
            </w:r>
          </w:p>
        </w:tc>
      </w:tr>
      <w:tr>
        <w:trPr>
          <w:trHeight w:val="229"/>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140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14,952</w:t>
            </w:r>
          </w:p>
        </w:tc>
        <w:tc>
          <w:tcPr>
            <w:tcW w:w="2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7,840</w:t>
            </w:r>
          </w:p>
        </w:tc>
      </w:tr>
      <w:tr>
        <w:trPr>
          <w:trHeight w:val="223"/>
        </w:trPr>
        <w:tc>
          <w:tcPr>
            <w:tcW w:w="48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100,991</w:t>
            </w:r>
          </w:p>
        </w:tc>
        <w:tc>
          <w:tcPr>
            <w:tcW w:w="2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60,762</w:t>
            </w:r>
          </w:p>
        </w:tc>
      </w:tr>
      <w:tr>
        <w:trPr>
          <w:trHeight w:val="223"/>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3,778</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(9,662)</w:t>
            </w:r>
          </w:p>
        </w:tc>
      </w:tr>
      <w:tr>
        <w:trPr>
          <w:trHeight w:val="230"/>
        </w:trPr>
        <w:tc>
          <w:tcPr>
            <w:tcW w:w="4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income, net</w:t>
            </w:r>
          </w:p>
        </w:tc>
        <w:tc>
          <w:tcPr>
            <w:tcW w:w="140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2,896</w:t>
            </w:r>
          </w:p>
        </w:tc>
        <w:tc>
          <w:tcPr>
            <w:tcW w:w="2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230</w:t>
            </w:r>
          </w:p>
        </w:tc>
      </w:tr>
      <w:tr>
        <w:trPr>
          <w:trHeight w:val="223"/>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before provision for income taxes</w:t>
            </w:r>
          </w:p>
        </w:tc>
        <w:tc>
          <w:tcPr>
            <w:tcW w:w="1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6,674</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(9,432)</w:t>
            </w:r>
          </w:p>
        </w:tc>
      </w:tr>
      <w:tr>
        <w:trPr>
          <w:trHeight w:val="230"/>
        </w:trPr>
        <w:tc>
          <w:tcPr>
            <w:tcW w:w="4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4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1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6,479</w:t>
            </w:r>
          </w:p>
        </w:tc>
        <w:tc>
          <w:tcPr>
            <w:tcW w:w="2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(9,491)</w:t>
            </w:r>
          </w:p>
        </w:tc>
      </w:tr>
      <w:tr>
        <w:trPr>
          <w:trHeight w:val="20"/>
        </w:trPr>
        <w:tc>
          <w:tcPr>
            <w:tcW w:w="1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760" w:type="dxa"/>
            <w:vAlign w:val="bottom"/>
          </w:tcPr>
          <w:p>
            <w:pPr>
              <w:spacing w:after="0"/>
              <w:rPr>
                <w:sz w:val="10"/>
                <w:szCs w:val="10"/>
                <w:color w:val="auto"/>
              </w:rPr>
            </w:pPr>
          </w:p>
        </w:tc>
      </w:tr>
    </w:tbl>
    <w:p>
      <w:pPr>
        <w:spacing w:after="0" w:line="22"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13"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Three Months Ended</w:t>
      </w:r>
    </w:p>
    <w:p>
      <w:pPr>
        <w:jc w:val="center"/>
        <w:ind w:left="61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15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103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r>
      <w:tr>
        <w:trPr>
          <w:trHeight w:val="198"/>
        </w:trPr>
        <w:tc>
          <w:tcPr>
            <w:tcW w:w="15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15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900" w:type="dxa"/>
            <w:vAlign w:val="bottom"/>
            <w:gridSpan w:val="2"/>
            <w:shd w:val="clear" w:color="auto" w:fill="CFF0FC"/>
          </w:tcPr>
          <w:p>
            <w:pPr>
              <w:jc w:val="right"/>
              <w:ind w:right="134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231</w:t>
            </w:r>
          </w:p>
        </w:tc>
        <w:tc>
          <w:tcPr>
            <w:tcW w:w="98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5,847</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19"/>
                <w:szCs w:val="19"/>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4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3,074</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9"/>
                <w:szCs w:val="19"/>
                <w:color w:val="auto"/>
              </w:rPr>
            </w:pPr>
          </w:p>
        </w:tc>
      </w:tr>
      <w:tr>
        <w:trPr>
          <w:trHeight w:val="230"/>
        </w:trPr>
        <w:tc>
          <w:tcPr>
            <w:tcW w:w="4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2,908</w:t>
            </w:r>
          </w:p>
        </w:tc>
        <w:tc>
          <w:tcPr>
            <w:tcW w:w="2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9"/>
                <w:szCs w:val="19"/>
                <w:color w:val="auto"/>
              </w:rPr>
            </w:pPr>
          </w:p>
        </w:tc>
      </w:tr>
      <w:tr>
        <w:trPr>
          <w:trHeight w:val="223"/>
        </w:trPr>
        <w:tc>
          <w:tcPr>
            <w:tcW w:w="48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1348"/>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12,060</w:t>
            </w:r>
          </w:p>
        </w:tc>
        <w:tc>
          <w:tcPr>
            <w:tcW w:w="2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2,445</w:t>
            </w:r>
          </w:p>
        </w:tc>
        <w:tc>
          <w:tcPr>
            <w:tcW w:w="2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33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4"/>
        </w:trPr>
        <w:tc>
          <w:tcPr>
            <w:tcW w:w="4840" w:type="dxa"/>
            <w:vAlign w:val="bottom"/>
            <w:gridSpan w:val="2"/>
          </w:tcPr>
          <w:p>
            <w:pPr>
              <w:spacing w:after="0"/>
              <w:rPr>
                <w:sz w:val="20"/>
                <w:szCs w:val="20"/>
                <w:color w:val="auto"/>
              </w:rPr>
            </w:pPr>
            <w:r>
              <w:rPr>
                <w:rFonts w:ascii="Arial" w:cs="Arial" w:eastAsia="Arial" w:hAnsi="Arial"/>
                <w:sz w:val="14"/>
                <w:szCs w:val="14"/>
                <w:color w:val="auto"/>
              </w:rPr>
              <w:t>(2)   Includes amortization of acquired intangibles expense as follows:</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54"/>
        </w:trPr>
        <w:tc>
          <w:tcPr>
            <w:tcW w:w="15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15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5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103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r>
      <w:tr>
        <w:trPr>
          <w:trHeight w:val="198"/>
        </w:trPr>
        <w:tc>
          <w:tcPr>
            <w:tcW w:w="15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
        </w:trPr>
        <w:tc>
          <w:tcPr>
            <w:tcW w:w="4840" w:type="dxa"/>
            <w:vAlign w:val="bottom"/>
            <w:gridSpan w:val="2"/>
          </w:tcPr>
          <w:p>
            <w:pPr>
              <w:spacing w:after="0"/>
              <w:rPr>
                <w:sz w:val="2"/>
                <w:szCs w:val="2"/>
                <w:color w:val="auto"/>
              </w:rPr>
            </w:pPr>
          </w:p>
        </w:tc>
        <w:tc>
          <w:tcPr>
            <w:tcW w:w="29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900" w:type="dxa"/>
            <w:vAlign w:val="bottom"/>
            <w:gridSpan w:val="2"/>
            <w:shd w:val="clear" w:color="auto" w:fill="CFF0FC"/>
          </w:tcPr>
          <w:p>
            <w:pPr>
              <w:jc w:val="right"/>
              <w:ind w:right="134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247</w:t>
            </w:r>
          </w:p>
        </w:tc>
        <w:tc>
          <w:tcPr>
            <w:tcW w:w="98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r>
      <w:tr>
        <w:trPr>
          <w:trHeight w:val="432"/>
        </w:trPr>
        <w:tc>
          <w:tcPr>
            <w:tcW w:w="15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23</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0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4" w:name="page25"/>
    <w:bookmarkEnd w:id="24"/>
    <w:p>
      <w:pPr>
        <w:ind w:left="520"/>
        <w:spacing w:after="0"/>
        <w:rPr>
          <w:sz w:val="20"/>
          <w:szCs w:val="20"/>
          <w:color w:val="auto"/>
        </w:rPr>
      </w:pPr>
      <w:r>
        <w:rPr>
          <w:rFonts w:ascii="Arial" w:cs="Arial" w:eastAsia="Arial" w:hAnsi="Arial"/>
          <w:sz w:val="17"/>
          <w:szCs w:val="17"/>
          <w:color w:val="auto"/>
        </w:rPr>
        <w:t>The following table sets forth our consolidated statements of operations data expressed as a percentage of revenue for the periods indicated:</w:t>
      </w:r>
    </w:p>
    <w:p>
      <w:pPr>
        <w:spacing w:after="0" w:line="242"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Three Months Ended</w:t>
      </w:r>
    </w:p>
    <w:p>
      <w:pPr>
        <w:jc w:val="center"/>
        <w:ind w:left="58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5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681"/>
              <w:spacing w:after="0" w:line="155"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gridSpan w:val="2"/>
          </w:tcPr>
          <w:p>
            <w:pPr>
              <w:jc w:val="right"/>
              <w:ind w:right="1148"/>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(as a percentage of total revenue)</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w w:val="99"/>
              </w:rPr>
              <w:t>20</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w w:val="99"/>
              </w:rPr>
              <w:t>80</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w w:val="99"/>
              </w:rPr>
              <w:t>31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35</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gridSpan w:val="2"/>
          </w:tcPr>
          <w:p>
            <w:pPr>
              <w:jc w:val="right"/>
              <w:ind w:right="168"/>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w w:val="99"/>
              </w:rPr>
              <w:t>11</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w w:val="99"/>
              </w:rPr>
              <w:t>77</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provision for income taxes</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w w:val="96"/>
              </w:rPr>
              <w:t>Comparison of the Three Months Ended March 31, 2020 and 2019</w:t>
            </w: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Revenue</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4"/>
          </w:tcPr>
          <w:p>
            <w:pPr>
              <w:jc w:val="center"/>
              <w:ind w:right="241"/>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228"/>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4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528"/>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4"/>
          </w:tcPr>
          <w:p>
            <w:pPr>
              <w:jc w:val="center"/>
              <w:ind w:right="241"/>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131,248</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70,050</w:t>
            </w:r>
          </w:p>
        </w:tc>
        <w:tc>
          <w:tcPr>
            <w:tcW w:w="4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61,198</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Revenue increased by $61.2 million, or 87% for the three months ended March 31, 2020 compared to the three months ended March 31, 2019. The increase in revenue was primarily due to growth from existing customers, with the remaining increase attributable to new customers.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left="562"/>
              <w:spacing w:after="0"/>
              <w:rPr>
                <w:sz w:val="20"/>
                <w:szCs w:val="20"/>
                <w:color w:val="auto"/>
              </w:rPr>
            </w:pPr>
            <w:r>
              <w:rPr>
                <w:rFonts w:ascii="Arial" w:cs="Arial" w:eastAsia="Arial" w:hAnsi="Arial"/>
                <w:sz w:val="14"/>
                <w:szCs w:val="14"/>
                <w:b w:val="1"/>
                <w:bCs w:val="1"/>
                <w:color w:val="auto"/>
                <w:w w:val="99"/>
              </w:rPr>
              <w:t>March 31,</w:t>
            </w: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14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22"/>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26,479</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18,950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7,529</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510"/>
        <w:spacing w:after="0" w:line="301" w:lineRule="auto"/>
        <w:rPr>
          <w:sz w:val="20"/>
          <w:szCs w:val="20"/>
          <w:color w:val="auto"/>
        </w:rPr>
      </w:pPr>
      <w:r>
        <w:rPr>
          <w:rFonts w:ascii="Arial" w:cs="Arial" w:eastAsia="Arial" w:hAnsi="Arial"/>
          <w:sz w:val="16"/>
          <w:szCs w:val="16"/>
          <w:color w:val="auto"/>
        </w:rPr>
        <w:t>Cost of revenue increased by $7.5 million, or 40%, for the three months ended March 31, 2020 compared to the three months ended March 31, 2019. This increase was primarily due to an increase of $5.5 million in third-party cloud infrastructure hosting and software costs, $1.1 million in personnel expenses as a result of increased headcount, and $0.9 million of depreciation and amortization, credit card processing fees and other fees, and allocated overhead costs as a result of an increase in overall costs necessary to support the growth of the business and related infrastructure.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ind w:right="20" w:firstLine="510"/>
        <w:spacing w:after="0" w:line="277" w:lineRule="auto"/>
        <w:rPr>
          <w:sz w:val="20"/>
          <w:szCs w:val="20"/>
          <w:color w:val="auto"/>
        </w:rPr>
      </w:pPr>
      <w:r>
        <w:rPr>
          <w:rFonts w:ascii="Arial" w:cs="Arial" w:eastAsia="Arial" w:hAnsi="Arial"/>
          <w:sz w:val="18"/>
          <w:szCs w:val="18"/>
          <w:color w:val="auto"/>
        </w:rPr>
        <w:t xml:space="preserve">Our gross margin increased by 7% in the three months ended March 31, 2020 compared to the three months ended March 31, 2019, </w:t>
      </w:r>
      <w:r>
        <w:rPr>
          <w:rFonts w:ascii="Arial" w:cs="Arial" w:eastAsia="Arial" w:hAnsi="Arial"/>
          <w:sz w:val="18"/>
          <w:szCs w:val="18"/>
          <w:color w:val="333333"/>
        </w:rPr>
        <w:t>primarily as a</w:t>
      </w:r>
      <w:r>
        <w:rPr>
          <w:rFonts w:ascii="Arial" w:cs="Arial" w:eastAsia="Arial" w:hAnsi="Arial"/>
          <w:sz w:val="18"/>
          <w:szCs w:val="18"/>
          <w:color w:val="auto"/>
        </w:rPr>
        <w:t xml:space="preserve"> </w:t>
      </w:r>
      <w:r>
        <w:rPr>
          <w:rFonts w:ascii="Arial" w:cs="Arial" w:eastAsia="Arial" w:hAnsi="Arial"/>
          <w:sz w:val="18"/>
          <w:szCs w:val="18"/>
          <w:color w:val="333333"/>
        </w:rPr>
        <w:t>result of increased revenue and cost savings from our third-party cloud infrastructure providers.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3"/>
          </w:tcPr>
          <w:p>
            <w:pPr>
              <w:jc w:val="center"/>
              <w:ind w:right="376"/>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left="542"/>
              <w:spacing w:after="0"/>
              <w:rPr>
                <w:sz w:val="20"/>
                <w:szCs w:val="20"/>
                <w:color w:val="auto"/>
              </w:rPr>
            </w:pPr>
            <w:r>
              <w:rPr>
                <w:rFonts w:ascii="Arial" w:cs="Arial" w:eastAsia="Arial" w:hAnsi="Arial"/>
                <w:sz w:val="14"/>
                <w:szCs w:val="14"/>
                <w:b w:val="1"/>
                <w:bCs w:val="1"/>
                <w:color w:val="auto"/>
                <w:w w:val="99"/>
              </w:rPr>
              <w:t>March 31,</w:t>
            </w: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622"/>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3"/>
                <w:szCs w:val="13"/>
                <w:color w:val="auto"/>
              </w:rPr>
            </w:pPr>
          </w:p>
        </w:tc>
        <w:tc>
          <w:tcPr>
            <w:tcW w:w="1080" w:type="dxa"/>
            <w:vAlign w:val="bottom"/>
          </w:tcPr>
          <w:p>
            <w:pPr>
              <w:jc w:val="right"/>
              <w:ind w:right="55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60" w:type="dxa"/>
            <w:vAlign w:val="bottom"/>
            <w:tcBorders>
              <w:top w:val="single" w:sz="8" w:color="auto"/>
            </w:tcBorders>
            <w:gridSpan w:val="3"/>
          </w:tcPr>
          <w:p>
            <w:pPr>
              <w:jc w:val="center"/>
              <w:ind w:right="356"/>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40,824</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22,815</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18,009</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Percentage of revenue</w:t>
            </w: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Research and development expense increased by $18.0 million, or 79%, for the three months ended March 31, 2020 compared to the three months ended March 31, 2019. This increase was primarily due to an increase of $15.7 million in personnel costs for our engineering, product and design teams as a result of increased headcount, and an increase of $3.0 million in allocated overhead costs necessary for supporting the growth of the business, partially offset by a decrease of $0.7 million in cloud infrastructure related investments.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3"/>
          </w:tcPr>
          <w:p>
            <w:pPr>
              <w:jc w:val="center"/>
              <w:ind w:right="376"/>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left="542"/>
              <w:spacing w:after="0"/>
              <w:rPr>
                <w:sz w:val="20"/>
                <w:szCs w:val="20"/>
                <w:color w:val="auto"/>
              </w:rPr>
            </w:pPr>
            <w:r>
              <w:rPr>
                <w:rFonts w:ascii="Arial" w:cs="Arial" w:eastAsia="Arial" w:hAnsi="Arial"/>
                <w:sz w:val="14"/>
                <w:szCs w:val="14"/>
                <w:b w:val="1"/>
                <w:bCs w:val="1"/>
                <w:color w:val="auto"/>
                <w:w w:val="99"/>
              </w:rPr>
              <w:t>March 31,</w:t>
            </w: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622"/>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3"/>
                <w:szCs w:val="13"/>
                <w:color w:val="auto"/>
              </w:rPr>
            </w:pPr>
          </w:p>
        </w:tc>
        <w:tc>
          <w:tcPr>
            <w:tcW w:w="1080" w:type="dxa"/>
            <w:vAlign w:val="bottom"/>
          </w:tcPr>
          <w:p>
            <w:pPr>
              <w:jc w:val="right"/>
              <w:ind w:right="55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60" w:type="dxa"/>
            <w:vAlign w:val="bottom"/>
            <w:tcBorders>
              <w:top w:val="single" w:sz="8" w:color="auto"/>
            </w:tcBorders>
            <w:gridSpan w:val="3"/>
          </w:tcPr>
          <w:p>
            <w:pPr>
              <w:jc w:val="center"/>
              <w:ind w:right="356"/>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45,215</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30,107</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15,108</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Sales and marketing expense increased by $15.1 million, or 50%, for the three months ended March 31, 2020 compared to the three months ended March 31, 2019. This increase was primarily due to an increase of $10.8 million in personnel costs for our sales and marketing organization as a result of increased headcount and increased amortization of deferred contract costs related to increased variable compensation for sales personnel due to increased sales, an increase of $2.5 million in allocated overhead costs as a result of increased overall costs necessary to support the growth of the business and related infrastructure, an increase of $1.0 million in hosting for free trials, and an increase of $0.8 million in marketing and promotional activities.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center"/>
              <w:ind w:left="82"/>
              <w:spacing w:after="0"/>
              <w:rPr>
                <w:sz w:val="20"/>
                <w:szCs w:val="20"/>
                <w:color w:val="auto"/>
              </w:rPr>
            </w:pPr>
            <w:r>
              <w:rPr>
                <w:rFonts w:ascii="Arial" w:cs="Arial" w:eastAsia="Arial" w:hAnsi="Arial"/>
                <w:sz w:val="14"/>
                <w:szCs w:val="14"/>
                <w:b w:val="1"/>
                <w:bCs w:val="1"/>
                <w:color w:val="auto"/>
                <w:w w:val="99"/>
              </w:rPr>
              <w:t>March 31,</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622"/>
              <w:spacing w:after="0" w:line="155" w:lineRule="exact"/>
              <w:rPr>
                <w:sz w:val="20"/>
                <w:szCs w:val="20"/>
                <w:color w:val="auto"/>
              </w:rPr>
            </w:pPr>
            <w:r>
              <w:rPr>
                <w:rFonts w:ascii="Arial" w:cs="Arial" w:eastAsia="Arial" w:hAnsi="Arial"/>
                <w:sz w:val="14"/>
                <w:szCs w:val="14"/>
                <w:b w:val="1"/>
                <w:bCs w:val="1"/>
                <w:color w:val="auto"/>
              </w:rPr>
              <w:t>2020</w:t>
            </w: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gridSpan w:val="2"/>
          </w:tcPr>
          <w:p>
            <w:pPr>
              <w:jc w:val="center"/>
              <w:ind w:left="102"/>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14,952</w:t>
            </w:r>
          </w:p>
        </w:tc>
        <w:tc>
          <w:tcPr>
            <w:tcW w:w="86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3"/>
              </w:rPr>
              <w:t>7,840</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7,112</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Percentage of revenue</w:t>
            </w: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General and administrative expense increased by $7.1 million, or 91%, for the three months ended March 31, 2020 compared to the three months ended March 31, 2019. This increase was primarily due to an increase of $3.9 million in personnel costs due to an increased headcount and an increase in stock-based compensation, an increase of $1.9 million in allocated overhead costs as a result of an increase in overall costs necessary to support the growth of the business and related infrastructure, and an increase of $1.3 million related to outside professional fees primarily related to financial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Since inception, we have financed operations primarily through sales of subscriptions and the net proceeds we have received from sales of equity securities. As of March 31, 2020, we had $194.4 million in cash and cash equivalents, and $600.4 million in marketable securities.</w:t>
      </w:r>
    </w:p>
    <w:p>
      <w:pPr>
        <w:spacing w:after="0" w:line="14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cash and cash equivalents primarily consist of bank deposits and money market funds. Our marketable securities consist of commercial debt, certificates of deposit, U.S. government treasury and agency securities, and commercial paper.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both"/>
        <w:ind w:firstLine="510"/>
        <w:spacing w:after="0" w:line="289" w:lineRule="auto"/>
        <w:rPr>
          <w:sz w:val="20"/>
          <w:szCs w:val="20"/>
          <w:color w:val="auto"/>
        </w:rPr>
      </w:pPr>
      <w:r>
        <w:rPr>
          <w:rFonts w:ascii="Arial" w:cs="Arial" w:eastAsia="Arial" w:hAnsi="Arial"/>
          <w:sz w:val="16"/>
          <w:szCs w:val="16"/>
          <w:color w:val="auto"/>
        </w:rPr>
        <w:t>We believe that our existing cash and cash equivalents, marketable securities,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customers, the expansion of sales and marketing activities, the timing and extent of spending to support development efforts, the introduction of new and enhanced products, the continuing market adoption of our platform, and the current uncertainty in the global markets resulting from the worldwide COVID-19 pandemic on our customers’ businesses and operations. 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6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 substantial source of our cash from operations is from our deferred revenue, which is included in the liabilities section of our consolidated balance sheet. Deferred revenue consists of the unearned portion of customer billings, which is recognized as revenue in accordance with our revenue recognition policy. As of March 31, 2020, we had deferred revenue of $145.2 million, of which $141.2 million was recorded as a current liability and expected to be recognized as revenue in the next 12 months, provided all other revenue recognition criteria have been met.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230"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Three Months Ended</w:t>
      </w:r>
    </w:p>
    <w:p>
      <w:pPr>
        <w:jc w:val="center"/>
        <w:ind w:left="61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44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10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1035"/>
              <w:spacing w:after="0" w:line="155" w:lineRule="exact"/>
              <w:rPr>
                <w:sz w:val="20"/>
                <w:szCs w:val="20"/>
                <w:color w:val="auto"/>
              </w:rPr>
            </w:pPr>
            <w:r>
              <w:rPr>
                <w:rFonts w:ascii="Arial" w:cs="Arial" w:eastAsia="Arial" w:hAnsi="Arial"/>
                <w:sz w:val="14"/>
                <w:szCs w:val="14"/>
                <w:b w:val="1"/>
                <w:bCs w:val="1"/>
                <w:color w:val="auto"/>
              </w:rPr>
              <w:t>2019</w:t>
            </w:r>
          </w:p>
        </w:tc>
      </w:tr>
      <w:tr>
        <w:trPr>
          <w:trHeight w:val="198"/>
        </w:trPr>
        <w:tc>
          <w:tcPr>
            <w:tcW w:w="4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Pr>
          <w:p>
            <w:pPr>
              <w:spacing w:after="0"/>
              <w:rPr>
                <w:sz w:val="17"/>
                <w:szCs w:val="17"/>
                <w:color w:val="auto"/>
              </w:rPr>
            </w:pPr>
          </w:p>
        </w:tc>
      </w:tr>
      <w:tr>
        <w:trPr>
          <w:trHeight w:val="26"/>
        </w:trPr>
        <w:tc>
          <w:tcPr>
            <w:tcW w:w="4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operating activities</w:t>
            </w:r>
          </w:p>
        </w:tc>
        <w:tc>
          <w:tcPr>
            <w:tcW w:w="3220" w:type="dxa"/>
            <w:vAlign w:val="bottom"/>
            <w:gridSpan w:val="2"/>
            <w:shd w:val="clear" w:color="auto" w:fill="CFF0FC"/>
          </w:tcPr>
          <w:p>
            <w:pPr>
              <w:jc w:val="right"/>
              <w:ind w:right="128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24,255</w:t>
            </w:r>
          </w:p>
        </w:tc>
        <w:tc>
          <w:tcPr>
            <w:tcW w:w="78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3,418</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(429,805)</w:t>
            </w:r>
          </w:p>
        </w:tc>
        <w:tc>
          <w:tcPr>
            <w:tcW w:w="7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(4,293)</w:t>
            </w: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7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2,660</w:t>
            </w:r>
          </w:p>
        </w:tc>
        <w:tc>
          <w:tcPr>
            <w:tcW w:w="7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1,776</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largest source of operating cash is cash collection from sales of subscriptions to our customers. Our primary uses of cash from operating activities are for personnel expenses, marketing expenses, hosting expenses and overhead expenses. We have generated positive cash flows and have supplemented working capital requirements through net proceeds from the sale of equity securities.</w:t>
      </w:r>
    </w:p>
    <w:p>
      <w:pPr>
        <w:spacing w:after="0" w:line="184"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Cash provided by operating activities for the three months ended March 31, 2020 of $24.3 million was primarily related to our net income of $6.5 million, adjusted for non-cash charges of $22.5 million, and net cash outflows of $4.7 million provided by changes in our operating assets and liabilities. Non-cash charges primarily consisted of stock-based compensation, depreciation and amortization of property and equipment, amortization of capitalized software, and amortization of acquired intangibles. The main drivers of the changes in operating assets and liabilities were related to a $7.1 million increase in accounts receivable, net, due to increases in sales, a $4.6 million increase in deferred contract costs related to commissions paid on new bookings, a $1.4 million increase in prepaid expenses and other current assets, primarily driven by prepaid hosting services, and a $1.4 million decrease in accounts payable. These amounts were partially offset by a $6.9 million increase in deferred revenue, resulting primarily from increased billings for subscriptions, a $2.0 million increase in accrued expenses and other liabilities, and a $0.9 million decrease in other current assets.</w:t>
      </w:r>
    </w:p>
    <w:p>
      <w:pPr>
        <w:spacing w:after="0" w:line="165"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Cash provided by operating activities for the three months ended March 31, 2019 of $3.4 million primarily related to our net loss of $9.5 million, adjusted for non-cash charges of $5.8 million, and net cash inflows of $7.1 million provided by changes in our operating assets and liabilities. Non-cash charges primarily consisted of stock-based compensation, depreciation and amortization of property and equipment, amortization of capitalized software, and amortization of acquired intangibles. The main drivers of the changes in operating assets and liabilities related to a $18.9 million increase in deferred revenue, resulting primarily from increased billings for subscriptions, a $14.5 million increase in accounts payable, and a $1.4 million increase in accrued expenses and other liabilities due to an increase in headcount. These amounts were partially offset by a $7.6 million increase in accounts receivable, net, due to increases in sales, a $8.5 million increase in prepaid expenses and other current assets, primarily driven by prepaid hosting services, a $3.4 million increase in deferred contract costs related to commissions paid on new bookings, and $8.2 million increase in other assets.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Cash used in investing activities for the three months ended March 31, 2020 was $429.8 million, and was primarily the result of investment in marketable securities, increases in capital expenditures to purchase property and equipment to support additional office space and site operations and increases in capitalization of software development costs. Cash used in investing activities for the three months ended March 31, 2019 was $4.3 million, and was the result of increases in capital expenditures to purchase property and equipment to support additional office space and site operations and increases in capitalization of software development costs.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provided by financing activities for the three months ended March 31, 2020 was $2.7 million and was primarily the result of proceeds from the exercise of stock options in the amount of $2.8 million. Cash provided by financing activities for the three months ended March 31, 2019 was $1.8 million and was the result of proceeds from the exercise of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Free Cash Flow</w:t>
      </w:r>
    </w:p>
    <w:p>
      <w:pPr>
        <w:spacing w:after="0" w:line="229"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We report our financial results in accordance with GAAP. To supplement our condensed consolidated financial statements, we provide investors with the amount of free cash flow, which is a non-GAAP financial measure. Free cash flow represents net cash used in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in the same manner as our management and board of directors.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7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presents our cash flows for the periods presented and a reconciliation of free cash flow to net cash provided by operating activities, the most directly comparable financial measure calculated in accordance with GAAP:</w:t>
      </w:r>
    </w:p>
    <w:p>
      <w:pPr>
        <w:spacing w:after="0" w:line="175"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Three Months Ended</w:t>
      </w:r>
    </w:p>
    <w:p>
      <w:pPr>
        <w:jc w:val="center"/>
        <w:ind w:left="61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48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00" w:type="dxa"/>
            <w:vAlign w:val="bottom"/>
            <w:tcBorders>
              <w:top w:val="single" w:sz="8" w:color="auto"/>
              <w:bottom w:val="single" w:sz="8" w:color="auto"/>
            </w:tcBorders>
          </w:tcPr>
          <w:p>
            <w:pPr>
              <w:jc w:val="right"/>
              <w:ind w:right="167"/>
              <w:spacing w:after="0" w:line="155"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1034"/>
              <w:spacing w:after="0" w:line="155" w:lineRule="exact"/>
              <w:rPr>
                <w:sz w:val="20"/>
                <w:szCs w:val="20"/>
                <w:color w:val="auto"/>
              </w:rPr>
            </w:pPr>
            <w:r>
              <w:rPr>
                <w:rFonts w:ascii="Arial" w:cs="Arial" w:eastAsia="Arial" w:hAnsi="Arial"/>
                <w:sz w:val="14"/>
                <w:szCs w:val="14"/>
                <w:b w:val="1"/>
                <w:bCs w:val="1"/>
                <w:color w:val="auto"/>
              </w:rPr>
              <w:t>2019</w:t>
            </w:r>
          </w:p>
        </w:tc>
      </w:tr>
      <w:tr>
        <w:trPr>
          <w:trHeight w:val="198"/>
        </w:trPr>
        <w:tc>
          <w:tcPr>
            <w:tcW w:w="4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40" w:type="dxa"/>
            <w:vAlign w:val="bottom"/>
            <w:gridSpan w:val="4"/>
          </w:tcPr>
          <w:p>
            <w:pPr>
              <w:jc w:val="right"/>
              <w:ind w:right="309"/>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Pr>
          <w:p>
            <w:pPr>
              <w:spacing w:after="0"/>
              <w:rPr>
                <w:sz w:val="17"/>
                <w:szCs w:val="17"/>
                <w:color w:val="auto"/>
              </w:rPr>
            </w:pPr>
          </w:p>
        </w:tc>
      </w:tr>
      <w:tr>
        <w:trPr>
          <w:trHeight w:val="25"/>
        </w:trPr>
        <w:tc>
          <w:tcPr>
            <w:tcW w:w="4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860" w:type="dxa"/>
            <w:vAlign w:val="bottom"/>
            <w:gridSpan w:val="2"/>
            <w:shd w:val="clear" w:color="auto" w:fill="CFF0FC"/>
          </w:tcPr>
          <w:p>
            <w:pPr>
              <w:jc w:val="right"/>
              <w:ind w:right="13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24,255</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89"/>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3,418</w:t>
            </w:r>
          </w:p>
        </w:tc>
      </w:tr>
      <w:tr>
        <w:trPr>
          <w:trHeight w:val="229"/>
        </w:trPr>
        <w:tc>
          <w:tcPr>
            <w:tcW w:w="4880" w:type="dxa"/>
            <w:vAlign w:val="bottom"/>
          </w:tcPr>
          <w:p>
            <w:pPr>
              <w:ind w:left="260"/>
              <w:spacing w:after="0"/>
              <w:rPr>
                <w:sz w:val="20"/>
                <w:szCs w:val="20"/>
                <w:color w:val="auto"/>
              </w:rPr>
            </w:pPr>
            <w:r>
              <w:rPr>
                <w:rFonts w:ascii="Arial" w:cs="Arial" w:eastAsia="Arial" w:hAnsi="Arial"/>
                <w:sz w:val="18"/>
                <w:szCs w:val="18"/>
                <w:color w:val="auto"/>
              </w:rPr>
              <w:t>Less: Purchases of property and equipment</w:t>
            </w:r>
          </w:p>
        </w:tc>
        <w:tc>
          <w:tcPr>
            <w:tcW w:w="1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(2,197)</w:t>
            </w: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Capitalized software development costs</w:t>
            </w:r>
          </w:p>
        </w:tc>
        <w:tc>
          <w:tcPr>
            <w:tcW w:w="136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w:t>
            </w: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Free cash flow</w:t>
            </w:r>
          </w:p>
        </w:tc>
        <w:tc>
          <w:tcPr>
            <w:tcW w:w="1360" w:type="dxa"/>
            <w:vAlign w:val="bottom"/>
          </w:tcPr>
          <w:p>
            <w:pPr>
              <w:spacing w:after="0"/>
              <w:rPr>
                <w:sz w:val="19"/>
                <w:szCs w:val="19"/>
                <w:color w:val="auto"/>
              </w:rPr>
            </w:pPr>
          </w:p>
        </w:tc>
        <w:tc>
          <w:tcPr>
            <w:tcW w:w="1500" w:type="dxa"/>
            <w:vAlign w:val="bottom"/>
            <w:tcBorders>
              <w:bottom w:val="single" w:sz="8" w:color="auto"/>
            </w:tcBorders>
          </w:tcPr>
          <w:p>
            <w:pPr>
              <w:jc w:val="right"/>
              <w:ind w:right="13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19,312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89"/>
              <w:spacing w:after="0"/>
              <w:rPr>
                <w:sz w:val="20"/>
                <w:szCs w:val="20"/>
                <w:color w:val="auto"/>
              </w:rPr>
            </w:pPr>
            <w:r>
              <w:rPr>
                <w:rFonts w:ascii="Arial" w:cs="Arial" w:eastAsia="Arial" w:hAnsi="Arial"/>
                <w:sz w:val="10"/>
                <w:szCs w:val="10"/>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r>
      <w:tr>
        <w:trPr>
          <w:trHeight w:val="20"/>
        </w:trPr>
        <w:tc>
          <w:tcPr>
            <w:tcW w:w="4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principal commitments consist of obligations under our operating leases, which are primarily for office space, and purchase commitments to our cloud hosting providers and other vendors. In January 2020, we entered into an agreement with Microsoft Azure, pursuant to which we are required to purchase an aggregate of at least $21.0 million of cloud services through January 2023. There were no other material changes outside the ordinary course of business in our contractual obligations and commitments, as disclosed in Part II, Item 7, “Management’s Discussion and Analysis of Financial Condition and Results of Operations” of the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March 31, 2020 we did not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ectPr>
          <w:pgSz w:w="11900" w:h="16838" w:orient="portrait"/>
          <w:cols w:equalWidth="0" w:num="1">
            <w:col w:w="11240"/>
          </w:cols>
          <w:pgMar w:left="320" w:top="34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8" w:name="page29"/>
    <w:bookmarkEnd w:id="28"/>
    <w:p>
      <w:pPr>
        <w:jc w:val="both"/>
        <w:ind w:firstLine="51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See Note 2, Summary of Significant Accounting Policies, in our Notes to Unaudited Condensed Consolidated Financial Statements included in Part I, Item 1 of this Quarterly Report on Form 10-Q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(1) are no longer an emerging growth company or</w:t>
      </w:r>
    </w:p>
    <w:p>
      <w:pPr>
        <w:spacing w:after="0" w:line="1" w:lineRule="exact"/>
        <w:rPr>
          <w:sz w:val="20"/>
          <w:szCs w:val="20"/>
          <w:color w:val="auto"/>
        </w:rPr>
      </w:pPr>
    </w:p>
    <w:p>
      <w:pPr>
        <w:ind w:firstLine="8"/>
        <w:spacing w:after="0" w:line="260" w:lineRule="auto"/>
        <w:tabs>
          <w:tab w:leader="none" w:pos="276" w:val="left"/>
        </w:tabs>
        <w:numPr>
          <w:ilvl w:val="0"/>
          <w:numId w:val="8"/>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 xml:space="preserve">As of March 31, 2020, we </w:t>
      </w:r>
      <w:r>
        <w:rPr>
          <w:rFonts w:ascii="Arial" w:cs="Arial" w:eastAsia="Arial" w:hAnsi="Arial"/>
          <w:sz w:val="17"/>
          <w:szCs w:val="17"/>
          <w:color w:val="333333"/>
        </w:rPr>
        <w:t>had $181.4 million in cash equivalents, and $600.4 million in marketable securities, which consisted</w:t>
      </w:r>
      <w:r>
        <w:rPr>
          <w:rFonts w:ascii="Arial" w:cs="Arial" w:eastAsia="Arial" w:hAnsi="Arial"/>
          <w:sz w:val="17"/>
          <w:szCs w:val="17"/>
          <w:color w:val="auto"/>
        </w:rPr>
        <w:t xml:space="preserve"> of commercial debt, certificates of deposit, U.S. government treasury and agency securities, and commercial paper</w:t>
      </w:r>
      <w:r>
        <w:rPr>
          <w:rFonts w:ascii="Arial" w:cs="Arial" w:eastAsia="Arial" w:hAnsi="Arial"/>
          <w:sz w:val="17"/>
          <w:szCs w:val="17"/>
          <w:color w:val="333333"/>
        </w:rPr>
        <w:t>. In addition, we had $3.8 million of restricted cash due to the</w:t>
      </w:r>
      <w:r>
        <w:rPr>
          <w:rFonts w:ascii="Arial" w:cs="Arial" w:eastAsia="Arial" w:hAnsi="Arial"/>
          <w:sz w:val="17"/>
          <w:szCs w:val="17"/>
          <w:color w:val="auto"/>
        </w:rPr>
        <w:t xml:space="preserve"> </w:t>
      </w:r>
      <w:r>
        <w:rPr>
          <w:rFonts w:ascii="Arial" w:cs="Arial" w:eastAsia="Arial" w:hAnsi="Arial"/>
          <w:sz w:val="17"/>
          <w:szCs w:val="17"/>
          <w:color w:val="333333"/>
        </w:rPr>
        <w:t xml:space="preserve">outstanding letters of credit established in connection with lease agreements for our facilities. Our cash and cash equivalents are held for working capital purposes. We do not enter into investments for trading or speculative purposes. Our investments are exposed to market risk due to a fluctuation in interest rates, which may affect our interest income and the fair market value of our investments. </w:t>
      </w:r>
      <w:r>
        <w:rPr>
          <w:rFonts w:ascii="Arial" w:cs="Arial" w:eastAsia="Arial" w:hAnsi="Arial"/>
          <w:sz w:val="17"/>
          <w:szCs w:val="17"/>
          <w:color w:val="000000"/>
        </w:rPr>
        <w:t>As of March 31, 2020, a hypothetical 10% relative change in</w:t>
      </w:r>
      <w:r>
        <w:rPr>
          <w:rFonts w:ascii="Arial" w:cs="Arial" w:eastAsia="Arial" w:hAnsi="Arial"/>
          <w:sz w:val="17"/>
          <w:szCs w:val="17"/>
          <w:color w:val="333333"/>
        </w:rPr>
        <w:t xml:space="preserve"> </w:t>
      </w:r>
      <w:r>
        <w:rPr>
          <w:rFonts w:ascii="Arial" w:cs="Arial" w:eastAsia="Arial" w:hAnsi="Arial"/>
          <w:sz w:val="17"/>
          <w:szCs w:val="17"/>
          <w:color w:val="000000"/>
        </w:rPr>
        <w:t>interest rates would not have a material impact on our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reporting currency and the functional currency of our wholly 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Canada, France, the United Kingdom, Japan and Australia.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ind w:firstLine="510"/>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March 31, 2020. Based on the evaluation of our disclosure controls and procedures as of March 31, 2020, our Chief Executive Officer and Chief Financial Officer concluded that, as of such date,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recent COVID-19 pandemic and any related economic downturn could negatively impact our business, financial condition and results of operations.</w:t>
      </w:r>
    </w:p>
    <w:p>
      <w:pPr>
        <w:spacing w:after="0" w:line="170"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recent COVID-19 pandemic may prevent us or our employees, customers, partners, suppliers or vendors or other parties with whom we do business from conducting certain marketing and other business activities for an indefinite period of time, which could adversely impact our business, financial position and results of operations. Further, in response to the COVID-19 pandemic, many state, local and foreign governments have put in place, and others in the future may put in place, quarantines, executive orders, shelter-in-place orders and similar government orders and restrictions in order to control the spread of the disease. Such orders or restrictions, or the perception that such orders or restrictions could occur, have resulted in business closures, work stoppages, slowdowns and delays, work-from-home policies, travel restrictions and cancellation of events, among other effects that could negatively impact productivity and disrupt our operations or those of our customers, partners, suppliers or vendors or other parties with whom we do business.</w:t>
      </w:r>
    </w:p>
    <w:p>
      <w:pPr>
        <w:spacing w:after="0" w:line="192"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In light of the uncertain and rapidly evolving situation relating to the spread of COVID-19 and in compliance with recent shelter-in-place orders and other government executive orders directing that all non-essential businesses close their physical operations, we have taken measures intended to help minimize the risk of the virus to our employees and the communities in which we participate. These measures include temporarily requiring all employees to work remotely, suspending all non-essential travel worldwide for our employees, canceling, postponing or holding virtually any Datadog events and discouraging employee attendance at any industry events or in-person work-related meetings. We have a distributed workforce and our employees are accustomed to working remotely and working with others who are working remotely. However, the temporary suspension of travel and in-person meetings could negatively impact our marketing efforts, the length or variability of our sales cycles, our international expansion efforts or the length of our average recruiting cycle for employees across the organization. Further, operational or other challenges could arise as we and our customers, partners, suppliers and vendors and other parties with whom we do business adjust to a fully-remote workforce. In addition, our management team has, and will likely continue, to spend significant time, attention and resources monitoring the COVID-19 pandemic and seeking to manage its effects on our business and workforce.</w:t>
      </w:r>
    </w:p>
    <w:p>
      <w:pPr>
        <w:spacing w:after="0" w:line="168"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COVID-19 could also adversely affect workforces, economies and financial markets globally, potentially leading to an economic downturn and a reduction in customer spending on our solutions or an inability for our customers, partners, suppliers or vendors or other parties with whom we do business to meet their contractual obligations. While it is not possible at this time to predict the duration and extent of the impact that COVID-19 could have on worldwide economic activity and our business in particular, the continued spread of COVID-19 and the measures taken by governments, businesses and other organizations in response to COVID-19 could adversely impact our business, financial condition and results of operations. In addition, we have provided and may continue to provide guidance about our business and future operating results, which is based on certain assumptions, estimates and expectations as of the date such guidance is given. Guidance is necessarily speculative in nature, and is inherently subject to significant business, economic and competitive uncertainties and contingencies, many of which are beyond our control, such as the global economic uncertainty and financial market conditions caused by the COVID-19 pandemic. If we were to revise or fail to meet our announced guidance or expectations of analysts as a result of these factors, the price of our Class A common stock could be negatively affected.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7"/>
          <w:szCs w:val="17"/>
          <w:color w:val="auto"/>
        </w:rPr>
        <w:t>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expand within our existing customer base, acquire new customers, develop and expand our sales and marketing capabilities and expand internationally.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70"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 xml:space="preserve">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international trade relations, political turmoil, natural catastrophes, </w:t>
      </w:r>
      <w:r>
        <w:rPr>
          <w:rFonts w:ascii="Arial" w:cs="Arial" w:eastAsia="Arial" w:hAnsi="Arial"/>
          <w:sz w:val="16"/>
          <w:szCs w:val="16"/>
          <w:color w:val="333333"/>
        </w:rPr>
        <w:t>outbreaks of contagious diseases (such as the recent COVID-19 pandemic),</w:t>
      </w:r>
      <w:r>
        <w:rPr>
          <w:rFonts w:ascii="Arial" w:cs="Arial" w:eastAsia="Arial" w:hAnsi="Arial"/>
          <w:sz w:val="16"/>
          <w:szCs w:val="16"/>
          <w:color w:val="auto"/>
        </w:rPr>
        <w:t xml:space="preserve"> warfare and terrorist attacks on the United States, Europe, the Asia Pacific region, Japan or elsewhere, could cause a decrease in business investments, including spending on information technology, disrupt the timing and cadence of key industry events, and negatively affect the growth of our business and our results of operations. For example,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In addition, our competitors, many of whom are larger and have greater financial resources than we do, may respond to challenging market conditions by lowering prices in an attempt to attract our customers and may be less dependent on key industry events to generate sales for their products. In addition,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70"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Our revenue was $131.2 million, $70.1 million, $362.8 million and $198.1 million for the three months ended March 31, 2020 and 2019 and the years ended December 31, 2019 and 2018,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49"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our products effectively so that we are able to attract new customers and expand sales to our existing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the functionality and use cases for the products we offer on our platform;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and expand the rates at which customers purchase and renew subscriptions to our platform;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our customers with support that meets their needs;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introduce our products to new markets outside of the United States;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117"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sales and marketing organization to engage our existing and prospective customers, increase brand awareness and drive adoption of our products;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expansion;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generated net income (loss) of $6.5 million, $(9.5) million, $(16.7) million and $(10.8) million for the three months ended March 31, 2020 and 2019 and the years ended December 31, 2019 and 2018, respectively. As of March 31, 2020, we had an accumulated deficit of $117.1 million. While we have experienced significant revenue growth in recent periods, we are not certain whether or when we will obtain a high enough volume of sales to sustain or increase our growth or consistently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forecast our future results of operations.</w:t>
      </w:r>
    </w:p>
    <w:p>
      <w:pPr>
        <w:spacing w:after="0" w:line="225"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were founded in June 2010. As a result of our limited operating history,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70"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the effects of global economic conditions, including due to the global economic uncertainty and financial market conditions caused by the COVID-19 pandemic, or reductions in our customers’ spending on IT solutions or their spending levels generally.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If we are unable to attract new customers, our business, financial condition and results of operations will be adversely affected.</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or our third-party service providers experience a security breach or unauthorized parties otherwise obtain access to our customers’ data, our data or our platform, our solution may be perceived as not being secure, our reputation may be harmed, demand for our platform and products may be reduced, and we may incur significant liabilities.</w:t>
      </w:r>
    </w:p>
    <w:p>
      <w:pPr>
        <w:spacing w:after="0" w:line="18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Our platform and products involve the storage and transmission of data, including personally identifiable information, and security breaches or unauthorized access to our platform and products could result in the loss of our or our customers’ data,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In addition, we have recently seen an increase in phishing and spam emails in connection with the COVID-19 pandemic. As a precautionary measure, we reset customer passwords and instructed customers to revoke credentials that had been shared with us. 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social engineering (including spear phishing and ransomware attacks), and general hacking have become more prevalent in our industry, particularly against cloud services. In addition, we do not directly control content that our customers store in our products. If our customers use our products for the transmission or storage of personally identifiable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6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also process, store and transmit our own data as part of our business and operations. This data may include personally identifiable, confidential or proprietary information. There can be no assurance that any security measures that we or our third-party service providers have implemented will be effective against current or future security threats. While we have developed systems and processes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both"/>
        <w:ind w:firstLine="510"/>
        <w:spacing w:after="0" w:line="291" w:lineRule="auto"/>
        <w:rPr>
          <w:sz w:val="20"/>
          <w:szCs w:val="20"/>
          <w:color w:val="auto"/>
        </w:rPr>
      </w:pPr>
      <w:r>
        <w:rPr>
          <w:rFonts w:ascii="Arial" w:cs="Arial" w:eastAsia="Arial" w:hAnsi="Arial"/>
          <w:sz w:val="16"/>
          <w:szCs w:val="16"/>
          <w:color w:val="auto"/>
        </w:rPr>
        <w:t>Because there are many different security breach techniques and such techniques continue to evolve, we may be unable to anticipate attempted security breaches, react in a timely manner or implement adequate preventative measures. 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6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use third-party technology and systems in a variety of contexts, including, without limitation, encryption and authentication technology, employee email, content delivery to customers, back-office support, credit card processing and other functions. Although we have developed systems and processes that are designed to protect customer data and prevent data loss and other security breaches, including systems and processes designed to reduce the impact of a security breach at a third-party service provider, such measures cannot provide absolute security.</w:t>
      </w:r>
    </w:p>
    <w:p>
      <w:pPr>
        <w:spacing w:after="0" w:line="17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Additionally,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7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8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7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7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success of our platform depends, in part, on its ability to be deployed in a self-service installation process. We currently offer more than 400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70"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Micro Focus International plc, BMC Software, Inc. and Computer Associates International, Inc. With respect to APM, we compete with Cisco Systems, Inc., New Relic, Inc. and Dynatrace Software Inc. With respect to log management, we compete with Splunk Inc. and Elastic N.V. With respect to cloud monitoring, we compete with native solutions from cloud providers such as Amazon.com, Inc. (Amazon Web Services, or AWS), Alphabet Inc. (Google Cloud Platform, or GCP) and Microsoft Corporation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66"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compete on the basis of a number of factors, including:</w:t>
      </w:r>
    </w:p>
    <w:p>
      <w:pPr>
        <w:spacing w:after="0" w:line="117"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9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70"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24"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 xml:space="preserve">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w:t>
      </w:r>
      <w:r>
        <w:rPr>
          <w:rFonts w:ascii="Arial" w:cs="Arial" w:eastAsia="Arial" w:hAnsi="Arial"/>
          <w:sz w:val="16"/>
          <w:szCs w:val="16"/>
          <w:color w:val="333333"/>
        </w:rPr>
        <w:t>outbreaks of contagious diseases,</w:t>
      </w:r>
      <w:r>
        <w:rPr>
          <w:rFonts w:ascii="Arial" w:cs="Arial" w:eastAsia="Arial" w:hAnsi="Arial"/>
          <w:sz w:val="16"/>
          <w:szCs w:val="16"/>
          <w:color w:val="auto"/>
        </w:rPr>
        <w:t xml:space="preserve">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68"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5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24"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76"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and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usage of our platform and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expansion rates and the pricing and quantity of subscriptions renewed;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pricing of subscriptions from customers in our cloud-provider marketplaces;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amount of our investments to expand the capacity of our third-party cloud infrastructure providers;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seasonality driven by industry conferences;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investment in new products and features relative to investments in our existing infrastructure and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our customer purchases;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2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 including those related to the recent COVID-19 pandemic;</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regulatory or legal environments that may cause us to incur, among other elements, expenses associated with compliance;</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significant security breaches of, technical difficulties with, or interruptions to, the delivery and use of our products and platform capabilities.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ind w:firstLine="510"/>
        <w:spacing w:after="0" w:line="257"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social and economic impacts spread.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Downturns or upturns in our sales may not be immediately reflected in our financial position and results of operations.</w:t>
      </w:r>
    </w:p>
    <w:p>
      <w:pPr>
        <w:spacing w:after="0" w:line="22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Because we recognize the majority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70"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70"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both"/>
        <w:ind w:firstLine="510"/>
        <w:spacing w:after="0" w:line="288"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7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22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solutions may develop more slowly or differently than we expect.</w:t>
      </w:r>
    </w:p>
    <w:p>
      <w:pPr>
        <w:spacing w:after="0" w:line="225"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84"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70"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2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3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subject to stringent and changing privacy laws, regulations and standards, information security policies and contractual obligations related to data privacy and security. Our actual or perceived failure to comply with such obligations could harm our business.</w:t>
      </w:r>
    </w:p>
    <w:p>
      <w:pPr>
        <w:spacing w:after="0" w:line="146"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333333"/>
        </w:rPr>
        <w:t>have legal and contractual obligations regarding the protection of confidentiality and appropriate use of personally identifiable and other</w:t>
      </w:r>
      <w:r>
        <w:rPr>
          <w:rFonts w:ascii="Arial" w:cs="Arial" w:eastAsia="Arial" w:hAnsi="Arial"/>
          <w:sz w:val="17"/>
          <w:szCs w:val="17"/>
          <w:color w:val="auto"/>
        </w:rPr>
        <w:t xml:space="preserve"> </w:t>
      </w:r>
      <w:r>
        <w:rPr>
          <w:rFonts w:ascii="Arial" w:cs="Arial" w:eastAsia="Arial" w:hAnsi="Arial"/>
          <w:sz w:val="17"/>
          <w:szCs w:val="17"/>
          <w:color w:val="333333"/>
        </w:rPr>
        <w:t>proprietary information. We are subject to a variety of federal, state, local and international laws, directives and regulations relating to the collection, use, retention, security, disclosure, transfer and other processing of personally identifiable information. The regulatory framework for privacy and security issues worldwide is rapidly evolving and as a result implementation standards and enforcement practices are likely to remain uncertain for the foreseeable future. We publicly post documentation regarding our practices concerning the collection, processing, use and disclosure of data. Although we endeavor to comply with our published policies and documentation, we may at times fail to do so or be alleged to have failed to do so. The publication of our privacy policy and other documentation that provide promises and assurances about privacy and security can subject us to potential state and federal action if they are found to be deceptive, unfair, or misrepresentative of our actual practices. Any failure by us, our suppliers or other parties with whom we do business to comply with this documentation or with federal, state, local or international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jc w:val="both"/>
        <w:spacing w:after="0" w:line="255" w:lineRule="auto"/>
        <w:rPr>
          <w:sz w:val="20"/>
          <w:szCs w:val="20"/>
          <w:color w:val="auto"/>
        </w:rPr>
      </w:pPr>
      <w:r>
        <w:rPr>
          <w:rFonts w:ascii="Arial" w:cs="Arial" w:eastAsia="Arial" w:hAnsi="Arial"/>
          <w:sz w:val="18"/>
          <w:szCs w:val="18"/>
          <w:color w:val="333333"/>
        </w:rPr>
        <w:t>regulations could result in proceedings against us by governmental entities, private parties or others. In many jurisdictions, enforcement actions and consequences for noncompliance are rising. In the United States, these include enforcement actions in response to rules and regulations promulgated under the authority of federal agencies and state attorneys general and legislatures and consumer protection agencies. In addition, privacy advocates and industry groups have regularly proposed, and may propose in the future, self-regulatory standards with which we must legally comply or that contractually apply to us. If we fail to follow these security standards even if no customer information is compromised, we may incur significant fines or experience a significant increase in costs.</w:t>
      </w:r>
    </w:p>
    <w:p>
      <w:pPr>
        <w:spacing w:after="0" w:line="192"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333333"/>
        </w:rPr>
        <w:t>Internationally, virtually every jurisdiction in which we operate has established its own data security and privacy legal framework with which we or our customers must comply, including but not limited to the European Union, or EU. The EU’s data protection landscape is currently unstable, resulting in possible significant operational costs for internal compliance and risk to our business. The EU has adopted the General Data Protection Regulation, or GDPR, which went into effect in May 2018 and contains numerous requirements and changes from previously existing EU law, including more robust obligations on data processors and heavier documentation requirements for data protection compliance programs by companies. Among other requirements, the GDPR regulates transfers of personal data subject to the GDPR to third countries that have not been found to provide adequate protection to such personal data, including the United States. While we have taken steps to mitigate the impact on us with respect to transfers of data, such as implementing standard contractual clauses and self-certifying under the EU-US Privacy Shield, the efficacy and longevity of these transfer mechanisms remains uncertain. The GDPR also introduced numerous privacy-related changes for companies operating in the EU, including greater control for data subjects (including, for example, the “right to be forgotten”), increased data portability for EU consumers, data breach notification requirements and increased fines. In particular, under the GDPR, fines of up to 20 million euros or up to 4% of the annual global revenue of the noncompliant company, whichever is greater, could be imposed for violations of certain of the GDPR’s requirements. Such penalties are in addition to any civil litigation claims by customers and data subjects. The GDPR requirements apply not only to third-party transactions, but also to transfers of information between us and our subsidiaries, including employee information.</w:t>
      </w:r>
    </w:p>
    <w:p>
      <w:pPr>
        <w:spacing w:after="0" w:line="184"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color w:val="333333"/>
        </w:rPr>
        <w:t>addition to the GDPR, the European Commission has another draft regulation in the approval process that focuses on a person’s right to conduct a</w:t>
      </w:r>
      <w:r>
        <w:rPr>
          <w:rFonts w:ascii="Arial" w:cs="Arial" w:eastAsia="Arial" w:hAnsi="Arial"/>
          <w:sz w:val="16"/>
          <w:szCs w:val="16"/>
          <w:color w:val="auto"/>
        </w:rPr>
        <w:t xml:space="preserve"> </w:t>
      </w:r>
      <w:r>
        <w:rPr>
          <w:rFonts w:ascii="Arial" w:cs="Arial" w:eastAsia="Arial" w:hAnsi="Arial"/>
          <w:sz w:val="16"/>
          <w:szCs w:val="16"/>
          <w:color w:val="333333"/>
        </w:rPr>
        <w:t>private life (in contrast to the GDPR, which focuses on protection of personal data). The proposed legislation, known as the Regulation on Privacy and Electronic Communications, or ePrivacy Regulation, would replace the current ePrivacy Directive. Originally planned to be adopted and implemented at the same time as the GDPR, the ePrivacy Regulation continues to be delayed but could be enacted in 2020. While the new legislation contains protections for those using communications services (for example, protections against online tracking technologies), the timing of its proposed enactment following the GDPR means that additional time and effort may need to be spent addressing differences between the ePrivacy Regulation and the GDPR. New rules related to the ePrivacy Regulation are likely to include enhanced consent requirements in order to use communications content and communications metadata, which may negatively impact our platform and products and our relationships with our customers.</w:t>
      </w:r>
    </w:p>
    <w:p>
      <w:pPr>
        <w:spacing w:after="0" w:line="165"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333333"/>
        </w:rPr>
        <w:t>Complying with the GDPR and the ePrivacy Regulation, when it becomes effective, may cause us to incur substantial operational costs or require us to change our business practices. Despite our efforts to bring practices into compliance before the effective date of the GDPR and ePrivacy Regulation,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European Economic Area to maintain certain customer data (which may include personal data) originating from the EU in the European Economic Area, we may find it necessary to establish additional systems and processes to maintain such data in the European Economic Area, which may involve substantial expense and distraction from other aspects of our business.</w:t>
      </w:r>
    </w:p>
    <w:p>
      <w:pPr>
        <w:spacing w:after="0" w:line="16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Domestic laws in this area are also complex and developing rapidly. Many state legislatures have adopted legislation that regulates how businesses operate online, including measures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Further, California recently enacted the California Consumer Privacy Act, or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8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 products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both"/>
        <w:spacing w:after="0" w:line="254" w:lineRule="auto"/>
        <w:rPr>
          <w:sz w:val="20"/>
          <w:szCs w:val="20"/>
          <w:color w:val="auto"/>
        </w:rPr>
      </w:pPr>
      <w:r>
        <w:rPr>
          <w:rFonts w:ascii="Arial" w:cs="Arial" w:eastAsia="Arial" w:hAnsi="Arial"/>
          <w:sz w:val="18"/>
          <w:szCs w:val="18"/>
          <w:color w:val="auto"/>
        </w:rPr>
        <w:t>modify our products and platform capabilities, any of which could have an adverse effect on our business. 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changing laws, regulations, and standards related to the internet, our business may be harmed.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0"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6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84"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government entities and highly regulated organizations are subject to a number of challenges and risks.</w:t>
      </w:r>
    </w:p>
    <w:p>
      <w:pPr>
        <w:spacing w:after="0" w:line="22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7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ind w:firstLine="510"/>
        <w:spacing w:after="0" w:line="255" w:lineRule="auto"/>
        <w:rPr>
          <w:sz w:val="20"/>
          <w:szCs w:val="20"/>
          <w:color w:val="auto"/>
        </w:rPr>
      </w:pPr>
      <w:r>
        <w:rPr>
          <w:rFonts w:ascii="Arial" w:cs="Arial" w:eastAsia="Arial" w:hAnsi="Arial"/>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Additionally, the Trump administration has been critical of existing trade agreements and may impose more stringent export controls.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9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70"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70"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6"/>
          <w:szCs w:val="16"/>
          <w:color w:val="auto"/>
        </w:rPr>
        <w:t xml:space="preserve">Our success depends to a significant degree on our ability to obtain, maintain, protect and enforce our intellectual property rights, including our proprietary technology, know-how and our brand. We rely on a combination of trademarks, trade secret laws, patents, copyrights, service marks,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Despite our pending U.S.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 may not be available to us in every country in which our products are available. For example, as we have expanded internationally, we have been unable to register and obtain the right to use the Datadog trademark in certain jurisdictions, including in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oppose or challenge our trademarks or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ind w:firstLine="510"/>
        <w:spacing w:after="0" w:line="254"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95"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70"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We may become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80" w:lineRule="exact"/>
        <w:rPr>
          <w:sz w:val="20"/>
          <w:szCs w:val="20"/>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cease selling or using products or services that incorporate the intellectual property rights that we allegedly infringe, misappropriate or violate;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jc w:val="both"/>
        <w:ind w:firstLine="510"/>
        <w:spacing w:after="0" w:line="255" w:lineRule="auto"/>
        <w:rPr>
          <w:sz w:val="20"/>
          <w:szCs w:val="20"/>
          <w:color w:val="auto"/>
        </w:rPr>
      </w:pPr>
      <w:r>
        <w:rPr>
          <w:rFonts w:ascii="Arial" w:cs="Arial" w:eastAsia="Arial" w:hAnsi="Arial"/>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use open source software in our products, which could negatively affect our ability to sell our services or subject us to litigation or other actions.</w:t>
      </w:r>
    </w:p>
    <w:p>
      <w:pPr>
        <w:spacing w:after="0" w:line="260"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operations are international in scope, and we plan further geographic expansion, creating a variety of operational challenges.</w:t>
      </w:r>
    </w:p>
    <w:p>
      <w:pPr>
        <w:spacing w:after="0" w:line="23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Revenue, as determined based on the billing address of our customers, from regions outside of North America was 24% for each of the three months ended March 31, 2020 and 2019. Beyond North America, we now have sales presence internationally, including in Dublin, Paris, London, Singapore, Tokyo, Seoul and Sydney.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March 31, 2020, approximately 34% of our full-time employees were located outside of the United States, 47%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ind w:left="52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and hybrid IT infrastructures by international businesses;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including in the United Kingdom as a result of the United Kingdom exiting the EU, or Brexit;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changes in trade relations, regulations, or laws;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or tax laws;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Europe;</w:t>
      </w:r>
    </w:p>
    <w:p>
      <w:pPr>
        <w:spacing w:after="0" w:line="62" w:lineRule="exact"/>
        <w:rPr>
          <w:rFonts w:ascii="Arial" w:cs="Arial" w:eastAsia="Arial" w:hAnsi="Arial"/>
          <w:sz w:val="18"/>
          <w:szCs w:val="18"/>
          <w:color w:val="auto"/>
        </w:rPr>
      </w:pPr>
    </w:p>
    <w:p>
      <w:pPr>
        <w:ind w:left="1000" w:hanging="493"/>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38" w:lineRule="exact"/>
        <w:rPr>
          <w:rFonts w:ascii="Arial" w:cs="Arial" w:eastAsia="Arial" w:hAnsi="Arial"/>
          <w:sz w:val="17"/>
          <w:szCs w:val="17"/>
          <w:color w:val="auto"/>
        </w:rPr>
      </w:pPr>
    </w:p>
    <w:p>
      <w:pPr>
        <w:jc w:val="both"/>
        <w:ind w:left="1000" w:hanging="493"/>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local employees due to Brexit;</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333333"/>
        </w:rPr>
        <w:t xml:space="preserve">an outbreak of a contagious disease, </w:t>
      </w:r>
      <w:r>
        <w:rPr>
          <w:rFonts w:ascii="Arial" w:cs="Arial" w:eastAsia="Arial" w:hAnsi="Arial"/>
          <w:sz w:val="18"/>
          <w:szCs w:val="18"/>
          <w:color w:val="000000"/>
        </w:rPr>
        <w:t>including COVID-19,</w:t>
      </w:r>
      <w:r>
        <w:rPr>
          <w:rFonts w:ascii="Arial" w:cs="Arial" w:eastAsia="Arial" w:hAnsi="Arial"/>
          <w:sz w:val="18"/>
          <w:szCs w:val="18"/>
          <w:color w:val="333333"/>
        </w:rPr>
        <w:t xml:space="preserve"> which may cause us or our third-party providers and/or customers to temporarily suspend our or their respective operations in the affected city or country;</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FCPA, U.S. bribery laws, the UK Bribery Act, and similar laws and regulations in other jurisdictions;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United Kingdom from the EU may be a source of instability in international markets, create significant currency fluctuations, adversely affect our operations in the United Kingdom and pose additional risks to our business, financial condition and results of operations.</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333333"/>
        </w:rPr>
        <w:t>United Kingdom formally left the EU on January 31, 2020, commonly referred to as Brexit. Under the terms of the withdrawal agreement</w:t>
      </w:r>
      <w:r>
        <w:rPr>
          <w:rFonts w:ascii="Arial" w:cs="Arial" w:eastAsia="Arial" w:hAnsi="Arial"/>
          <w:sz w:val="18"/>
          <w:szCs w:val="18"/>
          <w:color w:val="auto"/>
        </w:rPr>
        <w:t xml:space="preserve"> </w:t>
      </w:r>
      <w:r>
        <w:rPr>
          <w:rFonts w:ascii="Arial" w:cs="Arial" w:eastAsia="Arial" w:hAnsi="Arial"/>
          <w:sz w:val="18"/>
          <w:szCs w:val="18"/>
          <w:color w:val="333333"/>
        </w:rPr>
        <w:t>agreed to between the United Kingdom and the EU, the United Kingdom will be subject to a transition period through December 31, 2020, during which EU rules will continue to apply. Negotiations between the United Kingdom and the EU are expected to continue in relation to their customs and trading relationship following this transition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jc w:val="both"/>
        <w:ind w:firstLine="510"/>
        <w:spacing w:after="0" w:line="254" w:lineRule="auto"/>
        <w:rPr>
          <w:sz w:val="20"/>
          <w:szCs w:val="20"/>
          <w:color w:val="auto"/>
        </w:rPr>
      </w:pPr>
      <w:r>
        <w:rPr>
          <w:rFonts w:ascii="Arial" w:cs="Arial" w:eastAsia="Arial" w:hAnsi="Arial"/>
          <w:sz w:val="18"/>
          <w:szCs w:val="18"/>
          <w:color w:val="333333"/>
        </w:rPr>
        <w:t>The uncertainty concerning the United Kingdom’s legal, political and economic relationships with the EU after the transition period may be a source of instability in the international markets, create significant currency fluctuations, and otherwise adversely affect trading agreements or similar cross-border co-operation arrangements (whether economic, tax, fiscal, legal, regulatory or otherwise). Further, if the United Kingdom and the EU are unable to negotiate acceptable trading and customs terms or if other EU Member States pursue withdrawal, barrier-free access between the United Kingdom and other EU Member States or among the European Economic Area overall could be diminished or eliminated. The long-term effects of Brexit will depend on any agreements (or lack thereof) between the United Kingdom and the EU and, in particular, any arrangements for the United Kingdom to retain access to EU markets after the transition period.</w:t>
      </w:r>
    </w:p>
    <w:p>
      <w:pPr>
        <w:spacing w:after="0" w:line="19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333333"/>
        </w:rPr>
        <w:t>Such a withdrawal from the EU is unprecedented, and it is unclear how the United Kingdom’s access to the European single market for goods, capital, services and labor within the EU, or the European single market, and the wider commercial, legal and regulatory environment, will impact our U.K. operations, including our customers in the United Kingdom. We may also face new regulatory costs and challenges that could have an adverse effect on our operations. Brexit has already created economic uncertainty, and its consequences could adversely impact our business, financial condition and results of operations</w:t>
      </w:r>
      <w:r>
        <w:rPr>
          <w:rFonts w:ascii="Arial" w:cs="Arial" w:eastAsia="Arial" w:hAnsi="Arial"/>
          <w:sz w:val="18"/>
          <w:szCs w:val="18"/>
          <w:color w:val="000000"/>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results of operations.</w:t>
      </w:r>
    </w:p>
    <w:p>
      <w:pPr>
        <w:spacing w:after="0" w:line="225"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portion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8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Tax Cuts and Jobs Act, or the Tax Act, makes broad and complex changes to the U.S. tax code including, among other things, changes to U.S. federal tax rates, imposes additional limitations on the deductibility of interest, has both positive and negative changes to the utilization of future net operating loss, or NOL, carryforwards, allows for the expensing of certain capital expenditures, and puts into effect the migration from a “worldwide” system of taxation to a territorial system.</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7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333333"/>
        </w:rPr>
        <w:t>As of December 31, 2019, we had NOL carryforwards for federal and state income tax purposes of approximately $56.6 million and $42.0 million, respectively, which may be available to offset taxable income in the future, and which expire in various years beginning in 2031 for federal purposes and 2029 for state purposes if not utilized.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17"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Act;</w:t>
      </w:r>
    </w:p>
    <w:p>
      <w:pPr>
        <w:spacing w:after="0" w:line="117" w:lineRule="exact"/>
        <w:rPr>
          <w:rFonts w:ascii="Arial" w:cs="Arial" w:eastAsia="Arial" w:hAnsi="Arial"/>
          <w:sz w:val="18"/>
          <w:szCs w:val="18"/>
          <w:color w:val="auto"/>
        </w:rPr>
      </w:pPr>
    </w:p>
    <w:p>
      <w:pPr>
        <w:ind w:left="1000" w:right="20" w:hanging="493"/>
        <w:spacing w:after="0" w:line="308"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developments could adversely affect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Accounting principles under GAAP are subject to interpretation by the Financial Accounting Standards Board, the SEC and various other bodies formed to promulgate and interpret such principles. A change in these principles or interpretations could have a significant effect on our reported results of operations and could affect the reporting of transactions already completed before the announcement of a change.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60"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“Basis of Presentation and Summary of Significant Accounting Policies” in the Notes to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deferred contract costs, and the valuation of our stock-based compensation awards,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48"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We have funded our operations since inception primarily through equity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62"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pricing of subscriptions to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 and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software;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releases;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trading volume of our Class A common stock;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w:t>
      </w:r>
    </w:p>
    <w:p>
      <w:pPr>
        <w:spacing w:after="0" w:line="22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including those related to the recent COVID-19 pandemic, may also negatively impact the market price of our Class A common stock. The full impact of the COVID-19 pandemic is unknown at this time, but could result in material adverse changes in our results of operations for an unknown period of time as the virus and its related political, social and economic impacts spread.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our executive officers, directors and significant holders of our capital stock prior to the completion of our IPO, which will limit the ability of holders of our Class A common stock to influence the outcome of important transactions.</w:t>
      </w:r>
    </w:p>
    <w:p>
      <w:pPr>
        <w:spacing w:after="0" w:line="184"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Our Class B common stock has ten votes per share and our Class A common stock has one vote per share. As a result, as of March 31, 2020, holders of our Class B common stock collectively beneficially owned shares representing approximately 90% of the voting power of our outstanding capital stock and our executive officers, directors and holders of 5% or more of our Class B common stock collectively beneficially owned, in the aggregate, shares representing approximately 94% of the voting power of our outstanding capital stock. As a result, the holders of our Class B common stock will be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will limit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ind w:firstLine="510"/>
        <w:spacing w:after="0" w:line="259" w:lineRule="auto"/>
        <w:rPr>
          <w:sz w:val="20"/>
          <w:szCs w:val="20"/>
          <w:color w:val="auto"/>
        </w:rPr>
      </w:pPr>
      <w:r>
        <w:rPr>
          <w:rFonts w:ascii="Arial" w:cs="Arial" w:eastAsia="Arial" w:hAnsi="Arial"/>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cannot predict whether our dual class structure, combined with the concentrated control of our stockholders who held our capital stock prior to the completion of our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for our Class A common stock may not develop or be sustained.</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Prior to the closing of our IPO in September 2019, no public market for our Class A common stock existed. An active public trading market for our Class A common stock may not continue to develop or, if further developed, it may not be sustained. The lack of an active market may impair the ability of holders of our Class A common stock to sell their shares at the time they wish to sell them or at a price that the holders of our Class A common stock consider reasonable. The lack of an active market may also reduce the fair value of shares of our Class A common stock. An inactive market may also impair our ability to raise capital to continue to fund operations by selling shares and may impair our ability to acquire other companies or technologies by using our shares as consideration.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23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6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have registered all of the shares of Class A common stock and Class B common stock issuable upon exercise of outstanding options or other equity incentives we may grant in the future, for public resale under the Securities Act. All such shares will become eligible for sale in the public market to the extent such options are exercised, subject to compliance with applicable securities laws, including the limitations of Rule 144 under the Securities Act applicable to our affiliates.</w:t>
      </w:r>
    </w:p>
    <w:p>
      <w:pPr>
        <w:spacing w:after="0" w:line="187"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Further, as of March 31, 2020,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7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jc w:val="both"/>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unfavorable or inaccurate research about our business, or if we fail to meet our publicly announced financial guidance, the market price and trading volume of our Class A common stock could decline.</w:t>
      </w:r>
    </w:p>
    <w:p>
      <w:pPr>
        <w:spacing w:after="0" w:line="146"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The market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170"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or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will remain an emerging growth company until the earliest of: (1) December 31, 2024; (2) the last day of the first fiscal year in which our annual gross revenue is $1.07 billion or more; (3) the date on which we have, during the previous rolling three-year period, issued more than $1 billion in non-convertible debt securities; and (4) the last day of the fiscal year in which the market value of our Class A common stock held by non-affiliates exceeded $700 million as of June 30 of such fiscal year.</w:t>
      </w:r>
    </w:p>
    <w:p>
      <w:pPr>
        <w:spacing w:after="0" w:line="18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continue to devote substantial time to compliance with our public company responsibilities and corporate governance practices.</w:t>
      </w:r>
    </w:p>
    <w:p>
      <w:pPr>
        <w:spacing w:after="0" w:line="17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As a public company, we will continue to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contribute to increased legal and financial compliance costs and make some activities more time-consuming and costly.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jc w:val="both"/>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84"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We are required, pursuant to Section 404 to furnish a report by management on, among other things, the effectiveness of our internal control over financial reporting for the fiscal year ending December 31, 2020.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66"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4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6" w:lineRule="exact"/>
        <w:rPr>
          <w:sz w:val="20"/>
          <w:szCs w:val="20"/>
          <w:color w:val="auto"/>
        </w:rPr>
      </w:pPr>
    </w:p>
    <w:p>
      <w:pPr>
        <w:ind w:left="10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provide that our directors may be removed for cause only upon the vote of at least 66 2/3% of our outstanding shares of voting stock;</w:t>
      </w:r>
    </w:p>
    <w:p>
      <w:pPr>
        <w:spacing w:after="0" w:line="12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70"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other employees.</w:t>
      </w:r>
    </w:p>
    <w:p>
      <w:pPr>
        <w:spacing w:after="0" w:line="165"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7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Recent Sales of Unregistered Equity Securities</w:t>
      </w:r>
    </w:p>
    <w:p>
      <w:pPr>
        <w:spacing w:after="0" w:line="270" w:lineRule="exact"/>
        <w:rPr>
          <w:sz w:val="20"/>
          <w:szCs w:val="20"/>
          <w:color w:val="auto"/>
        </w:rPr>
      </w:pPr>
    </w:p>
    <w:p>
      <w:pPr>
        <w:jc w:val="center"/>
        <w:ind w:right="97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September 2019, we closed our IPO of 27,600,000 shares of our Class A common stock at an offering price of $27.00 per share, including 3,600,000 shares pursuant to the underwriters’ option to purchase additional shares of our Class A common stock, resulting in net proceeds to us after deducting underwriting discounts and commissions of $37.3 million and net offering expenses of $2.0 million were $705.9 million. All of the shares issued and sold in our IPO were registered under the Securities Act pursuant to a registration statement on Form S-1 (File No. 333-233428), which was declared effective by the SEC on September 18, 2019.</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from those disclosed in the Final Prospectus for our IPO dated as of September 18, 2019 and filed with the SEC pursuant to Rule 424(b)(4) on September 19, 2019.</w:t>
      </w:r>
    </w:p>
    <w:p>
      <w:pPr>
        <w:spacing w:after="0" w:line="166" w:lineRule="exact"/>
        <w:rPr>
          <w:sz w:val="20"/>
          <w:szCs w:val="20"/>
          <w:color w:val="auto"/>
        </w:rPr>
      </w:pPr>
    </w:p>
    <w:p>
      <w:pPr>
        <w:ind w:left="520" w:right="8140" w:hanging="512"/>
        <w:spacing w:after="0" w:line="500" w:lineRule="auto"/>
        <w:tabs>
          <w:tab w:leader="none" w:pos="25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Not applicable.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9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9"/>
              </w:rPr>
              <w:t>Incorporated by Reference</w:t>
            </w:r>
          </w:p>
        </w:tc>
        <w:tc>
          <w:tcPr>
            <w:tcW w:w="1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gridSpan w:val="2"/>
            <w:vMerge w:val="continue"/>
          </w:tcPr>
          <w:p>
            <w:pPr>
              <w:spacing w:after="0"/>
              <w:rPr>
                <w:sz w:val="10"/>
                <w:szCs w:val="10"/>
                <w:color w:val="auto"/>
              </w:rPr>
            </w:pPr>
          </w:p>
        </w:tc>
        <w:tc>
          <w:tcPr>
            <w:tcW w:w="418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File No.</w:t>
            </w:r>
          </w:p>
        </w:tc>
        <w:tc>
          <w:tcPr>
            <w:tcW w:w="110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8"/>
              </w:rPr>
              <w:t>Exhibit</w:t>
            </w:r>
          </w:p>
        </w:tc>
        <w:tc>
          <w:tcPr>
            <w:tcW w:w="17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Filing Date</w:t>
            </w:r>
          </w:p>
        </w:tc>
        <w:tc>
          <w:tcPr>
            <w:tcW w:w="980" w:type="dxa"/>
            <w:vAlign w:val="bottom"/>
          </w:tcPr>
          <w:p>
            <w:pPr>
              <w:ind w:left="300"/>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4180" w:type="dxa"/>
            <w:vAlign w:val="bottom"/>
            <w:gridSpan w:val="11"/>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7"/>
        </w:trPr>
        <w:tc>
          <w:tcPr>
            <w:tcW w:w="860" w:type="dxa"/>
            <w:vAlign w:val="bottom"/>
            <w:tcBorders>
              <w:top w:val="single" w:sz="8" w:color="auto"/>
            </w:tcBorders>
          </w:tcPr>
          <w:p>
            <w:pPr>
              <w:jc w:val="right"/>
              <w:ind w:right="45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3900" w:type="dxa"/>
            <w:vAlign w:val="bottom"/>
            <w:tcBorders>
              <w:top w:val="single" w:sz="8" w:color="auto"/>
              <w:bottom w:val="single" w:sz="8" w:color="0000EE"/>
            </w:tcBorders>
            <w:gridSpan w:val="8"/>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Amended and Restated Certificate of Incorporation of</w:t>
              </w:r>
            </w:hyperlink>
          </w:p>
        </w:tc>
        <w:tc>
          <w:tcPr>
            <w:tcW w:w="280" w:type="dxa"/>
            <w:vAlign w:val="bottom"/>
            <w:tcBorders>
              <w:top w:val="single" w:sz="8" w:color="auto"/>
            </w:tcBorders>
            <w:gridSpan w:val="3"/>
          </w:tcPr>
          <w:p>
            <w:pPr>
              <w:spacing w:after="0"/>
              <w:rPr>
                <w:sz w:val="24"/>
                <w:szCs w:val="24"/>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001-39051</w:t>
            </w:r>
          </w:p>
        </w:tc>
        <w:tc>
          <w:tcPr>
            <w:tcW w:w="1100" w:type="dxa"/>
            <w:vAlign w:val="bottom"/>
            <w:tcBorders>
              <w:top w:val="single" w:sz="8" w:color="auto"/>
            </w:tcBorders>
          </w:tcPr>
          <w:p>
            <w:pPr>
              <w:jc w:val="center"/>
              <w:ind w:right="76"/>
              <w:spacing w:after="0"/>
              <w:rPr>
                <w:sz w:val="20"/>
                <w:szCs w:val="20"/>
                <w:color w:val="auto"/>
              </w:rPr>
            </w:pPr>
            <w:r>
              <w:rPr>
                <w:rFonts w:ascii="Arial" w:cs="Arial" w:eastAsia="Arial" w:hAnsi="Arial"/>
                <w:sz w:val="18"/>
                <w:szCs w:val="18"/>
                <w:color w:val="auto"/>
                <w:w w:val="87"/>
              </w:rPr>
              <w:t>3.1</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September 23, 2019</w:t>
            </w: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1"/>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Datadog, Inc.</w:t>
              </w:r>
            </w:hyperlink>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60" w:type="dxa"/>
            <w:vAlign w:val="bottom"/>
          </w:tcPr>
          <w:p>
            <w:pPr>
              <w:jc w:val="right"/>
              <w:ind w:right="45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180" w:type="dxa"/>
            <w:vAlign w:val="bottom"/>
            <w:gridSpan w:val="11"/>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Amended and Restated Bylaws of Datadog, Inc.</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right"/>
              <w:ind w:right="179"/>
              <w:spacing w:after="0"/>
              <w:rPr>
                <w:sz w:val="20"/>
                <w:szCs w:val="20"/>
                <w:color w:val="auto"/>
              </w:rPr>
            </w:pPr>
            <w:r>
              <w:rPr>
                <w:rFonts w:ascii="Arial" w:cs="Arial" w:eastAsia="Arial" w:hAnsi="Arial"/>
                <w:sz w:val="18"/>
                <w:szCs w:val="18"/>
                <w:color w:val="auto"/>
              </w:rPr>
              <w:t>333-233428</w:t>
            </w:r>
          </w:p>
        </w:tc>
        <w:tc>
          <w:tcPr>
            <w:tcW w:w="1100" w:type="dxa"/>
            <w:vAlign w:val="bottom"/>
          </w:tcPr>
          <w:p>
            <w:pPr>
              <w:jc w:val="center"/>
              <w:ind w:right="76"/>
              <w:spacing w:after="0"/>
              <w:rPr>
                <w:sz w:val="20"/>
                <w:szCs w:val="20"/>
                <w:color w:val="auto"/>
              </w:rPr>
            </w:pPr>
            <w:r>
              <w:rPr>
                <w:rFonts w:ascii="Arial" w:cs="Arial" w:eastAsia="Arial" w:hAnsi="Arial"/>
                <w:sz w:val="18"/>
                <w:szCs w:val="18"/>
                <w:color w:val="auto"/>
                <w:w w:val="87"/>
              </w:rPr>
              <w:t>3.4</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60" w:type="dxa"/>
            <w:vAlign w:val="bottom"/>
          </w:tcPr>
          <w:p>
            <w:pPr>
              <w:jc w:val="right"/>
              <w:ind w:right="453"/>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38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Certification of Principal Executive Officer Pursuant</w:t>
              </w:r>
            </w:hyperlink>
          </w:p>
        </w:tc>
        <w:tc>
          <w:tcPr>
            <w:tcW w:w="36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to Rules 13a-14(a) and 15d-14(a) under the Securities</w:t>
              </w:r>
            </w:hyperlink>
          </w:p>
        </w:tc>
        <w:tc>
          <w:tcPr>
            <w:tcW w:w="3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1"/>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Exchange Act of 1934, as Adopted Pursuant to Section</w:t>
              </w:r>
            </w:hyperlink>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302 of the Sarbanes-Oxley Act of 2002.</w:t>
              </w:r>
            </w:hyperlink>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0" w:type="dxa"/>
            <w:vAlign w:val="bottom"/>
          </w:tcPr>
          <w:p>
            <w:pPr>
              <w:jc w:val="right"/>
              <w:ind w:right="453"/>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4180" w:type="dxa"/>
            <w:vAlign w:val="bottom"/>
            <w:gridSpan w:val="11"/>
          </w:tcPr>
          <w:p>
            <w:pPr>
              <w:spacing w:after="0"/>
              <w:rPr>
                <w:rFonts w:ascii="Arial" w:cs="Arial" w:eastAsia="Arial" w:hAnsi="Arial"/>
                <w:sz w:val="18"/>
                <w:szCs w:val="18"/>
                <w:color w:val="0000EE"/>
                <w:w w:val="98"/>
              </w:rPr>
            </w:pPr>
            <w:hyperlink w:anchor="page58">
              <w:r>
                <w:rPr>
                  <w:rFonts w:ascii="Arial" w:cs="Arial" w:eastAsia="Arial" w:hAnsi="Arial"/>
                  <w:sz w:val="18"/>
                  <w:szCs w:val="18"/>
                  <w:color w:val="0000EE"/>
                  <w:w w:val="98"/>
                </w:rPr>
                <w:t>Certification of Principal Financial Officer Pursuant to</w:t>
              </w:r>
            </w:hyperlink>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Rules 13a-14(a) and 15d-14(a) under the Securities</w:t>
              </w:r>
            </w:hyperlink>
          </w:p>
        </w:tc>
        <w:tc>
          <w:tcPr>
            <w:tcW w:w="240" w:type="dxa"/>
            <w:vAlign w:val="bottom"/>
            <w:tcBorders>
              <w:top w:val="single" w:sz="8" w:color="0000EE"/>
            </w:tcBorders>
            <w:gridSpan w:val="5"/>
          </w:tcPr>
          <w:p>
            <w:pPr>
              <w:spacing w:after="0"/>
              <w:rPr>
                <w:sz w:val="17"/>
                <w:szCs w:val="17"/>
                <w:color w:val="auto"/>
              </w:rPr>
            </w:pPr>
          </w:p>
        </w:tc>
        <w:tc>
          <w:tcPr>
            <w:tcW w:w="2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1"/>
          </w:tcPr>
          <w:p>
            <w:pPr>
              <w:spacing w:after="0" w:line="196" w:lineRule="exact"/>
              <w:rPr>
                <w:rFonts w:ascii="Arial" w:cs="Arial" w:eastAsia="Arial" w:hAnsi="Arial"/>
                <w:sz w:val="18"/>
                <w:szCs w:val="18"/>
                <w:color w:val="0000EE"/>
                <w:w w:val="94"/>
              </w:rPr>
            </w:pPr>
            <w:hyperlink w:anchor="page58">
              <w:r>
                <w:rPr>
                  <w:rFonts w:ascii="Arial" w:cs="Arial" w:eastAsia="Arial" w:hAnsi="Arial"/>
                  <w:sz w:val="18"/>
                  <w:szCs w:val="18"/>
                  <w:color w:val="0000EE"/>
                  <w:w w:val="94"/>
                </w:rPr>
                <w:t>Exchange Act of 1934, as Adopted Pursuant to Section</w:t>
              </w:r>
            </w:hyperlink>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302 of the Sarbanes-Oxley Act of 2002.</w:t>
              </w:r>
            </w:hyperlink>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0" w:type="dxa"/>
            <w:vAlign w:val="bottom"/>
          </w:tcPr>
          <w:p>
            <w:pPr>
              <w:jc w:val="right"/>
              <w:ind w:right="353"/>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4180" w:type="dxa"/>
            <w:vAlign w:val="bottom"/>
            <w:gridSpan w:val="1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Certification of Principal Executive Officer Pursuant</w:t>
              </w:r>
            </w:hyperlink>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to 18 U.S.C. Section 1350, as Adopted Pursuant to</w:t>
              </w:r>
            </w:hyperlink>
          </w:p>
        </w:tc>
        <w:tc>
          <w:tcPr>
            <w:tcW w:w="140" w:type="dxa"/>
            <w:vAlign w:val="bottom"/>
            <w:tcBorders>
              <w:top w:val="single" w:sz="8" w:color="0000EE"/>
            </w:tcBorders>
            <w:gridSpan w:val="2"/>
          </w:tcPr>
          <w:p>
            <w:pPr>
              <w:spacing w:after="0"/>
              <w:rPr>
                <w:sz w:val="17"/>
                <w:szCs w:val="17"/>
                <w:color w:val="auto"/>
              </w:rPr>
            </w:pPr>
          </w:p>
        </w:tc>
        <w:tc>
          <w:tcPr>
            <w:tcW w:w="38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1"/>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Section 906 of the Sarbanes-Oxley Act of 2002.</w:t>
              </w:r>
            </w:hyperlink>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0" w:type="dxa"/>
            <w:vAlign w:val="bottom"/>
          </w:tcPr>
          <w:p>
            <w:pPr>
              <w:jc w:val="right"/>
              <w:ind w:right="353"/>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4180" w:type="dxa"/>
            <w:vAlign w:val="bottom"/>
            <w:gridSpan w:val="11"/>
          </w:tcPr>
          <w:p>
            <w:pPr>
              <w:spacing w:after="0"/>
              <w:rPr>
                <w:rFonts w:ascii="Arial" w:cs="Arial" w:eastAsia="Arial" w:hAnsi="Arial"/>
                <w:sz w:val="18"/>
                <w:szCs w:val="18"/>
                <w:color w:val="0000EE"/>
                <w:w w:val="98"/>
              </w:rPr>
            </w:pPr>
            <w:hyperlink w:anchor="page60">
              <w:r>
                <w:rPr>
                  <w:rFonts w:ascii="Arial" w:cs="Arial" w:eastAsia="Arial" w:hAnsi="Arial"/>
                  <w:sz w:val="18"/>
                  <w:szCs w:val="18"/>
                  <w:color w:val="0000EE"/>
                  <w:w w:val="98"/>
                </w:rPr>
                <w:t>Certification of Principal Financial Officer Pursuant to</w:t>
              </w:r>
            </w:hyperlink>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18 U.S.C. Section 1350, as Adopted Pursuant to</w:t>
              </w:r>
            </w:hyperlink>
          </w:p>
        </w:tc>
        <w:tc>
          <w:tcPr>
            <w:tcW w:w="2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1"/>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Section 906 of the Sarbanes-Oxley Act of 2002.</w:t>
              </w:r>
            </w:hyperlink>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18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1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1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1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18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1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jc w:val="both"/>
        <w:ind w:left="380" w:hanging="372"/>
        <w:spacing w:after="0" w:line="238"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8340" w:type="dxa"/>
            <w:vAlign w:val="bottom"/>
            <w:gridSpan w:val="2"/>
          </w:tcPr>
          <w:p>
            <w:pPr>
              <w:ind w:left="1460"/>
              <w:spacing w:after="0"/>
              <w:rPr>
                <w:sz w:val="20"/>
                <w:szCs w:val="20"/>
                <w:color w:val="auto"/>
              </w:rPr>
            </w:pPr>
            <w:r>
              <w:rPr>
                <w:rFonts w:ascii="Arial" w:cs="Arial" w:eastAsia="Arial" w:hAnsi="Arial"/>
                <w:sz w:val="18"/>
                <w:szCs w:val="18"/>
                <w:color w:val="auto"/>
              </w:rPr>
              <w:t>DATADOG, INC.</w:t>
            </w:r>
          </w:p>
        </w:tc>
      </w:tr>
      <w:tr>
        <w:trPr>
          <w:trHeight w:val="459"/>
        </w:trPr>
        <w:tc>
          <w:tcPr>
            <w:tcW w:w="2900" w:type="dxa"/>
            <w:vAlign w:val="bottom"/>
          </w:tcPr>
          <w:p>
            <w:pPr>
              <w:spacing w:after="0"/>
              <w:rPr>
                <w:sz w:val="20"/>
                <w:szCs w:val="20"/>
                <w:color w:val="auto"/>
              </w:rPr>
            </w:pPr>
            <w:r>
              <w:rPr>
                <w:rFonts w:ascii="Arial" w:cs="Arial" w:eastAsia="Arial" w:hAnsi="Arial"/>
                <w:sz w:val="18"/>
                <w:szCs w:val="18"/>
                <w:color w:val="auto"/>
              </w:rPr>
              <w:t>Date: May 12, 2020</w:t>
            </w:r>
          </w:p>
        </w:tc>
        <w:tc>
          <w:tcPr>
            <w:tcW w:w="2120" w:type="dxa"/>
            <w:vAlign w:val="bottom"/>
          </w:tcPr>
          <w:p>
            <w:pPr>
              <w:ind w:left="1460"/>
              <w:spacing w:after="0"/>
              <w:rPr>
                <w:sz w:val="20"/>
                <w:szCs w:val="20"/>
                <w:color w:val="auto"/>
              </w:rPr>
            </w:pPr>
            <w:r>
              <w:rPr>
                <w:rFonts w:ascii="Arial" w:cs="Arial" w:eastAsia="Arial" w:hAnsi="Arial"/>
                <w:sz w:val="18"/>
                <w:szCs w:val="18"/>
                <w:color w:val="auto"/>
              </w:rPr>
              <w:t>By:</w:t>
            </w:r>
          </w:p>
        </w:tc>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Pomel</w:t>
            </w:r>
          </w:p>
        </w:tc>
      </w:tr>
      <w:tr>
        <w:trPr>
          <w:trHeight w:val="209"/>
        </w:trPr>
        <w:tc>
          <w:tcPr>
            <w:tcW w:w="2900" w:type="dxa"/>
            <w:vAlign w:val="bottom"/>
          </w:tcPr>
          <w:p>
            <w:pPr>
              <w:spacing w:after="0"/>
              <w:rPr>
                <w:sz w:val="18"/>
                <w:szCs w:val="18"/>
                <w:color w:val="auto"/>
              </w:rPr>
            </w:pPr>
          </w:p>
        </w:tc>
        <w:tc>
          <w:tcPr>
            <w:tcW w:w="2120" w:type="dxa"/>
            <w:vAlign w:val="bottom"/>
          </w:tcPr>
          <w:p>
            <w:pPr>
              <w:ind w:left="1460"/>
              <w:spacing w:after="0"/>
              <w:rPr>
                <w:sz w:val="20"/>
                <w:szCs w:val="20"/>
                <w:color w:val="auto"/>
              </w:rPr>
            </w:pPr>
            <w:r>
              <w:rPr>
                <w:rFonts w:ascii="Arial" w:cs="Arial" w:eastAsia="Arial" w:hAnsi="Arial"/>
                <w:sz w:val="18"/>
                <w:szCs w:val="18"/>
                <w:color w:val="auto"/>
              </w:rPr>
              <w:t>Name:</w:t>
            </w:r>
          </w:p>
        </w:tc>
        <w:tc>
          <w:tcPr>
            <w:tcW w:w="6220" w:type="dxa"/>
            <w:vAlign w:val="bottom"/>
          </w:tcPr>
          <w:p>
            <w:pPr>
              <w:spacing w:after="0"/>
              <w:rPr>
                <w:sz w:val="20"/>
                <w:szCs w:val="20"/>
                <w:color w:val="auto"/>
              </w:rPr>
            </w:pPr>
            <w:r>
              <w:rPr>
                <w:rFonts w:ascii="Arial" w:cs="Arial" w:eastAsia="Arial" w:hAnsi="Arial"/>
                <w:sz w:val="18"/>
                <w:szCs w:val="18"/>
                <w:color w:val="auto"/>
              </w:rPr>
              <w:t>Olivier Pomel</w:t>
            </w:r>
          </w:p>
        </w:tc>
      </w:tr>
      <w:tr>
        <w:trPr>
          <w:trHeight w:val="216"/>
        </w:trPr>
        <w:tc>
          <w:tcPr>
            <w:tcW w:w="2900" w:type="dxa"/>
            <w:vAlign w:val="bottom"/>
          </w:tcPr>
          <w:p>
            <w:pPr>
              <w:spacing w:after="0"/>
              <w:rPr>
                <w:sz w:val="18"/>
                <w:szCs w:val="18"/>
                <w:color w:val="auto"/>
              </w:rPr>
            </w:pPr>
          </w:p>
        </w:tc>
        <w:tc>
          <w:tcPr>
            <w:tcW w:w="2120" w:type="dxa"/>
            <w:vAlign w:val="bottom"/>
          </w:tcPr>
          <w:p>
            <w:pPr>
              <w:ind w:left="1460"/>
              <w:spacing w:after="0"/>
              <w:rPr>
                <w:sz w:val="20"/>
                <w:szCs w:val="20"/>
                <w:color w:val="auto"/>
              </w:rPr>
            </w:pPr>
            <w:r>
              <w:rPr>
                <w:rFonts w:ascii="Arial" w:cs="Arial" w:eastAsia="Arial" w:hAnsi="Arial"/>
                <w:sz w:val="18"/>
                <w:szCs w:val="18"/>
                <w:color w:val="auto"/>
              </w:rPr>
              <w:t>Title:</w:t>
            </w:r>
          </w:p>
        </w:tc>
        <w:tc>
          <w:tcPr>
            <w:tcW w:w="62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29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2900" w:type="dxa"/>
            <w:vAlign w:val="bottom"/>
          </w:tcPr>
          <w:p>
            <w:pPr>
              <w:spacing w:after="0"/>
              <w:rPr>
                <w:sz w:val="20"/>
                <w:szCs w:val="20"/>
                <w:color w:val="auto"/>
              </w:rPr>
            </w:pPr>
            <w:r>
              <w:rPr>
                <w:rFonts w:ascii="Arial" w:cs="Arial" w:eastAsia="Arial" w:hAnsi="Arial"/>
                <w:sz w:val="18"/>
                <w:szCs w:val="18"/>
                <w:color w:val="auto"/>
              </w:rPr>
              <w:t>Date: May 12, 2020</w:t>
            </w:r>
          </w:p>
        </w:tc>
        <w:tc>
          <w:tcPr>
            <w:tcW w:w="2120" w:type="dxa"/>
            <w:vAlign w:val="bottom"/>
          </w:tcPr>
          <w:p>
            <w:pPr>
              <w:ind w:left="1460"/>
              <w:spacing w:after="0"/>
              <w:rPr>
                <w:sz w:val="20"/>
                <w:szCs w:val="20"/>
                <w:color w:val="auto"/>
              </w:rPr>
            </w:pPr>
            <w:r>
              <w:rPr>
                <w:rFonts w:ascii="Arial" w:cs="Arial" w:eastAsia="Arial" w:hAnsi="Arial"/>
                <w:sz w:val="18"/>
                <w:szCs w:val="18"/>
                <w:color w:val="auto"/>
              </w:rPr>
              <w:t>By:</w:t>
            </w:r>
          </w:p>
        </w:tc>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Obstler</w:t>
            </w:r>
          </w:p>
        </w:tc>
      </w:tr>
      <w:tr>
        <w:trPr>
          <w:trHeight w:val="209"/>
        </w:trPr>
        <w:tc>
          <w:tcPr>
            <w:tcW w:w="2900" w:type="dxa"/>
            <w:vAlign w:val="bottom"/>
          </w:tcPr>
          <w:p>
            <w:pPr>
              <w:spacing w:after="0"/>
              <w:rPr>
                <w:sz w:val="18"/>
                <w:szCs w:val="18"/>
                <w:color w:val="auto"/>
              </w:rPr>
            </w:pPr>
          </w:p>
        </w:tc>
        <w:tc>
          <w:tcPr>
            <w:tcW w:w="2120" w:type="dxa"/>
            <w:vAlign w:val="bottom"/>
          </w:tcPr>
          <w:p>
            <w:pPr>
              <w:ind w:left="1460"/>
              <w:spacing w:after="0"/>
              <w:rPr>
                <w:sz w:val="20"/>
                <w:szCs w:val="20"/>
                <w:color w:val="auto"/>
              </w:rPr>
            </w:pPr>
            <w:r>
              <w:rPr>
                <w:rFonts w:ascii="Arial" w:cs="Arial" w:eastAsia="Arial" w:hAnsi="Arial"/>
                <w:sz w:val="18"/>
                <w:szCs w:val="18"/>
                <w:color w:val="auto"/>
              </w:rPr>
              <w:t>Name:</w:t>
            </w:r>
          </w:p>
        </w:tc>
        <w:tc>
          <w:tcPr>
            <w:tcW w:w="6220" w:type="dxa"/>
            <w:vAlign w:val="bottom"/>
          </w:tcPr>
          <w:p>
            <w:pPr>
              <w:spacing w:after="0"/>
              <w:rPr>
                <w:sz w:val="20"/>
                <w:szCs w:val="20"/>
                <w:color w:val="auto"/>
              </w:rPr>
            </w:pPr>
            <w:r>
              <w:rPr>
                <w:rFonts w:ascii="Arial" w:cs="Arial" w:eastAsia="Arial" w:hAnsi="Arial"/>
                <w:sz w:val="18"/>
                <w:szCs w:val="18"/>
                <w:color w:val="auto"/>
              </w:rPr>
              <w:t>David Obstler</w:t>
            </w:r>
          </w:p>
        </w:tc>
      </w:tr>
      <w:tr>
        <w:trPr>
          <w:trHeight w:val="216"/>
        </w:trPr>
        <w:tc>
          <w:tcPr>
            <w:tcW w:w="2900" w:type="dxa"/>
            <w:vAlign w:val="bottom"/>
          </w:tcPr>
          <w:p>
            <w:pPr>
              <w:spacing w:after="0"/>
              <w:rPr>
                <w:sz w:val="18"/>
                <w:szCs w:val="18"/>
                <w:color w:val="auto"/>
              </w:rPr>
            </w:pPr>
          </w:p>
        </w:tc>
        <w:tc>
          <w:tcPr>
            <w:tcW w:w="2120" w:type="dxa"/>
            <w:vAlign w:val="bottom"/>
          </w:tcPr>
          <w:p>
            <w:pPr>
              <w:ind w:left="1460"/>
              <w:spacing w:after="0"/>
              <w:rPr>
                <w:sz w:val="20"/>
                <w:szCs w:val="20"/>
                <w:color w:val="auto"/>
              </w:rPr>
            </w:pPr>
            <w:r>
              <w:rPr>
                <w:rFonts w:ascii="Arial" w:cs="Arial" w:eastAsia="Arial" w:hAnsi="Arial"/>
                <w:sz w:val="18"/>
                <w:szCs w:val="18"/>
                <w:color w:val="auto"/>
              </w:rPr>
              <w:t>Title:</w:t>
            </w:r>
          </w:p>
        </w:tc>
        <w:tc>
          <w:tcPr>
            <w:tcW w:w="6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648"/>
        </w:trPr>
        <w:tc>
          <w:tcPr>
            <w:tcW w:w="2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220" w:type="dxa"/>
            <w:vAlign w:val="bottom"/>
          </w:tcPr>
          <w:p>
            <w:pPr>
              <w:ind w:left="52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Datadog, Inc. (the “registrant”) for the fiscal quarter ended March 31, 2020;</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May 12, 2020</w:t>
            </w:r>
          </w:p>
        </w:tc>
        <w:tc>
          <w:tcPr>
            <w:tcW w:w="2660" w:type="dxa"/>
            <w:vAlign w:val="bottom"/>
          </w:tcPr>
          <w:p>
            <w:pPr>
              <w:ind w:left="2380"/>
              <w:spacing w:after="0"/>
              <w:rPr>
                <w:sz w:val="20"/>
                <w:szCs w:val="20"/>
                <w:color w:val="auto"/>
              </w:rPr>
            </w:pPr>
            <w:r>
              <w:rPr>
                <w:rFonts w:ascii="Arial" w:cs="Arial" w:eastAsia="Arial" w:hAnsi="Arial"/>
                <w:sz w:val="18"/>
                <w:szCs w:val="18"/>
                <w:color w:val="auto"/>
                <w:w w:val="99"/>
              </w:rPr>
              <w:t>By:</w:t>
            </w:r>
          </w:p>
        </w:tc>
        <w:tc>
          <w:tcPr>
            <w:tcW w:w="40" w:type="dxa"/>
            <w:vAlign w:val="bottom"/>
          </w:tcPr>
          <w:p>
            <w:pPr>
              <w:spacing w:after="0"/>
              <w:rPr>
                <w:sz w:val="20"/>
                <w:szCs w:val="20"/>
                <w:color w:val="auto"/>
              </w:rPr>
            </w:pPr>
          </w:p>
        </w:tc>
        <w:tc>
          <w:tcPr>
            <w:tcW w:w="4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/s/ Olivier Pomel</w:t>
            </w:r>
          </w:p>
        </w:tc>
      </w:tr>
      <w:tr>
        <w:trPr>
          <w:trHeight w:val="191"/>
        </w:trPr>
        <w:tc>
          <w:tcPr>
            <w:tcW w:w="38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720" w:type="dxa"/>
            <w:vAlign w:val="bottom"/>
          </w:tcPr>
          <w:p>
            <w:pPr>
              <w:spacing w:after="0" w:line="191" w:lineRule="exact"/>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Olivier Pomel</w:t>
            </w:r>
          </w:p>
        </w:tc>
      </w:tr>
      <w:tr>
        <w:trPr>
          <w:trHeight w:val="220"/>
        </w:trPr>
        <w:tc>
          <w:tcPr>
            <w:tcW w:w="38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76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Chief Executive Officer and Director</w:t>
            </w:r>
          </w:p>
        </w:tc>
      </w:tr>
      <w:tr>
        <w:trPr>
          <w:trHeight w:val="230"/>
        </w:trPr>
        <w:tc>
          <w:tcPr>
            <w:tcW w:w="38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20" w:type="dxa"/>
            <w:vAlign w:val="bottom"/>
          </w:tcPr>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Datadog, Inc. (the “registrant”) for the fiscal quarter ended March 31, 2020;</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May 12, 2020</w:t>
            </w:r>
          </w:p>
        </w:tc>
        <w:tc>
          <w:tcPr>
            <w:tcW w:w="3200" w:type="dxa"/>
            <w:vAlign w:val="bottom"/>
            <w:gridSpan w:val="2"/>
          </w:tcPr>
          <w:p>
            <w:pPr>
              <w:ind w:left="2380"/>
              <w:spacing w:after="0"/>
              <w:rPr>
                <w:sz w:val="20"/>
                <w:szCs w:val="20"/>
                <w:color w:val="auto"/>
              </w:rPr>
            </w:pPr>
            <w:r>
              <w:rPr>
                <w:rFonts w:ascii="Arial" w:cs="Arial" w:eastAsia="Arial" w:hAnsi="Arial"/>
                <w:sz w:val="18"/>
                <w:szCs w:val="18"/>
                <w:color w:val="auto"/>
              </w:rPr>
              <w:t>By:</w:t>
            </w:r>
          </w:p>
        </w:tc>
        <w:tc>
          <w:tcPr>
            <w:tcW w:w="4220" w:type="dxa"/>
            <w:vAlign w:val="bottom"/>
          </w:tcPr>
          <w:p>
            <w:pPr>
              <w:ind w:left="60"/>
              <w:spacing w:after="0"/>
              <w:rPr>
                <w:sz w:val="20"/>
                <w:szCs w:val="20"/>
                <w:color w:val="auto"/>
              </w:rPr>
            </w:pPr>
            <w:r>
              <w:rPr>
                <w:rFonts w:ascii="Arial" w:cs="Arial" w:eastAsia="Arial" w:hAnsi="Arial"/>
                <w:sz w:val="18"/>
                <w:szCs w:val="18"/>
                <w:color w:val="auto"/>
              </w:rPr>
              <w:t>/s/ David Obstler</w:t>
            </w:r>
          </w:p>
        </w:tc>
      </w:tr>
      <w:tr>
        <w:trPr>
          <w:trHeight w:val="191"/>
        </w:trPr>
        <w:tc>
          <w:tcPr>
            <w:tcW w:w="38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7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David Obstler</w:t>
            </w:r>
          </w:p>
        </w:tc>
      </w:tr>
      <w:tr>
        <w:trPr>
          <w:trHeight w:val="220"/>
        </w:trPr>
        <w:tc>
          <w:tcPr>
            <w:tcW w:w="3820" w:type="dxa"/>
            <w:vAlign w:val="bottom"/>
          </w:tcPr>
          <w:p>
            <w:pPr>
              <w:spacing w:after="0"/>
              <w:rPr>
                <w:sz w:val="19"/>
                <w:szCs w:val="19"/>
                <w:color w:val="auto"/>
              </w:rPr>
            </w:pPr>
          </w:p>
        </w:tc>
        <w:tc>
          <w:tcPr>
            <w:tcW w:w="3200" w:type="dxa"/>
            <w:vAlign w:val="bottom"/>
            <w:gridSpan w:val="2"/>
          </w:tcPr>
          <w:p>
            <w:pPr>
              <w:ind w:left="2700"/>
              <w:spacing w:after="0"/>
              <w:rPr>
                <w:sz w:val="20"/>
                <w:szCs w:val="20"/>
                <w:color w:val="auto"/>
              </w:rPr>
            </w:pPr>
            <w:r>
              <w:rPr>
                <w:rFonts w:ascii="Arial" w:cs="Arial" w:eastAsia="Arial" w:hAnsi="Arial"/>
                <w:sz w:val="18"/>
                <w:szCs w:val="18"/>
                <w:b w:val="1"/>
                <w:bCs w:val="1"/>
                <w:color w:val="auto"/>
              </w:rPr>
              <w:t>Title:</w:t>
            </w:r>
          </w:p>
        </w:tc>
        <w:tc>
          <w:tcPr>
            <w:tcW w:w="42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30"/>
        </w:trPr>
        <w:tc>
          <w:tcPr>
            <w:tcW w:w="38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 Olivier Pomel, certify, pursuant to 18 U.S.C. Section 1350, as adopted pursuant to Section 906 of the Sarbanes-Oxley Act of 2002, that the Quarterly Report on Form 10-Q of Datadog, Inc. for the fiscal quarter ended March 31, 2020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14" w:lineRule="exact"/>
        <w:rPr>
          <w:sz w:val="20"/>
          <w:szCs w:val="20"/>
          <w:color w:val="auto"/>
        </w:rPr>
      </w:pPr>
    </w:p>
    <w:p>
      <w:pPr>
        <w:ind w:left="40"/>
        <w:spacing w:after="0"/>
        <w:tabs>
          <w:tab w:leader="none" w:pos="5640" w:val="left"/>
          <w:tab w:leader="none" w:pos="654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Olivier Pomel</w:t>
      </w:r>
    </w:p>
    <w:p>
      <w:pPr>
        <w:spacing w:after="0" w:line="6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color w:val="auto"/>
        </w:rPr>
        <w:t>Chief Executive Officer and Director</w:t>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5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 David Obstler, certify, pursuant to 18 U.S.C. Section 1350, as adopted pursuant to Section 906 of the Sarbanes-Oxley Act of 2002, that the Quarterly Report on Form 10-Q of Datadog, Inc. for the fiscal quarter ended March 31, 2020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14" w:lineRule="exact"/>
        <w:rPr>
          <w:sz w:val="20"/>
          <w:szCs w:val="20"/>
          <w:color w:val="auto"/>
        </w:rPr>
      </w:pPr>
    </w:p>
    <w:p>
      <w:pPr>
        <w:ind w:left="40"/>
        <w:spacing w:after="0"/>
        <w:tabs>
          <w:tab w:leader="none" w:pos="5640" w:val="left"/>
          <w:tab w:leader="none" w:pos="654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Obstler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David Obstler</w:t>
      </w:r>
    </w:p>
    <w:p>
      <w:pPr>
        <w:spacing w:after="0" w:line="6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color w:val="auto"/>
        </w:rPr>
        <w:t>Chief Financial Officer</w:t>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5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2"/>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lowerLetter"/>
      <w:start w:val="3"/>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3" Type="http://schemas.openxmlformats.org/officeDocument/2006/relationships/hyperlink" Target="http://www.sec.gov/Archives/edgar/data/1561550/000119312519252279/d803834dex31.htm" TargetMode="External"/><Relationship Id="rId84" Type="http://schemas.openxmlformats.org/officeDocument/2006/relationships/hyperlink" Target="http://www.sec.gov/Archives/edgar/data/1561550/000119312519227783/d745413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2020-05-12T15:15:18Z</dcterms:created>
  <dcterms:modified xsi:type="dcterms:W3CDTF">2020-05-12T15:15:18Z</dcterms:modified>
</cp:coreProperties>
</file>