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Le-Quoc Alexis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DATADOG,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620 8TH AVENUE, 45TH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Datadog,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DDOG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CTO</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03/02/2023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20,475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73.6954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201,623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required by the Issuer to sell only the number of shares of common stock necessary to cover applicable tax withholding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$73.690198 to $74.3518. The Reporting Person will provide upon request to the SEC, the Issuer or security holder of the Issuer,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Alexis Le-Quoc, by /s/ Ron A. </w:t>
      </w:r>
      <w:r>
        <w:rPr>
          <w:rFonts w:ascii="Times New Roman" w:cs="Times New Roman" w:eastAsia="Times New Roman" w:hAnsi="Times New Roman"/>
          <w:sz w:val="34"/>
          <w:szCs w:val="34"/>
          <w:color w:val="0000FF"/>
          <w:vertAlign w:val="subscript"/>
        </w:rPr>
        <w:t>03/06/2023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3984" TargetMode="External"/><Relationship Id="rId13"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2023-03-06T17:21:34Z</dcterms:created>
  <dcterms:modified xsi:type="dcterms:W3CDTF">2023-03-06T17:21:34Z</dcterms:modified>
</cp:coreProperties>
</file>