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7001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700151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Pomel Olivier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DATADOG,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620 8TH AVENUE, 45TH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Datadog,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DDOG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1" w:lineRule="exact"/>
        <w:rPr>
          <w:sz w:val="24"/>
          <w:szCs w:val="24"/>
          <w:color w:val="auto"/>
        </w:rPr>
      </w:pPr>
    </w:p>
    <w:p>
      <w:pPr>
        <w:sectPr>
          <w:pgSz w:w="11900" w:h="16838" w:orient="portrait"/>
          <w:cols w:equalWidth="0" w:num="3">
            <w:col w:w="3180" w:space="720"/>
            <w:col w:w="3103" w:space="720"/>
            <w:col w:w="3357"/>
          </w:cols>
          <w:pgMar w:left="460" w:top="217" w:right="359" w:bottom="0" w:gutter="0" w:footer="0" w:header="0"/>
          <w:type w:val="continuous"/>
        </w:sectPr>
      </w:pP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10018</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38" w:orient="portrait"/>
          <w:cols w:equalWidth="0" w:num="2">
            <w:col w:w="3740" w:space="16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22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480"/>
              <w:spacing w:after="0" w:line="128"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15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(D) (Instr. 3, 4 and 5)</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20" w:type="dxa"/>
            <w:vAlign w:val="bottom"/>
            <w:gridSpan w:val="2"/>
          </w:tcPr>
          <w:p>
            <w:pPr>
              <w:jc w:val="center"/>
              <w:ind w:left="305"/>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9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tcPr>
          <w:p>
            <w:pPr>
              <w:jc w:val="center"/>
              <w:ind w:left="325"/>
              <w:spacing w:after="0"/>
              <w:rPr>
                <w:sz w:val="20"/>
                <w:szCs w:val="20"/>
                <w:color w:val="auto"/>
              </w:rPr>
            </w:pPr>
            <w:r>
              <w:rPr>
                <w:rFonts w:ascii="Times New Roman" w:cs="Times New Roman" w:eastAsia="Times New Roman" w:hAnsi="Times New Roman"/>
                <w:sz w:val="17"/>
                <w:szCs w:val="17"/>
                <w:color w:val="0000FF"/>
                <w:w w:val="98"/>
              </w:rPr>
              <w:t>06/16/2026</w:t>
            </w: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jc w:val="center"/>
              <w:ind w:right="24"/>
              <w:spacing w:after="0"/>
              <w:rPr>
                <w:sz w:val="20"/>
                <w:szCs w:val="20"/>
                <w:color w:val="auto"/>
              </w:rPr>
            </w:pPr>
            <w:r>
              <w:rPr>
                <w:rFonts w:ascii="Times New Roman" w:cs="Times New Roman" w:eastAsia="Times New Roman" w:hAnsi="Times New Roman"/>
                <w:sz w:val="13"/>
                <w:szCs w:val="13"/>
                <w:color w:val="0000FF"/>
                <w:w w:val="91"/>
              </w:rPr>
              <w:t>C</w:t>
            </w:r>
          </w:p>
        </w:tc>
        <w:tc>
          <w:tcPr>
            <w:tcW w:w="3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84,698</w:t>
            </w:r>
          </w:p>
        </w:tc>
        <w:tc>
          <w:tcPr>
            <w:tcW w:w="42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320" w:type="dxa"/>
            <w:vAlign w:val="bottom"/>
          </w:tcPr>
          <w:p>
            <w:pPr>
              <w:spacing w:after="0"/>
              <w:rPr>
                <w:sz w:val="22"/>
                <w:szCs w:val="22"/>
                <w:color w:val="auto"/>
              </w:rPr>
            </w:pPr>
          </w:p>
        </w:tc>
        <w:tc>
          <w:tcPr>
            <w:tcW w:w="520" w:type="dxa"/>
            <w:vAlign w:val="bottom"/>
          </w:tcPr>
          <w:p>
            <w:pPr>
              <w:jc w:val="center"/>
              <w:ind w:right="59"/>
              <w:spacing w:after="0"/>
              <w:rPr>
                <w:sz w:val="20"/>
                <w:szCs w:val="20"/>
                <w:color w:val="auto"/>
              </w:rPr>
            </w:pPr>
            <w:r>
              <w:rPr>
                <w:rFonts w:ascii="Times New Roman" w:cs="Times New Roman" w:eastAsia="Times New Roman" w:hAnsi="Times New Roman"/>
                <w:sz w:val="11"/>
                <w:szCs w:val="11"/>
                <w:color w:val="008000"/>
                <w:w w:val="93"/>
              </w:rPr>
              <w:t>(1)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0000FF"/>
              </w:rPr>
              <w:t>697,445</w:t>
            </w:r>
          </w:p>
        </w:tc>
        <w:tc>
          <w:tcPr>
            <w:tcW w:w="280" w:type="dxa"/>
            <w:vAlign w:val="bottom"/>
          </w:tcPr>
          <w:p>
            <w:pPr>
              <w:spacing w:after="0"/>
              <w:rPr>
                <w:sz w:val="22"/>
                <w:szCs w:val="22"/>
                <w:color w:val="auto"/>
              </w:rPr>
            </w:pPr>
          </w:p>
        </w:tc>
        <w:tc>
          <w:tcPr>
            <w:tcW w:w="660" w:type="dxa"/>
            <w:vAlign w:val="bottom"/>
          </w:tcPr>
          <w:p>
            <w:pPr>
              <w:jc w:val="center"/>
              <w:ind w:right="30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25"/>
              <w:spacing w:after="0"/>
              <w:rPr>
                <w:sz w:val="20"/>
                <w:szCs w:val="20"/>
                <w:color w:val="auto"/>
              </w:rPr>
            </w:pPr>
            <w:r>
              <w:rPr>
                <w:rFonts w:ascii="Times New Roman" w:cs="Times New Roman" w:eastAsia="Times New Roman" w:hAnsi="Times New Roman"/>
                <w:sz w:val="17"/>
                <w:szCs w:val="17"/>
                <w:color w:val="0000FF"/>
                <w:w w:val="98"/>
              </w:rPr>
              <w:t>06/16/2026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ind w:right="2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1,400</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226.4336</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jc w:val="right"/>
              <w:ind w:right="261"/>
              <w:spacing w:after="0"/>
              <w:rPr>
                <w:sz w:val="20"/>
                <w:szCs w:val="20"/>
                <w:color w:val="auto"/>
              </w:rPr>
            </w:pPr>
            <w:r>
              <w:rPr>
                <w:rFonts w:ascii="Times New Roman" w:cs="Times New Roman" w:eastAsia="Times New Roman" w:hAnsi="Times New Roman"/>
                <w:sz w:val="17"/>
                <w:szCs w:val="17"/>
                <w:color w:val="0000FF"/>
              </w:rPr>
              <w:t>696,045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25"/>
              <w:spacing w:after="0"/>
              <w:rPr>
                <w:sz w:val="20"/>
                <w:szCs w:val="20"/>
                <w:color w:val="auto"/>
              </w:rPr>
            </w:pPr>
            <w:r>
              <w:rPr>
                <w:rFonts w:ascii="Times New Roman" w:cs="Times New Roman" w:eastAsia="Times New Roman" w:hAnsi="Times New Roman"/>
                <w:sz w:val="17"/>
                <w:szCs w:val="17"/>
                <w:color w:val="0000FF"/>
                <w:w w:val="98"/>
              </w:rPr>
              <w:t>06/16/2026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ind w:right="2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1,782</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227.3609</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jc w:val="right"/>
              <w:ind w:right="261"/>
              <w:spacing w:after="0"/>
              <w:rPr>
                <w:sz w:val="20"/>
                <w:szCs w:val="20"/>
                <w:color w:val="auto"/>
              </w:rPr>
            </w:pPr>
            <w:r>
              <w:rPr>
                <w:rFonts w:ascii="Times New Roman" w:cs="Times New Roman" w:eastAsia="Times New Roman" w:hAnsi="Times New Roman"/>
                <w:sz w:val="17"/>
                <w:szCs w:val="17"/>
                <w:color w:val="0000FF"/>
              </w:rPr>
              <w:t>694,263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25"/>
              <w:spacing w:after="0"/>
              <w:rPr>
                <w:sz w:val="20"/>
                <w:szCs w:val="20"/>
                <w:color w:val="auto"/>
              </w:rPr>
            </w:pPr>
            <w:r>
              <w:rPr>
                <w:rFonts w:ascii="Times New Roman" w:cs="Times New Roman" w:eastAsia="Times New Roman" w:hAnsi="Times New Roman"/>
                <w:sz w:val="17"/>
                <w:szCs w:val="17"/>
                <w:color w:val="0000FF"/>
                <w:w w:val="98"/>
              </w:rPr>
              <w:t>06/16/2026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ind w:right="2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1,500</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ind w:left="38"/>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228.276</w:t>
            </w:r>
            <w:r>
              <w:rPr>
                <w:rFonts w:ascii="Times New Roman" w:cs="Times New Roman" w:eastAsia="Times New Roman" w:hAnsi="Times New Roman"/>
                <w:sz w:val="21"/>
                <w:szCs w:val="21"/>
                <w:color w:val="008000"/>
                <w:w w:val="93"/>
                <w:vertAlign w:val="superscript"/>
              </w:rPr>
              <w:t>(5)</w:t>
            </w: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261"/>
              <w:spacing w:after="0"/>
              <w:rPr>
                <w:sz w:val="20"/>
                <w:szCs w:val="20"/>
                <w:color w:val="auto"/>
              </w:rPr>
            </w:pPr>
            <w:r>
              <w:rPr>
                <w:rFonts w:ascii="Times New Roman" w:cs="Times New Roman" w:eastAsia="Times New Roman" w:hAnsi="Times New Roman"/>
                <w:sz w:val="17"/>
                <w:szCs w:val="17"/>
                <w:color w:val="0000FF"/>
              </w:rPr>
              <w:t>692,763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25"/>
              <w:spacing w:after="0"/>
              <w:rPr>
                <w:sz w:val="20"/>
                <w:szCs w:val="20"/>
                <w:color w:val="auto"/>
              </w:rPr>
            </w:pPr>
            <w:r>
              <w:rPr>
                <w:rFonts w:ascii="Times New Roman" w:cs="Times New Roman" w:eastAsia="Times New Roman" w:hAnsi="Times New Roman"/>
                <w:sz w:val="17"/>
                <w:szCs w:val="17"/>
                <w:color w:val="0000FF"/>
                <w:w w:val="98"/>
              </w:rPr>
              <w:t>06/16/2026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ind w:right="2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2,085</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230.1986</w:t>
            </w:r>
            <w:r>
              <w:rPr>
                <w:rFonts w:ascii="Times New Roman" w:cs="Times New Roman" w:eastAsia="Times New Roman" w:hAnsi="Times New Roman"/>
                <w:sz w:val="21"/>
                <w:szCs w:val="21"/>
                <w:color w:val="008000"/>
                <w:w w:val="93"/>
                <w:vertAlign w:val="superscript"/>
              </w:rPr>
              <w:t>(6)</w:t>
            </w:r>
          </w:p>
        </w:tc>
        <w:tc>
          <w:tcPr>
            <w:tcW w:w="1160" w:type="dxa"/>
            <w:vAlign w:val="bottom"/>
            <w:tcBorders>
              <w:bottom w:val="single" w:sz="8" w:color="2C2C2C"/>
            </w:tcBorders>
            <w:gridSpan w:val="2"/>
          </w:tcPr>
          <w:p>
            <w:pPr>
              <w:jc w:val="right"/>
              <w:ind w:right="261"/>
              <w:spacing w:after="0"/>
              <w:rPr>
                <w:sz w:val="20"/>
                <w:szCs w:val="20"/>
                <w:color w:val="auto"/>
              </w:rPr>
            </w:pPr>
            <w:r>
              <w:rPr>
                <w:rFonts w:ascii="Times New Roman" w:cs="Times New Roman" w:eastAsia="Times New Roman" w:hAnsi="Times New Roman"/>
                <w:sz w:val="17"/>
                <w:szCs w:val="17"/>
                <w:color w:val="0000FF"/>
              </w:rPr>
              <w:t>690,678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25"/>
              <w:spacing w:after="0"/>
              <w:rPr>
                <w:sz w:val="20"/>
                <w:szCs w:val="20"/>
                <w:color w:val="auto"/>
              </w:rPr>
            </w:pPr>
            <w:r>
              <w:rPr>
                <w:rFonts w:ascii="Times New Roman" w:cs="Times New Roman" w:eastAsia="Times New Roman" w:hAnsi="Times New Roman"/>
                <w:sz w:val="17"/>
                <w:szCs w:val="17"/>
                <w:color w:val="0000FF"/>
                <w:w w:val="98"/>
              </w:rPr>
              <w:t>06/16/2026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ind w:right="2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25,560</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231.1055</w:t>
            </w:r>
            <w:r>
              <w:rPr>
                <w:rFonts w:ascii="Times New Roman" w:cs="Times New Roman" w:eastAsia="Times New Roman" w:hAnsi="Times New Roman"/>
                <w:sz w:val="21"/>
                <w:szCs w:val="21"/>
                <w:color w:val="008000"/>
                <w:w w:val="93"/>
                <w:vertAlign w:val="superscript"/>
              </w:rPr>
              <w:t>(7)</w:t>
            </w:r>
          </w:p>
        </w:tc>
        <w:tc>
          <w:tcPr>
            <w:tcW w:w="1160" w:type="dxa"/>
            <w:vAlign w:val="bottom"/>
            <w:tcBorders>
              <w:bottom w:val="single" w:sz="8" w:color="2C2C2C"/>
            </w:tcBorders>
            <w:gridSpan w:val="2"/>
          </w:tcPr>
          <w:p>
            <w:pPr>
              <w:jc w:val="right"/>
              <w:ind w:right="261"/>
              <w:spacing w:after="0"/>
              <w:rPr>
                <w:sz w:val="20"/>
                <w:szCs w:val="20"/>
                <w:color w:val="auto"/>
              </w:rPr>
            </w:pPr>
            <w:r>
              <w:rPr>
                <w:rFonts w:ascii="Times New Roman" w:cs="Times New Roman" w:eastAsia="Times New Roman" w:hAnsi="Times New Roman"/>
                <w:sz w:val="17"/>
                <w:szCs w:val="17"/>
                <w:color w:val="0000FF"/>
              </w:rPr>
              <w:t>665,118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25"/>
              <w:spacing w:after="0"/>
              <w:rPr>
                <w:sz w:val="20"/>
                <w:szCs w:val="20"/>
                <w:color w:val="auto"/>
              </w:rPr>
            </w:pPr>
            <w:r>
              <w:rPr>
                <w:rFonts w:ascii="Times New Roman" w:cs="Times New Roman" w:eastAsia="Times New Roman" w:hAnsi="Times New Roman"/>
                <w:sz w:val="17"/>
                <w:szCs w:val="17"/>
                <w:color w:val="0000FF"/>
                <w:w w:val="98"/>
              </w:rPr>
              <w:t>06/16/2026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ind w:right="2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9,881</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232.2246</w:t>
            </w:r>
            <w:r>
              <w:rPr>
                <w:rFonts w:ascii="Times New Roman" w:cs="Times New Roman" w:eastAsia="Times New Roman" w:hAnsi="Times New Roman"/>
                <w:sz w:val="21"/>
                <w:szCs w:val="21"/>
                <w:color w:val="008000"/>
                <w:w w:val="93"/>
                <w:vertAlign w:val="superscript"/>
              </w:rPr>
              <w:t>(8)</w:t>
            </w:r>
          </w:p>
        </w:tc>
        <w:tc>
          <w:tcPr>
            <w:tcW w:w="1160" w:type="dxa"/>
            <w:vAlign w:val="bottom"/>
            <w:tcBorders>
              <w:bottom w:val="single" w:sz="8" w:color="2C2C2C"/>
            </w:tcBorders>
            <w:gridSpan w:val="2"/>
          </w:tcPr>
          <w:p>
            <w:pPr>
              <w:jc w:val="right"/>
              <w:ind w:right="261"/>
              <w:spacing w:after="0"/>
              <w:rPr>
                <w:sz w:val="20"/>
                <w:szCs w:val="20"/>
                <w:color w:val="auto"/>
              </w:rPr>
            </w:pPr>
            <w:r>
              <w:rPr>
                <w:rFonts w:ascii="Times New Roman" w:cs="Times New Roman" w:eastAsia="Times New Roman" w:hAnsi="Times New Roman"/>
                <w:sz w:val="17"/>
                <w:szCs w:val="17"/>
                <w:color w:val="0000FF"/>
              </w:rPr>
              <w:t>655,237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25"/>
              <w:spacing w:after="0"/>
              <w:rPr>
                <w:sz w:val="20"/>
                <w:szCs w:val="20"/>
                <w:color w:val="auto"/>
              </w:rPr>
            </w:pPr>
            <w:r>
              <w:rPr>
                <w:rFonts w:ascii="Times New Roman" w:cs="Times New Roman" w:eastAsia="Times New Roman" w:hAnsi="Times New Roman"/>
                <w:sz w:val="17"/>
                <w:szCs w:val="17"/>
                <w:color w:val="0000FF"/>
                <w:w w:val="98"/>
              </w:rPr>
              <w:t>06/16/2026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ind w:right="2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20,806</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233.1146</w:t>
            </w:r>
            <w:r>
              <w:rPr>
                <w:rFonts w:ascii="Times New Roman" w:cs="Times New Roman" w:eastAsia="Times New Roman" w:hAnsi="Times New Roman"/>
                <w:sz w:val="21"/>
                <w:szCs w:val="21"/>
                <w:color w:val="008000"/>
                <w:w w:val="93"/>
                <w:vertAlign w:val="superscript"/>
              </w:rPr>
              <w:t>(9)</w:t>
            </w:r>
          </w:p>
        </w:tc>
        <w:tc>
          <w:tcPr>
            <w:tcW w:w="1160" w:type="dxa"/>
            <w:vAlign w:val="bottom"/>
            <w:tcBorders>
              <w:bottom w:val="single" w:sz="8" w:color="2C2C2C"/>
            </w:tcBorders>
            <w:gridSpan w:val="2"/>
          </w:tcPr>
          <w:p>
            <w:pPr>
              <w:jc w:val="right"/>
              <w:ind w:right="261"/>
              <w:spacing w:after="0"/>
              <w:rPr>
                <w:sz w:val="20"/>
                <w:szCs w:val="20"/>
                <w:color w:val="auto"/>
              </w:rPr>
            </w:pPr>
            <w:r>
              <w:rPr>
                <w:rFonts w:ascii="Times New Roman" w:cs="Times New Roman" w:eastAsia="Times New Roman" w:hAnsi="Times New Roman"/>
                <w:sz w:val="17"/>
                <w:szCs w:val="17"/>
                <w:color w:val="0000FF"/>
              </w:rPr>
              <w:t>634,431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25"/>
              <w:spacing w:after="0"/>
              <w:rPr>
                <w:sz w:val="20"/>
                <w:szCs w:val="20"/>
                <w:color w:val="auto"/>
              </w:rPr>
            </w:pPr>
            <w:r>
              <w:rPr>
                <w:rFonts w:ascii="Times New Roman" w:cs="Times New Roman" w:eastAsia="Times New Roman" w:hAnsi="Times New Roman"/>
                <w:sz w:val="17"/>
                <w:szCs w:val="17"/>
                <w:color w:val="0000FF"/>
                <w:w w:val="98"/>
              </w:rPr>
              <w:t>06/16/2026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ind w:right="2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18,207</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234.0217</w:t>
            </w:r>
            <w:r>
              <w:rPr>
                <w:rFonts w:ascii="Times New Roman" w:cs="Times New Roman" w:eastAsia="Times New Roman" w:hAnsi="Times New Roman"/>
                <w:sz w:val="21"/>
                <w:szCs w:val="21"/>
                <w:color w:val="008000"/>
                <w:w w:val="93"/>
                <w:vertAlign w:val="superscript"/>
              </w:rPr>
              <w:t>(10)</w:t>
            </w:r>
          </w:p>
        </w:tc>
        <w:tc>
          <w:tcPr>
            <w:tcW w:w="1160" w:type="dxa"/>
            <w:vAlign w:val="bottom"/>
            <w:tcBorders>
              <w:bottom w:val="single" w:sz="8" w:color="2C2C2C"/>
            </w:tcBorders>
            <w:gridSpan w:val="2"/>
          </w:tcPr>
          <w:p>
            <w:pPr>
              <w:jc w:val="right"/>
              <w:ind w:right="261"/>
              <w:spacing w:after="0"/>
              <w:rPr>
                <w:sz w:val="20"/>
                <w:szCs w:val="20"/>
                <w:color w:val="auto"/>
              </w:rPr>
            </w:pPr>
            <w:r>
              <w:rPr>
                <w:rFonts w:ascii="Times New Roman" w:cs="Times New Roman" w:eastAsia="Times New Roman" w:hAnsi="Times New Roman"/>
                <w:sz w:val="17"/>
                <w:szCs w:val="17"/>
                <w:color w:val="0000FF"/>
              </w:rPr>
              <w:t>616,224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25"/>
              <w:spacing w:after="0"/>
              <w:rPr>
                <w:sz w:val="20"/>
                <w:szCs w:val="20"/>
                <w:color w:val="auto"/>
              </w:rPr>
            </w:pPr>
            <w:r>
              <w:rPr>
                <w:rFonts w:ascii="Times New Roman" w:cs="Times New Roman" w:eastAsia="Times New Roman" w:hAnsi="Times New Roman"/>
                <w:sz w:val="17"/>
                <w:szCs w:val="17"/>
                <w:color w:val="0000FF"/>
                <w:w w:val="98"/>
              </w:rPr>
              <w:t>06/16/2026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ind w:right="2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2,272</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235.0179</w:t>
            </w:r>
            <w:r>
              <w:rPr>
                <w:rFonts w:ascii="Times New Roman" w:cs="Times New Roman" w:eastAsia="Times New Roman" w:hAnsi="Times New Roman"/>
                <w:sz w:val="21"/>
                <w:szCs w:val="21"/>
                <w:color w:val="008000"/>
                <w:w w:val="93"/>
                <w:vertAlign w:val="superscript"/>
              </w:rPr>
              <w:t>(11)</w:t>
            </w:r>
          </w:p>
        </w:tc>
        <w:tc>
          <w:tcPr>
            <w:tcW w:w="1160" w:type="dxa"/>
            <w:vAlign w:val="bottom"/>
            <w:tcBorders>
              <w:bottom w:val="single" w:sz="8" w:color="2C2C2C"/>
            </w:tcBorders>
            <w:gridSpan w:val="2"/>
          </w:tcPr>
          <w:p>
            <w:pPr>
              <w:jc w:val="right"/>
              <w:ind w:right="261"/>
              <w:spacing w:after="0"/>
              <w:rPr>
                <w:sz w:val="20"/>
                <w:szCs w:val="20"/>
                <w:color w:val="auto"/>
              </w:rPr>
            </w:pPr>
            <w:r>
              <w:rPr>
                <w:rFonts w:ascii="Times New Roman" w:cs="Times New Roman" w:eastAsia="Times New Roman" w:hAnsi="Times New Roman"/>
                <w:sz w:val="17"/>
                <w:szCs w:val="17"/>
                <w:color w:val="0000FF"/>
              </w:rPr>
              <w:t>613,952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25"/>
              <w:spacing w:after="0"/>
              <w:rPr>
                <w:sz w:val="20"/>
                <w:szCs w:val="20"/>
                <w:color w:val="auto"/>
              </w:rPr>
            </w:pPr>
            <w:r>
              <w:rPr>
                <w:rFonts w:ascii="Times New Roman" w:cs="Times New Roman" w:eastAsia="Times New Roman" w:hAnsi="Times New Roman"/>
                <w:sz w:val="17"/>
                <w:szCs w:val="17"/>
                <w:color w:val="0000FF"/>
                <w:w w:val="98"/>
              </w:rPr>
              <w:t>06/16/2026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ind w:right="2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1,205</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235.9447</w:t>
            </w:r>
            <w:r>
              <w:rPr>
                <w:rFonts w:ascii="Times New Roman" w:cs="Times New Roman" w:eastAsia="Times New Roman" w:hAnsi="Times New Roman"/>
                <w:sz w:val="21"/>
                <w:szCs w:val="21"/>
                <w:color w:val="008000"/>
                <w:w w:val="93"/>
                <w:vertAlign w:val="superscript"/>
              </w:rPr>
              <w:t>(12)</w:t>
            </w:r>
          </w:p>
        </w:tc>
        <w:tc>
          <w:tcPr>
            <w:tcW w:w="1160" w:type="dxa"/>
            <w:vAlign w:val="bottom"/>
            <w:tcBorders>
              <w:bottom w:val="single" w:sz="8" w:color="2C2C2C"/>
            </w:tcBorders>
            <w:gridSpan w:val="2"/>
          </w:tcPr>
          <w:p>
            <w:pPr>
              <w:jc w:val="right"/>
              <w:ind w:right="261"/>
              <w:spacing w:after="0"/>
              <w:rPr>
                <w:sz w:val="20"/>
                <w:szCs w:val="20"/>
                <w:color w:val="auto"/>
              </w:rPr>
            </w:pPr>
            <w:r>
              <w:rPr>
                <w:rFonts w:ascii="Times New Roman" w:cs="Times New Roman" w:eastAsia="Times New Roman" w:hAnsi="Times New Roman"/>
                <w:sz w:val="17"/>
                <w:szCs w:val="17"/>
                <w:color w:val="0000FF"/>
              </w:rPr>
              <w:t>612,747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 Amount</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306"/>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80"/>
              <w:spacing w:after="0" w:line="129"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of Securities</w:t>
            </w: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8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3, 4 and 5)</w:t>
            </w: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2"/>
              </w:rPr>
              <w:t>Date</w:t>
            </w:r>
          </w:p>
        </w:tc>
        <w:tc>
          <w:tcPr>
            <w:tcW w:w="300" w:type="dxa"/>
            <w:vAlign w:val="bottom"/>
          </w:tcPr>
          <w:p>
            <w:pPr>
              <w:spacing w:after="0"/>
              <w:rPr>
                <w:sz w:val="11"/>
                <w:szCs w:val="11"/>
                <w:color w:val="auto"/>
              </w:rPr>
            </w:pPr>
          </w:p>
        </w:tc>
        <w:tc>
          <w:tcPr>
            <w:tcW w:w="820" w:type="dxa"/>
            <w:vAlign w:val="bottom"/>
          </w:tcPr>
          <w:p>
            <w:pPr>
              <w:jc w:val="center"/>
              <w:ind w:left="124"/>
              <w:spacing w:after="0" w:line="129"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3"/>
          </w:tcPr>
          <w:p>
            <w:pPr>
              <w:ind w:left="18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32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(1)</w:t>
            </w:r>
          </w:p>
        </w:tc>
        <w:tc>
          <w:tcPr>
            <w:tcW w:w="820" w:type="dxa"/>
            <w:vAlign w:val="bottom"/>
            <w:vMerge w:val="restart"/>
          </w:tcPr>
          <w:p>
            <w:pPr>
              <w:jc w:val="right"/>
              <w:ind w:right="164"/>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84,698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12"/>
                <w:szCs w:val="12"/>
                <w:color w:val="auto"/>
              </w:rPr>
            </w:pPr>
          </w:p>
        </w:tc>
        <w:tc>
          <w:tcPr>
            <w:tcW w:w="3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C</w:t>
            </w:r>
          </w:p>
        </w:tc>
        <w:tc>
          <w:tcPr>
            <w:tcW w:w="420" w:type="dxa"/>
            <w:vAlign w:val="bottom"/>
          </w:tcPr>
          <w:p>
            <w:pPr>
              <w:spacing w:after="0"/>
              <w:rPr>
                <w:sz w:val="12"/>
                <w:szCs w:val="12"/>
                <w:color w:val="auto"/>
              </w:rPr>
            </w:pPr>
          </w:p>
        </w:tc>
        <w:tc>
          <w:tcPr>
            <w:tcW w:w="1120" w:type="dxa"/>
            <w:vAlign w:val="bottom"/>
            <w:gridSpan w:val="3"/>
          </w:tcPr>
          <w:p>
            <w:pPr>
              <w:ind w:left="380"/>
              <w:spacing w:after="0" w:line="142" w:lineRule="exact"/>
              <w:rPr>
                <w:sz w:val="20"/>
                <w:szCs w:val="20"/>
                <w:color w:val="auto"/>
              </w:rPr>
            </w:pPr>
            <w:r>
              <w:rPr>
                <w:rFonts w:ascii="Times New Roman" w:cs="Times New Roman" w:eastAsia="Times New Roman" w:hAnsi="Times New Roman"/>
                <w:sz w:val="13"/>
                <w:szCs w:val="13"/>
                <w:color w:val="0000FF"/>
              </w:rPr>
              <w:t>84,698</w:t>
            </w:r>
          </w:p>
        </w:tc>
        <w:tc>
          <w:tcPr>
            <w:tcW w:w="3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3"/>
                <w:szCs w:val="13"/>
                <w:color w:val="0000FF"/>
              </w:rPr>
              <w:t>8,946,913</w:t>
            </w: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80" w:firstLine="2"/>
        <w:spacing w:after="0" w:line="23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pursuant to a 10b5-1 plan dated December 15, 2025.</w:t>
      </w:r>
    </w:p>
    <w:p>
      <w:pPr>
        <w:spacing w:after="0" w:line="44" w:lineRule="exact"/>
        <w:rPr>
          <w:rFonts w:ascii="Times New Roman" w:cs="Times New Roman" w:eastAsia="Times New Roman" w:hAnsi="Times New Roman"/>
          <w:sz w:val="13"/>
          <w:szCs w:val="13"/>
          <w:color w:val="008000"/>
        </w:rPr>
      </w:pPr>
    </w:p>
    <w:p>
      <w:pPr>
        <w:ind w:left="40" w:right="3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$225.90 to $226.89. The Reporting Person will provide upon request to the SEC, the Issuer or security holder of the Issuer,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3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$226.91 to $227.83. The Reporting Person will provide upon request to the SEC, the Issuer or security holder of the Issuer,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3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$228.05 to $229.04. The Reporting Person will provide upon request to the SEC, the Issuer or security holder of the Issuer,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40" w:right="3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$229.59 to $230.56. The Reporting Person will provide upon request to the SEC, the Issuer or security holder of the Issuer,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$230.63 to $231.62. The Reporting Person will provide upon request to the SEC, the Issuer or security holder of</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the Issuer, full information regarding the number of shares sold at each separate price.</w:t>
      </w:r>
    </w:p>
    <w:p>
      <w:pPr>
        <w:spacing w:after="0" w:line="44" w:lineRule="exact"/>
        <w:rPr>
          <w:sz w:val="20"/>
          <w:szCs w:val="20"/>
          <w:color w:val="auto"/>
        </w:rPr>
      </w:pPr>
    </w:p>
    <w:p>
      <w:pPr>
        <w:ind w:right="60" w:firstLine="2"/>
        <w:spacing w:after="0" w:line="256"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$231.63 to $232.62. The Reporting Person will provide upon request to the SEC, the Issuer or security holder of the Issuer,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right="60" w:firstLine="2"/>
        <w:spacing w:after="0" w:line="256"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$232.63 to $233.61. The Reporting Person will provide upon request to the SEC, the Issuer or security holder of the Issuer,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firstLine="2"/>
        <w:spacing w:after="0" w:line="256" w:lineRule="auto"/>
        <w:tabs>
          <w:tab w:leader="none" w:pos="194"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$233.63 to $234.61. The Reporting Person will provide upon request to the SEC, the Issuer or security holder of the Issuer,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firstLine="2"/>
        <w:spacing w:after="0" w:line="256" w:lineRule="auto"/>
        <w:tabs>
          <w:tab w:leader="none" w:pos="18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$234.63 to $235.61. The Reporting Person will provide upon request to the SEC, the Issuer or security holder of the Issuer, full information regarding the number of shares sold at each separate price.</w:t>
      </w:r>
    </w:p>
    <w:p>
      <w:pPr>
        <w:spacing w:after="0" w:line="16" w:lineRule="exact"/>
        <w:rPr>
          <w:rFonts w:ascii="Times New Roman" w:cs="Times New Roman" w:eastAsia="Times New Roman" w:hAnsi="Times New Roman"/>
          <w:sz w:val="13"/>
          <w:szCs w:val="13"/>
          <w:color w:val="008000"/>
        </w:rPr>
      </w:pPr>
    </w:p>
    <w:p>
      <w:pPr>
        <w:ind w:firstLine="2"/>
        <w:spacing w:after="0" w:line="256" w:lineRule="auto"/>
        <w:tabs>
          <w:tab w:leader="none" w:pos="194"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$235.65 to $236.33. The Reporting Person will provide upon request to the SEC, the Issuer or security holder of the Issuer, full information regarding the number of shares sold at each separate price.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Kerry Acocella,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06/18/2026</w:t>
            </w:r>
          </w:p>
        </w:tc>
        <w:tc>
          <w:tcPr>
            <w:tcW w:w="0" w:type="dxa"/>
            <w:vAlign w:val="bottom"/>
          </w:tcPr>
          <w:p>
            <w:pPr>
              <w:spacing w:after="0"/>
              <w:rPr>
                <w:sz w:val="1"/>
                <w:szCs w:val="1"/>
                <w:color w:val="auto"/>
              </w:rPr>
            </w:pPr>
          </w:p>
        </w:tc>
      </w:tr>
      <w:tr>
        <w:trPr>
          <w:trHeight w:val="88"/>
        </w:trPr>
        <w:tc>
          <w:tcPr>
            <w:tcW w:w="480" w:type="dxa"/>
            <w:vAlign w:val="bottom"/>
            <w:tcBorders>
              <w:top w:val="single" w:sz="8" w:color="auto"/>
              <w:bottom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in-Fact</w:t>
            </w:r>
          </w:p>
        </w:tc>
        <w:tc>
          <w:tcPr>
            <w:tcW w:w="1480" w:type="dxa"/>
            <w:vAlign w:val="bottom"/>
            <w:tcBorders>
              <w:top w:val="single" w:sz="8" w:color="auto"/>
              <w:bottom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480" w:type="dxa"/>
            <w:vAlign w:val="bottom"/>
            <w:tcBorders>
              <w:bottom w:val="single" w:sz="8" w:color="auto"/>
            </w:tcBorders>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340" w:firstLine="2"/>
        <w:spacing w:after="0" w:line="336"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3990" TargetMode="External"/><Relationship Id="rId14" Type="http://schemas.openxmlformats.org/officeDocument/2006/relationships/hyperlink" Target="http://www.sec.gov/cgi-bin/browse-edgar?action=getcompany&amp;CIK=0001561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2026-06-18T16:17:05Z</dcterms:created>
  <dcterms:modified xsi:type="dcterms:W3CDTF">2026-06-18T16:17:05Z</dcterms:modified>
</cp:coreProperties>
</file>