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Arial" w:cs="Arial" w:eastAsia="Arial" w:hAnsi="Arial"/>
                <w:sz w:val="18"/>
                <w:szCs w:val="18"/>
                <w:b w:val="1"/>
                <w:bCs w:val="1"/>
                <w:color w:val="auto"/>
                <w:w w:val="93"/>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13"/>
        </w:trPr>
        <w:tc>
          <w:tcPr>
            <w:tcW w:w="134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Arial" w:cs="Arial" w:eastAsia="Arial" w:hAnsi="Arial"/>
                <w:sz w:val="18"/>
                <w:szCs w:val="18"/>
                <w:b w:val="1"/>
                <w:bCs w:val="1"/>
                <w:color w:val="auto"/>
                <w:w w:val="91"/>
              </w:rPr>
              <w:t>Commission File Number: 001-39051</w:t>
            </w:r>
          </w:p>
        </w:tc>
      </w:tr>
      <w:tr>
        <w:trPr>
          <w:trHeight w:val="234"/>
        </w:trPr>
        <w:tc>
          <w:tcPr>
            <w:tcW w:w="134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Arial" w:cs="Arial" w:eastAsia="Arial" w:hAnsi="Arial"/>
                <w:sz w:val="18"/>
                <w:szCs w:val="18"/>
                <w:b w:val="1"/>
                <w:bCs w:val="1"/>
                <w:color w:val="auto"/>
                <w:w w:val="89"/>
              </w:rPr>
              <w:t>_________________________________________________________</w:t>
            </w:r>
          </w:p>
        </w:tc>
      </w:tr>
      <w:tr>
        <w:trPr>
          <w:trHeight w:val="477"/>
        </w:trPr>
        <w:tc>
          <w:tcPr>
            <w:tcW w:w="134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Arial" w:cs="Arial" w:eastAsia="Arial" w:hAnsi="Arial"/>
                <w:sz w:val="36"/>
                <w:szCs w:val="36"/>
                <w:b w:val="1"/>
                <w:bCs w:val="1"/>
                <w:color w:val="auto"/>
                <w:w w:val="91"/>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4"/>
        </w:trPr>
        <w:tc>
          <w:tcPr>
            <w:tcW w:w="134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230"/>
        </w:trPr>
        <w:tc>
          <w:tcPr>
            <w:tcW w:w="134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Arial" w:cs="Arial" w:eastAsia="Arial" w:hAnsi="Arial"/>
                <w:sz w:val="18"/>
                <w:szCs w:val="18"/>
                <w:color w:val="auto"/>
                <w:w w:val="89"/>
              </w:rPr>
              <w:t>_________________________________________________________</w:t>
            </w:r>
          </w:p>
        </w:tc>
      </w:tr>
      <w:tr>
        <w:trPr>
          <w:trHeight w:val="365"/>
        </w:trPr>
        <w:tc>
          <w:tcPr>
            <w:tcW w:w="1340" w:type="dxa"/>
            <w:vAlign w:val="bottom"/>
          </w:tcPr>
          <w:p>
            <w:pPr>
              <w:spacing w:after="0"/>
              <w:rPr>
                <w:sz w:val="24"/>
                <w:szCs w:val="24"/>
                <w:color w:val="auto"/>
              </w:rPr>
            </w:pPr>
          </w:p>
        </w:tc>
        <w:tc>
          <w:tcPr>
            <w:tcW w:w="438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93"/>
              </w:rPr>
              <w:t>Delaware</w:t>
            </w:r>
          </w:p>
        </w:tc>
        <w:tc>
          <w:tcPr>
            <w:tcW w:w="292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27-2825503</w:t>
            </w:r>
          </w:p>
        </w:tc>
      </w:tr>
      <w:tr>
        <w:trPr>
          <w:trHeight w:val="193"/>
        </w:trPr>
        <w:tc>
          <w:tcPr>
            <w:tcW w:w="572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2"/>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72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3"/>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Arial" w:cs="Arial" w:eastAsia="Arial" w:hAnsi="Arial"/>
                <w:sz w:val="14"/>
                <w:szCs w:val="14"/>
                <w:b w:val="1"/>
                <w:bCs w:val="1"/>
                <w:color w:val="auto"/>
                <w:w w:val="94"/>
              </w:rPr>
              <w:t>Identification No.)</w:t>
            </w:r>
          </w:p>
        </w:tc>
      </w:tr>
      <w:tr>
        <w:trPr>
          <w:trHeight w:val="282"/>
        </w:trPr>
        <w:tc>
          <w:tcPr>
            <w:tcW w:w="1340" w:type="dxa"/>
            <w:vAlign w:val="bottom"/>
          </w:tcPr>
          <w:p>
            <w:pPr>
              <w:jc w:val="center"/>
              <w:ind w:right="61"/>
              <w:spacing w:after="0"/>
              <w:rPr>
                <w:sz w:val="20"/>
                <w:szCs w:val="20"/>
                <w:color w:val="auto"/>
              </w:rPr>
            </w:pPr>
            <w:r>
              <w:rPr>
                <w:rFonts w:ascii="Arial" w:cs="Arial" w:eastAsia="Arial" w:hAnsi="Arial"/>
                <w:sz w:val="18"/>
                <w:szCs w:val="18"/>
                <w:b w:val="1"/>
                <w:bCs w:val="1"/>
                <w:color w:val="auto"/>
                <w:w w:val="87"/>
              </w:rPr>
              <w:t>620 8th Avenue,</w:t>
            </w:r>
          </w:p>
        </w:tc>
        <w:tc>
          <w:tcPr>
            <w:tcW w:w="4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40" w:type="dxa"/>
            <w:vAlign w:val="bottom"/>
          </w:tcPr>
          <w:p>
            <w:pPr>
              <w:jc w:val="center"/>
              <w:ind w:right="61"/>
              <w:spacing w:after="0"/>
              <w:rPr>
                <w:sz w:val="20"/>
                <w:szCs w:val="20"/>
                <w:color w:val="auto"/>
              </w:rPr>
            </w:pPr>
            <w:r>
              <w:rPr>
                <w:rFonts w:ascii="Arial" w:cs="Arial" w:eastAsia="Arial" w:hAnsi="Arial"/>
                <w:sz w:val="18"/>
                <w:szCs w:val="18"/>
                <w:b w:val="1"/>
                <w:bCs w:val="1"/>
                <w:color w:val="auto"/>
                <w:w w:val="91"/>
              </w:rPr>
              <w:t>New York,</w:t>
            </w:r>
          </w:p>
        </w:tc>
        <w:tc>
          <w:tcPr>
            <w:tcW w:w="4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NY</w:t>
            </w:r>
          </w:p>
        </w:tc>
        <w:tc>
          <w:tcPr>
            <w:tcW w:w="2920" w:type="dxa"/>
            <w:vAlign w:val="bottom"/>
            <w:gridSpan w:val="3"/>
          </w:tcPr>
          <w:p>
            <w:pPr>
              <w:jc w:val="right"/>
              <w:ind w:right="268"/>
              <w:spacing w:after="0"/>
              <w:rPr>
                <w:sz w:val="20"/>
                <w:szCs w:val="20"/>
                <w:color w:val="auto"/>
              </w:rPr>
            </w:pPr>
            <w:r>
              <w:rPr>
                <w:rFonts w:ascii="Arial" w:cs="Arial" w:eastAsia="Arial" w:hAnsi="Arial"/>
                <w:sz w:val="18"/>
                <w:szCs w:val="18"/>
                <w:b w:val="1"/>
                <w:bCs w:val="1"/>
                <w:color w:val="auto"/>
              </w:rPr>
              <w:t>10018</w:t>
            </w:r>
          </w:p>
        </w:tc>
      </w:tr>
      <w:tr>
        <w:trPr>
          <w:trHeight w:val="218"/>
        </w:trPr>
        <w:tc>
          <w:tcPr>
            <w:tcW w:w="572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tcPr>
          <w:p>
            <w:pPr>
              <w:jc w:val="center"/>
              <w:ind w:left="988"/>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(866) 329-4466</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DDOG</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21"/>
        </w:trPr>
        <w:tc>
          <w:tcPr>
            <w:tcW w:w="3760" w:type="dxa"/>
            <w:vAlign w:val="bottom"/>
            <w:tcBorders>
              <w:left w:val="single" w:sz="8" w:color="auto"/>
              <w:right w:val="single" w:sz="8" w:color="auto"/>
            </w:tcBorders>
            <w:vMerge w:val="continue"/>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343"/>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780"/>
              <w:spacing w:after="0"/>
              <w:rPr>
                <w:sz w:val="20"/>
                <w:szCs w:val="20"/>
                <w:color w:val="auto"/>
              </w:rPr>
            </w:pPr>
            <w:r>
              <w:rPr>
                <w:rFonts w:ascii="Arial" w:cs="Arial" w:eastAsia="Arial" w:hAnsi="Arial"/>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7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6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As of August 2, 2023, there were 299,066,738 shares of the registrant’s Class A common stock and 25,932,721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20" w:type="dxa"/>
            <w:vAlign w:val="bottom"/>
            <w:gridSpan w:val="2"/>
            <w:vMerge w:val="continue"/>
          </w:tcPr>
          <w:p>
            <w:pPr>
              <w:spacing w:after="0"/>
              <w:rPr>
                <w:sz w:val="17"/>
                <w:szCs w:val="17"/>
                <w:color w:val="auto"/>
              </w:rPr>
            </w:pPr>
          </w:p>
        </w:tc>
        <w:tc>
          <w:tcPr>
            <w:tcW w:w="9080" w:type="dxa"/>
            <w:vAlign w:val="bottom"/>
            <w:gridSpan w:val="19"/>
          </w:tcPr>
          <w:p>
            <w:pPr>
              <w:spacing w:after="0" w:line="196" w:lineRule="exact"/>
              <w:rPr>
                <w:sz w:val="20"/>
                <w:szCs w:val="20"/>
                <w:color w:val="auto"/>
              </w:rPr>
            </w:pPr>
            <w:r>
              <w:rPr>
                <w:rFonts w:ascii="Arial" w:cs="Arial" w:eastAsia="Arial" w:hAnsi="Arial"/>
                <w:sz w:val="18"/>
                <w:szCs w:val="18"/>
                <w:color w:val="0000FF"/>
              </w:rPr>
              <w:t>FINANCIAL INFORMATION</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2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Financial Statements</w:t>
            </w:r>
          </w:p>
        </w:tc>
        <w:tc>
          <w:tcPr>
            <w:tcW w:w="6840" w:type="dxa"/>
            <w:vAlign w:val="bottom"/>
            <w:gridSpan w:val="11"/>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1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Balance Sheets as of June 30, 2023 and December 31, 2022</w:t>
            </w:r>
          </w:p>
        </w:tc>
        <w:tc>
          <w:tcPr>
            <w:tcW w:w="2940" w:type="dxa"/>
            <w:vAlign w:val="bottom"/>
            <w:gridSpan w:val="6"/>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8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June 30, 2023 and 2022</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80" w:type="dxa"/>
            <w:vAlign w:val="bottom"/>
            <w:gridSpan w:val="19"/>
          </w:tcPr>
          <w:p>
            <w:pPr>
              <w:spacing w:after="0"/>
              <w:rPr>
                <w:sz w:val="20"/>
                <w:szCs w:val="20"/>
                <w:color w:val="auto"/>
              </w:rPr>
            </w:pPr>
            <w:r>
              <w:rPr>
                <w:rFonts w:ascii="Arial" w:cs="Arial" w:eastAsia="Arial" w:hAnsi="Arial"/>
                <w:sz w:val="18"/>
                <w:szCs w:val="18"/>
                <w:color w:val="0000FF"/>
                <w:w w:val="92"/>
              </w:rPr>
              <w:t>Condensed Consolidated Statements of Comprehensive (Loss) Income for the Three and Six Months Ended June 30, 2023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0" w:type="dxa"/>
            <w:vAlign w:val="bottom"/>
            <w:tcBorders>
              <w:top w:val="single" w:sz="8" w:color="0000FF"/>
            </w:tcBorders>
            <w:gridSpan w:val="18"/>
          </w:tcPr>
          <w:p>
            <w:pPr>
              <w:spacing w:after="0" w:line="196" w:lineRule="exact"/>
              <w:rPr>
                <w:sz w:val="20"/>
                <w:szCs w:val="20"/>
                <w:color w:val="auto"/>
              </w:rPr>
            </w:pPr>
            <w:r>
              <w:rPr>
                <w:rFonts w:ascii="Arial" w:cs="Arial" w:eastAsia="Arial" w:hAnsi="Arial"/>
                <w:sz w:val="18"/>
                <w:szCs w:val="18"/>
                <w:color w:val="0000FF"/>
              </w:rPr>
              <w:t>and 2022</w:t>
            </w:r>
          </w:p>
        </w:tc>
        <w:tc>
          <w:tcPr>
            <w:tcW w:w="2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80" w:type="dxa"/>
            <w:vAlign w:val="bottom"/>
            <w:gridSpan w:val="19"/>
          </w:tcPr>
          <w:p>
            <w:pPr>
              <w:spacing w:after="0"/>
              <w:rPr>
                <w:sz w:val="20"/>
                <w:szCs w:val="20"/>
                <w:color w:val="auto"/>
              </w:rPr>
            </w:pPr>
            <w:r>
              <w:rPr>
                <w:rFonts w:ascii="Arial" w:cs="Arial" w:eastAsia="Arial" w:hAnsi="Arial"/>
                <w:sz w:val="18"/>
                <w:szCs w:val="18"/>
                <w:color w:val="0000FF"/>
                <w:w w:val="93"/>
              </w:rPr>
              <w:t>Condensed Consolidated Statements of Stockholders’ Equity (Deficit) for the Three and Six Months Ended June 30, 2023</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60" w:type="dxa"/>
            <w:vAlign w:val="bottom"/>
            <w:tcBorders>
              <w:top w:val="single" w:sz="8" w:color="0000FF"/>
            </w:tcBorders>
            <w:gridSpan w:val="17"/>
          </w:tcPr>
          <w:p>
            <w:pPr>
              <w:spacing w:after="0" w:line="196" w:lineRule="exact"/>
              <w:rPr>
                <w:sz w:val="20"/>
                <w:szCs w:val="20"/>
                <w:color w:val="auto"/>
              </w:rPr>
            </w:pPr>
            <w:r>
              <w:rPr>
                <w:rFonts w:ascii="Arial" w:cs="Arial" w:eastAsia="Arial" w:hAnsi="Arial"/>
                <w:sz w:val="18"/>
                <w:szCs w:val="18"/>
                <w:color w:val="0000FF"/>
              </w:rPr>
              <w:t>and 2022</w:t>
            </w:r>
          </w:p>
        </w:tc>
        <w:tc>
          <w:tcPr>
            <w:tcW w:w="32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Condensed Consolidated Statements of Cash Flows for the Six Months Ended June 30, 2023 and 2022</w:t>
            </w:r>
          </w:p>
        </w:tc>
        <w:tc>
          <w:tcPr>
            <w:tcW w:w="1700" w:type="dxa"/>
            <w:vAlign w:val="bottom"/>
            <w:gridSpan w:val="4"/>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8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8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640" w:type="dxa"/>
            <w:vAlign w:val="bottom"/>
            <w:gridSpan w:val="5"/>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Controls and Procedures</w:t>
            </w:r>
          </w:p>
        </w:tc>
        <w:tc>
          <w:tcPr>
            <w:tcW w:w="4740" w:type="dxa"/>
            <w:vAlign w:val="bottom"/>
            <w:gridSpan w:val="8"/>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20" w:type="dxa"/>
            <w:vAlign w:val="bottom"/>
            <w:gridSpan w:val="2"/>
            <w:vMerge w:val="continue"/>
          </w:tcPr>
          <w:p>
            <w:pPr>
              <w:spacing w:after="0"/>
              <w:rPr>
                <w:sz w:val="24"/>
                <w:szCs w:val="24"/>
                <w:color w:val="auto"/>
              </w:rPr>
            </w:pPr>
          </w:p>
        </w:tc>
        <w:tc>
          <w:tcPr>
            <w:tcW w:w="908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3"/>
          </w:tcPr>
          <w:p>
            <w:pPr>
              <w:spacing w:after="0"/>
              <w:rPr>
                <w:sz w:val="21"/>
                <w:szCs w:val="21"/>
                <w:color w:val="auto"/>
              </w:rPr>
            </w:pPr>
          </w:p>
        </w:tc>
        <w:tc>
          <w:tcPr>
            <w:tcW w:w="7200" w:type="dxa"/>
            <w:vAlign w:val="bottom"/>
            <w:gridSpan w:val="12"/>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8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8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8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Defaults Upon Senior Securities</w:t>
            </w:r>
          </w:p>
        </w:tc>
        <w:tc>
          <w:tcPr>
            <w:tcW w:w="6260" w:type="dxa"/>
            <w:vAlign w:val="bottom"/>
            <w:gridSpan w:val="9"/>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Mine Safety Disclosures</w:t>
            </w:r>
          </w:p>
        </w:tc>
        <w:tc>
          <w:tcPr>
            <w:tcW w:w="6760" w:type="dxa"/>
            <w:vAlign w:val="bottom"/>
            <w:gridSpan w:val="10"/>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21"/>
                <w:szCs w:val="21"/>
                <w:color w:val="auto"/>
              </w:rPr>
            </w:pPr>
          </w:p>
        </w:tc>
        <w:tc>
          <w:tcPr>
            <w:tcW w:w="7320" w:type="dxa"/>
            <w:vAlign w:val="bottom"/>
            <w:gridSpan w:val="13"/>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8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12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60" w:type="dxa"/>
            <w:vAlign w:val="bottom"/>
            <w:tcBorders>
              <w:top w:val="single" w:sz="8" w:color="0000FF"/>
            </w:tcBorders>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6" w:lineRule="exact"/>
        <w:rPr>
          <w:sz w:val="20"/>
          <w:szCs w:val="20"/>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the context otherwise indicates, references in this report to the terms “Datadog”, “the Company,” “we,” “our” and “us” refer to Datadog,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w:t>
      </w:r>
    </w:p>
    <w:p>
      <w:pPr>
        <w:spacing w:after="0" w:line="2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may announce material business and financial information to our investors using our investor relations website (investors.datadoghq.com).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39"/>
        </w:trPr>
        <w:tc>
          <w:tcPr>
            <w:tcW w:w="8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291,304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338,985</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1,894,058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1,545,341</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 of allowance for credit losses of $9,628 and $5,626 as of</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June 30, 2023 and December 31, 2022,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399,551</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contract costs,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33,054</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27,303</w:t>
            </w:r>
          </w:p>
        </w:tc>
      </w:tr>
      <w:tr>
        <w:trPr>
          <w:trHeight w:val="243"/>
        </w:trPr>
        <w:tc>
          <w:tcPr>
            <w:tcW w:w="84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2,600,070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2,344,234</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125,346</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87,629</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348,277</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16,365</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contract costs,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55,338</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3,303</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24,360</w:t>
            </w:r>
          </w:p>
        </w:tc>
      </w:tr>
      <w:tr>
        <w:trPr>
          <w:trHeight w:val="270"/>
        </w:trPr>
        <w:tc>
          <w:tcPr>
            <w:tcW w:w="84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3,312,173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3,004,852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23,474</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127,009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171,158</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22,092</w:t>
            </w:r>
          </w:p>
        </w:tc>
      </w:tr>
      <w:tr>
        <w:trPr>
          <w:trHeight w:val="263"/>
        </w:trPr>
        <w:tc>
          <w:tcPr>
            <w:tcW w:w="848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567,470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543,024</w:t>
            </w:r>
          </w:p>
        </w:tc>
      </w:tr>
      <w:tr>
        <w:trPr>
          <w:trHeight w:val="250"/>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759,748</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125,694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76,582</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Convertible senior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738,847</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revenue,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12,944</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243"/>
        </w:trPr>
        <w:tc>
          <w:tcPr>
            <w:tcW w:w="84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1,662,814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1,594,347</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Class A common stock, $0.00001 par value per share; 2,000,000,000 shares authorized as of June 30, 2023 and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December 31, 2022; 298,640,368 and 293,573,825 shares issued and outstanding as of June 30, 2023 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2022,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w w:val="93"/>
              </w:rPr>
              <w:t>Class B common stock, $0.00001 par value per share; 310,000,000 shares authorized as of June 30, 2023 and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w w:val="99"/>
              </w:rPr>
              <w:t>December 31, 2022; 25,936,360 and 25,616,018 shares issued and outstanding as of June 30, 2023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December 31, 2022, respectively</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1,625,190</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(12,422)</w:t>
            </w: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(202,266)</w:t>
            </w:r>
          </w:p>
        </w:tc>
      </w:tr>
      <w:tr>
        <w:trPr>
          <w:trHeight w:val="264"/>
        </w:trPr>
        <w:tc>
          <w:tcPr>
            <w:tcW w:w="84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1,649,359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1,410,505</w:t>
            </w:r>
          </w:p>
        </w:tc>
      </w:tr>
      <w:tr>
        <w:trPr>
          <w:trHeight w:val="29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3,312,173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3,004,852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93" w:right="339" w:bottom="717"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717" w:gutter="0" w:footer="0" w:header="0"/>
          <w:type w:val="continuous"/>
        </w:sectPr>
      </w:pPr>
    </w:p>
    <w:bookmarkStart w:id="4" w:name="page5"/>
    <w:bookmarkEnd w:id="4"/>
    <w:p>
      <w:pPr>
        <w:ind w:left="4940"/>
        <w:spacing w:after="0"/>
        <w:rPr>
          <w:sz w:val="20"/>
          <w:szCs w:val="20"/>
          <w:color w:val="auto"/>
        </w:rPr>
      </w:pPr>
      <w:r>
        <w:rPr>
          <w:rFonts w:ascii="Arial" w:cs="Arial" w:eastAsia="Arial" w:hAnsi="Arial"/>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1"/>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509,460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406,138</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991,174</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769,168</w:t>
            </w:r>
          </w:p>
        </w:tc>
        <w:tc>
          <w:tcPr>
            <w:tcW w:w="0" w:type="dxa"/>
            <w:vAlign w:val="bottom"/>
          </w:tcPr>
          <w:p>
            <w:pPr>
              <w:spacing w:after="0"/>
              <w:rPr>
                <w:sz w:val="1"/>
                <w:szCs w:val="1"/>
                <w:color w:val="auto"/>
              </w:rPr>
            </w:pPr>
          </w:p>
        </w:tc>
      </w:tr>
      <w:tr>
        <w:trPr>
          <w:trHeight w:val="264"/>
        </w:trPr>
        <w:tc>
          <w:tcPr>
            <w:tcW w:w="55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201,760</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156,387</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789,414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612,781</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468,972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328,307</w:t>
            </w:r>
          </w:p>
        </w:tc>
        <w:tc>
          <w:tcPr>
            <w:tcW w:w="0" w:type="dxa"/>
            <w:vAlign w:val="bottom"/>
          </w:tcPr>
          <w:p>
            <w:pPr>
              <w:spacing w:after="0"/>
              <w:rPr>
                <w:sz w:val="1"/>
                <w:szCs w:val="1"/>
                <w:color w:val="auto"/>
              </w:rPr>
            </w:pPr>
          </w:p>
        </w:tc>
      </w:tr>
      <w:tr>
        <w:trPr>
          <w:trHeight w:val="243"/>
        </w:trPr>
        <w:tc>
          <w:tcPr>
            <w:tcW w:w="558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292,426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216,436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84,992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60,763</w:t>
            </w:r>
          </w:p>
        </w:tc>
        <w:tc>
          <w:tcPr>
            <w:tcW w:w="0" w:type="dxa"/>
            <w:vAlign w:val="bottom"/>
          </w:tcPr>
          <w:p>
            <w:pPr>
              <w:spacing w:after="0"/>
              <w:rPr>
                <w:sz w:val="1"/>
                <w:szCs w:val="1"/>
                <w:color w:val="auto"/>
              </w:rPr>
            </w:pPr>
          </w:p>
        </w:tc>
      </w:tr>
      <w:tr>
        <w:trPr>
          <w:trHeight w:val="243"/>
        </w:trPr>
        <w:tc>
          <w:tcPr>
            <w:tcW w:w="55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846,390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605,506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(56,976)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63"/>
        </w:trPr>
        <w:tc>
          <w:tcPr>
            <w:tcW w:w="5580" w:type="dxa"/>
            <w:vAlign w:val="bottom"/>
          </w:tcPr>
          <w:p>
            <w:pPr>
              <w:ind w:left="220"/>
              <w:spacing w:after="0"/>
              <w:rPr>
                <w:sz w:val="20"/>
                <w:szCs w:val="20"/>
                <w:color w:val="auto"/>
              </w:rPr>
            </w:pPr>
            <w:r>
              <w:rPr>
                <w:rFonts w:ascii="Arial" w:cs="Arial" w:eastAsia="Arial" w:hAnsi="Arial"/>
                <w:sz w:val="18"/>
                <w:szCs w:val="18"/>
                <w:color w:val="auto"/>
              </w:rPr>
              <w:t>Interest income and other income, net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39,351</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(4,879)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(28,055)</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4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(28,055)</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(loss) income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income per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line="169" w:lineRule="exact"/>
              <w:rPr>
                <w:sz w:val="20"/>
                <w:szCs w:val="20"/>
                <w:color w:val="auto"/>
              </w:rPr>
            </w:pPr>
            <w:r>
              <w:rPr>
                <w:rFonts w:ascii="Arial" w:cs="Arial" w:eastAsia="Arial" w:hAnsi="Arial"/>
                <w:sz w:val="18"/>
                <w:szCs w:val="18"/>
                <w:color w:val="auto"/>
                <w:w w:val="95"/>
              </w:rPr>
              <w:t>Weighted average shares used in calculating basic net (loss) income per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322,215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314,795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320,788</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314,130</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w w:val="99"/>
              </w:rPr>
              <w:t>Weighted average shares used in calculating diluted net (loss) income per</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322,215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314,795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320,788</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345,444</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share: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6"/>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r>
      <w:tr>
        <w:trPr>
          <w:trHeight w:val="39"/>
        </w:trPr>
        <w:tc>
          <w:tcPr>
            <w:tcW w:w="55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3"/>
              <w:spacing w:after="0"/>
              <w:rPr>
                <w:sz w:val="20"/>
                <w:szCs w:val="20"/>
                <w:color w:val="auto"/>
              </w:rPr>
            </w:pPr>
            <w:r>
              <w:rPr>
                <w:rFonts w:ascii="Arial" w:cs="Arial" w:eastAsia="Arial" w:hAnsi="Arial"/>
                <w:sz w:val="14"/>
                <w:szCs w:val="14"/>
                <w:b w:val="1"/>
                <w:bCs w:val="1"/>
                <w:color w:val="auto"/>
                <w:w w:val="83"/>
              </w:rPr>
              <w:t>2022</w:t>
            </w:r>
          </w:p>
        </w:tc>
      </w:tr>
      <w:tr>
        <w:trPr>
          <w:trHeight w:val="39"/>
        </w:trPr>
        <w:tc>
          <w:tcPr>
            <w:tcW w:w="55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(28,055)</w:t>
            </w:r>
          </w:p>
        </w:tc>
        <w:tc>
          <w:tcPr>
            <w:tcW w:w="6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0"/>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r>
      <w:tr>
        <w:trPr>
          <w:trHeight w:val="264"/>
        </w:trPr>
        <w:tc>
          <w:tcPr>
            <w:tcW w:w="5580" w:type="dxa"/>
            <w:vAlign w:val="bottom"/>
          </w:tcPr>
          <w:p>
            <w:pPr>
              <w:ind w:left="240"/>
              <w:spacing w:after="0"/>
              <w:rPr>
                <w:sz w:val="20"/>
                <w:szCs w:val="20"/>
                <w:color w:val="auto"/>
              </w:rPr>
            </w:pPr>
            <w:r>
              <w:rPr>
                <w:rFonts w:ascii="Arial" w:cs="Arial" w:eastAsia="Arial" w:hAnsi="Arial"/>
                <w:sz w:val="18"/>
                <w:szCs w:val="18"/>
                <w:color w:val="auto"/>
              </w:rPr>
              <w:t>Unrealized gain (loss) on available-for-sale marketable securities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(11,575)</w:t>
            </w:r>
          </w:p>
        </w:tc>
      </w:tr>
      <w:tr>
        <w:trPr>
          <w:trHeight w:val="263"/>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(14,679)</w:t>
            </w:r>
          </w:p>
        </w:tc>
      </w:tr>
      <w:tr>
        <w:trPr>
          <w:trHeight w:val="263"/>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(10,514)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(10,833)</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(27,951)</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(9,820)</w:t>
            </w:r>
          </w:p>
        </w:tc>
      </w:tr>
      <w:tr>
        <w:trPr>
          <w:trHeight w:val="27"/>
        </w:trPr>
        <w:tc>
          <w:tcPr>
            <w:tcW w:w="55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360" w:type="dxa"/>
            <w:vAlign w:val="bottom"/>
            <w:gridSpan w:val="3"/>
          </w:tcPr>
          <w:p>
            <w:pPr>
              <w:jc w:val="center"/>
              <w:ind w:left="264"/>
              <w:spacing w:after="0"/>
              <w:rPr>
                <w:sz w:val="20"/>
                <w:szCs w:val="20"/>
                <w:color w:val="auto"/>
              </w:rPr>
            </w:pPr>
            <w:r>
              <w:rPr>
                <w:rFonts w:ascii="Arial" w:cs="Arial" w:eastAsia="Arial" w:hAnsi="Arial"/>
                <w:sz w:val="13"/>
                <w:szCs w:val="13"/>
                <w:b w:val="1"/>
                <w:bCs w:val="1"/>
                <w:color w:val="auto"/>
                <w:w w:val="84"/>
              </w:rPr>
              <w:t>Class A and Class B</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center"/>
              <w:ind w:right="144"/>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104"/>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2360" w:type="dxa"/>
            <w:vAlign w:val="bottom"/>
            <w:gridSpan w:val="3"/>
            <w:vMerge w:val="restart"/>
          </w:tcPr>
          <w:p>
            <w:pPr>
              <w:jc w:val="center"/>
              <w:ind w:left="244"/>
              <w:spacing w:after="0"/>
              <w:rPr>
                <w:sz w:val="20"/>
                <w:szCs w:val="20"/>
                <w:color w:val="auto"/>
              </w:rPr>
            </w:pPr>
            <w:r>
              <w:rPr>
                <w:rFonts w:ascii="Arial" w:cs="Arial" w:eastAsia="Arial" w:hAnsi="Arial"/>
                <w:sz w:val="13"/>
                <w:szCs w:val="13"/>
                <w:b w:val="1"/>
                <w:bCs w:val="1"/>
                <w:color w:val="auto"/>
                <w:w w:val="88"/>
              </w:rPr>
              <w:t>Common Stock</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88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vMerge w:val="restart"/>
          </w:tcPr>
          <w:p>
            <w:pPr>
              <w:jc w:val="center"/>
              <w:ind w:right="144"/>
              <w:spacing w:after="0" w:line="106"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vMerge w:val="restart"/>
          </w:tcPr>
          <w:p>
            <w:pPr>
              <w:ind w:left="20"/>
              <w:spacing w:after="0" w:line="106" w:lineRule="exact"/>
              <w:rPr>
                <w:sz w:val="20"/>
                <w:szCs w:val="20"/>
                <w:color w:val="auto"/>
              </w:rPr>
            </w:pPr>
            <w:r>
              <w:rPr>
                <w:rFonts w:ascii="Arial" w:cs="Arial" w:eastAsia="Arial" w:hAnsi="Arial"/>
                <w:sz w:val="12"/>
                <w:szCs w:val="12"/>
                <w:b w:val="1"/>
                <w:bCs w:val="1"/>
                <w:color w:val="auto"/>
              </w:rPr>
              <w:t>Accumulated Other</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vMerge w:val="restart"/>
          </w:tcPr>
          <w:p>
            <w:pPr>
              <w:jc w:val="center"/>
              <w:ind w:right="103"/>
              <w:spacing w:after="0" w:line="106"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restart"/>
          </w:tcPr>
          <w:p>
            <w:pPr>
              <w:jc w:val="center"/>
              <w:ind w:right="84"/>
              <w:spacing w:after="0" w:line="106"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29"/>
        </w:trPr>
        <w:tc>
          <w:tcPr>
            <w:tcW w:w="2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80" w:type="dxa"/>
            <w:vAlign w:val="bottom"/>
          </w:tcPr>
          <w:p>
            <w:pPr>
              <w:spacing w:after="0"/>
              <w:rPr>
                <w:sz w:val="14"/>
                <w:szCs w:val="14"/>
                <w:color w:val="auto"/>
              </w:rPr>
            </w:pPr>
          </w:p>
        </w:tc>
        <w:tc>
          <w:tcPr>
            <w:tcW w:w="1300" w:type="dxa"/>
            <w:vAlign w:val="bottom"/>
          </w:tcPr>
          <w:p>
            <w:pPr>
              <w:jc w:val="right"/>
              <w:ind w:right="404"/>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44"/>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b w:val="1"/>
                <w:bCs w:val="1"/>
                <w:color w:val="auto"/>
                <w:w w:val="91"/>
              </w:rPr>
              <w:t>Comprehensive Loss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03"/>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29"/>
        </w:trPr>
        <w:tc>
          <w:tcPr>
            <w:tcW w:w="2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80" w:type="dxa"/>
            <w:vAlign w:val="bottom"/>
          </w:tcPr>
          <w:p>
            <w:pPr>
              <w:ind w:left="20"/>
              <w:spacing w:after="0"/>
              <w:rPr>
                <w:sz w:val="20"/>
                <w:szCs w:val="20"/>
                <w:color w:val="auto"/>
              </w:rPr>
            </w:pPr>
            <w:r>
              <w:rPr>
                <w:rFonts w:ascii="Arial" w:cs="Arial" w:eastAsia="Arial" w:hAnsi="Arial"/>
                <w:sz w:val="16"/>
                <w:szCs w:val="16"/>
                <w:color w:val="auto"/>
              </w:rPr>
              <w:t>BALANCE—March 31, 2023</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321,446,243</w:t>
            </w:r>
          </w:p>
        </w:tc>
        <w:tc>
          <w:tcPr>
            <w:tcW w:w="1060" w:type="dxa"/>
            <w:vAlign w:val="bottom"/>
            <w:gridSpan w:val="2"/>
          </w:tcPr>
          <w:p>
            <w:pPr>
              <w:jc w:val="right"/>
              <w:ind w:right="797"/>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1,744,221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(5,773)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(226,352)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1,512,099</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1,534,681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6"/>
                <w:szCs w:val="16"/>
                <w:color w:val="auto"/>
                <w:w w:val="92"/>
              </w:rPr>
              <w:t>Vesting of restricted and performance stock</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6"/>
                <w:szCs w:val="16"/>
                <w:color w:val="auto"/>
              </w:rPr>
              <w:t>units</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1,180,431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Issuance of restricted shares of common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from acquisition</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130,162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tcPr>
          <w:p>
            <w:pPr>
              <w:ind w:left="20"/>
              <w:spacing w:after="0"/>
              <w:rPr>
                <w:sz w:val="20"/>
                <w:szCs w:val="20"/>
                <w:color w:val="auto"/>
              </w:rPr>
            </w:pPr>
            <w:r>
              <w:rPr>
                <w:rFonts w:ascii="Arial" w:cs="Arial" w:eastAsia="Arial" w:hAnsi="Arial"/>
                <w:sz w:val="16"/>
                <w:szCs w:val="16"/>
                <w:color w:val="auto"/>
              </w:rPr>
              <w:t>Issuance of common stock under the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80" w:type="dxa"/>
            <w:vAlign w:val="bottom"/>
          </w:tcPr>
          <w:p>
            <w:pPr>
              <w:ind w:left="180"/>
              <w:spacing w:after="0"/>
              <w:rPr>
                <w:sz w:val="20"/>
                <w:szCs w:val="20"/>
                <w:color w:val="auto"/>
              </w:rPr>
            </w:pPr>
            <w:r>
              <w:rPr>
                <w:rFonts w:ascii="Arial" w:cs="Arial" w:eastAsia="Arial" w:hAnsi="Arial"/>
                <w:sz w:val="16"/>
                <w:szCs w:val="16"/>
                <w:color w:val="auto"/>
              </w:rPr>
              <w:t>Employee Stock Purchase Plan</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285,211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19,986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19,986</w:t>
            </w:r>
          </w:p>
        </w:tc>
        <w:tc>
          <w:tcPr>
            <w:tcW w:w="0" w:type="dxa"/>
            <w:vAlign w:val="bottom"/>
          </w:tcPr>
          <w:p>
            <w:pPr>
              <w:spacing w:after="0"/>
              <w:rPr>
                <w:sz w:val="1"/>
                <w:szCs w:val="1"/>
                <w:color w:val="auto"/>
              </w:rPr>
            </w:pPr>
          </w:p>
        </w:tc>
      </w:tr>
      <w:tr>
        <w:trPr>
          <w:trHeight w:val="24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122,347</w:t>
            </w:r>
          </w:p>
        </w:tc>
        <w:tc>
          <w:tcPr>
            <w:tcW w:w="0" w:type="dxa"/>
            <w:vAlign w:val="bottom"/>
          </w:tcPr>
          <w:p>
            <w:pPr>
              <w:spacing w:after="0"/>
              <w:rPr>
                <w:sz w:val="1"/>
                <w:szCs w:val="1"/>
                <w:color w:val="auto"/>
              </w:rPr>
            </w:pPr>
          </w:p>
        </w:tc>
      </w:tr>
      <w:tr>
        <w:trPr>
          <w:trHeight w:val="206"/>
        </w:trPr>
        <w:tc>
          <w:tcPr>
            <w:tcW w:w="2880" w:type="dxa"/>
            <w:vAlign w:val="bottom"/>
          </w:tcPr>
          <w:p>
            <w:pPr>
              <w:ind w:left="20"/>
              <w:spacing w:after="0"/>
              <w:rPr>
                <w:sz w:val="20"/>
                <w:szCs w:val="20"/>
                <w:color w:val="auto"/>
              </w:rPr>
            </w:pPr>
            <w:r>
              <w:rPr>
                <w:rFonts w:ascii="Arial" w:cs="Arial" w:eastAsia="Arial" w:hAnsi="Arial"/>
                <w:sz w:val="16"/>
                <w:szCs w:val="16"/>
                <w:color w:val="auto"/>
              </w:rPr>
              <w:t>Change in accumulated other</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comprehensive loss</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(6,545)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(3,969)</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6"/>
                <w:szCs w:val="16"/>
                <w:color w:val="auto"/>
              </w:rPr>
              <w:t>BALANCE—June 30, 2023</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324,576,728</w:t>
            </w:r>
          </w:p>
        </w:tc>
        <w:tc>
          <w:tcPr>
            <w:tcW w:w="1060" w:type="dxa"/>
            <w:vAlign w:val="bottom"/>
            <w:tcBorders>
              <w:bottom w:val="single" w:sz="8" w:color="auto"/>
            </w:tcBorders>
            <w:gridSpan w:val="2"/>
          </w:tcPr>
          <w:p>
            <w:pPr>
              <w:jc w:val="right"/>
              <w:ind w:right="797"/>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1,891,995</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(12,318)</w:t>
            </w:r>
          </w:p>
        </w:tc>
        <w:tc>
          <w:tcPr>
            <w:tcW w:w="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(230,321)</w:t>
            </w: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1,649,359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3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9"/>
        </w:trPr>
        <w:tc>
          <w:tcPr>
            <w:tcW w:w="2880" w:type="dxa"/>
            <w:vAlign w:val="bottom"/>
          </w:tcPr>
          <w:p>
            <w:pPr>
              <w:spacing w:after="0"/>
              <w:rPr>
                <w:sz w:val="24"/>
                <w:szCs w:val="24"/>
                <w:color w:val="auto"/>
              </w:rPr>
            </w:pPr>
          </w:p>
        </w:tc>
        <w:tc>
          <w:tcPr>
            <w:tcW w:w="2360" w:type="dxa"/>
            <w:vAlign w:val="bottom"/>
            <w:gridSpan w:val="3"/>
          </w:tcPr>
          <w:p>
            <w:pPr>
              <w:jc w:val="center"/>
              <w:ind w:left="264"/>
              <w:spacing w:after="0"/>
              <w:rPr>
                <w:sz w:val="20"/>
                <w:szCs w:val="20"/>
                <w:color w:val="auto"/>
              </w:rPr>
            </w:pPr>
            <w:r>
              <w:rPr>
                <w:rFonts w:ascii="Arial" w:cs="Arial" w:eastAsia="Arial" w:hAnsi="Arial"/>
                <w:sz w:val="13"/>
                <w:szCs w:val="13"/>
                <w:b w:val="1"/>
                <w:bCs w:val="1"/>
                <w:color w:val="auto"/>
                <w:w w:val="84"/>
              </w:rPr>
              <w:t>Class A and Class B</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vMerge w:val="restart"/>
          </w:tcPr>
          <w:p>
            <w:pPr>
              <w:jc w:val="center"/>
              <w:ind w:right="144"/>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vMerge w:val="restart"/>
          </w:tcPr>
          <w:p>
            <w:pPr>
              <w:jc w:val="center"/>
              <w:ind w:right="104"/>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2360" w:type="dxa"/>
            <w:vAlign w:val="bottom"/>
            <w:gridSpan w:val="3"/>
            <w:vMerge w:val="restart"/>
          </w:tcPr>
          <w:p>
            <w:pPr>
              <w:jc w:val="center"/>
              <w:ind w:left="244"/>
              <w:spacing w:after="0"/>
              <w:rPr>
                <w:sz w:val="20"/>
                <w:szCs w:val="20"/>
                <w:color w:val="auto"/>
              </w:rPr>
            </w:pPr>
            <w:r>
              <w:rPr>
                <w:rFonts w:ascii="Arial" w:cs="Arial" w:eastAsia="Arial" w:hAnsi="Arial"/>
                <w:sz w:val="13"/>
                <w:szCs w:val="13"/>
                <w:b w:val="1"/>
                <w:bCs w:val="1"/>
                <w:color w:val="auto"/>
                <w:w w:val="88"/>
              </w:rPr>
              <w:t>Common Stock</w:t>
            </w: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88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vMerge w:val="restart"/>
          </w:tcPr>
          <w:p>
            <w:pPr>
              <w:jc w:val="center"/>
              <w:ind w:right="144"/>
              <w:spacing w:after="0" w:line="106"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vMerge w:val="restart"/>
          </w:tcPr>
          <w:p>
            <w:pPr>
              <w:ind w:left="20"/>
              <w:spacing w:after="0" w:line="106" w:lineRule="exact"/>
              <w:rPr>
                <w:sz w:val="20"/>
                <w:szCs w:val="20"/>
                <w:color w:val="auto"/>
              </w:rPr>
            </w:pPr>
            <w:r>
              <w:rPr>
                <w:rFonts w:ascii="Arial" w:cs="Arial" w:eastAsia="Arial" w:hAnsi="Arial"/>
                <w:sz w:val="12"/>
                <w:szCs w:val="12"/>
                <w:b w:val="1"/>
                <w:bCs w:val="1"/>
                <w:color w:val="auto"/>
              </w:rPr>
              <w:t>Accumulated Other</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vMerge w:val="restart"/>
          </w:tcPr>
          <w:p>
            <w:pPr>
              <w:jc w:val="center"/>
              <w:ind w:right="103"/>
              <w:spacing w:after="0" w:line="106"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restart"/>
          </w:tcPr>
          <w:p>
            <w:pPr>
              <w:jc w:val="center"/>
              <w:ind w:right="84"/>
              <w:spacing w:after="0" w:line="106"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30"/>
        </w:trPr>
        <w:tc>
          <w:tcPr>
            <w:tcW w:w="2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80" w:type="dxa"/>
            <w:vAlign w:val="bottom"/>
          </w:tcPr>
          <w:p>
            <w:pPr>
              <w:spacing w:after="0"/>
              <w:rPr>
                <w:sz w:val="14"/>
                <w:szCs w:val="14"/>
                <w:color w:val="auto"/>
              </w:rPr>
            </w:pPr>
          </w:p>
        </w:tc>
        <w:tc>
          <w:tcPr>
            <w:tcW w:w="1300" w:type="dxa"/>
            <w:vAlign w:val="bottom"/>
          </w:tcPr>
          <w:p>
            <w:pPr>
              <w:jc w:val="right"/>
              <w:ind w:right="404"/>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44"/>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b w:val="1"/>
                <w:bCs w:val="1"/>
                <w:color w:val="auto"/>
                <w:w w:val="91"/>
              </w:rPr>
              <w:t>Comprehensive Loss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03"/>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30"/>
        </w:trPr>
        <w:tc>
          <w:tcPr>
            <w:tcW w:w="2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BALANCE—March 31, 2022</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314,921,005</w:t>
            </w:r>
          </w:p>
        </w:tc>
        <w:tc>
          <w:tcPr>
            <w:tcW w:w="1060" w:type="dxa"/>
            <w:vAlign w:val="bottom"/>
            <w:gridSpan w:val="2"/>
            <w:shd w:val="clear" w:color="auto" w:fill="CCEEFF"/>
          </w:tcPr>
          <w:p>
            <w:pPr>
              <w:jc w:val="right"/>
              <w:ind w:right="797"/>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(142,368)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1,116,857</w:t>
            </w:r>
          </w:p>
        </w:tc>
        <w:tc>
          <w:tcPr>
            <w:tcW w:w="0" w:type="dxa"/>
            <w:vAlign w:val="bottom"/>
          </w:tcPr>
          <w:p>
            <w:pPr>
              <w:spacing w:after="0"/>
              <w:rPr>
                <w:sz w:val="1"/>
                <w:szCs w:val="1"/>
                <w:color w:val="auto"/>
              </w:rPr>
            </w:pPr>
          </w:p>
        </w:tc>
      </w:tr>
      <w:tr>
        <w:trPr>
          <w:trHeight w:val="206"/>
        </w:trPr>
        <w:tc>
          <w:tcPr>
            <w:tcW w:w="2880" w:type="dxa"/>
            <w:vAlign w:val="bottom"/>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80" w:type="dxa"/>
            <w:vAlign w:val="bottom"/>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506,753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2,198</w:t>
            </w:r>
          </w:p>
        </w:tc>
        <w:tc>
          <w:tcPr>
            <w:tcW w:w="0" w:type="dxa"/>
            <w:vAlign w:val="bottom"/>
          </w:tcPr>
          <w:p>
            <w:pPr>
              <w:spacing w:after="0"/>
              <w:rPr>
                <w:sz w:val="1"/>
                <w:szCs w:val="1"/>
                <w:color w:val="auto"/>
              </w:rPr>
            </w:pPr>
          </w:p>
        </w:tc>
      </w:tr>
      <w:tr>
        <w:trPr>
          <w:trHeight w:val="24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650,490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tcPr>
          <w:p>
            <w:pPr>
              <w:ind w:left="20"/>
              <w:spacing w:after="0"/>
              <w:rPr>
                <w:sz w:val="20"/>
                <w:szCs w:val="20"/>
                <w:color w:val="auto"/>
              </w:rPr>
            </w:pPr>
            <w:r>
              <w:rPr>
                <w:rFonts w:ascii="Arial" w:cs="Arial" w:eastAsia="Arial" w:hAnsi="Arial"/>
                <w:sz w:val="16"/>
                <w:szCs w:val="16"/>
                <w:color w:val="auto"/>
                <w:w w:val="98"/>
              </w:rPr>
              <w:t>Issuance of restricted shares of common</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stock from acquisitions</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191,019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the</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146,515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0" w:type="dxa"/>
            <w:vAlign w:val="bottom"/>
          </w:tcPr>
          <w:p>
            <w:pPr>
              <w:spacing w:after="0"/>
              <w:rPr>
                <w:sz w:val="1"/>
                <w:szCs w:val="1"/>
                <w:color w:val="auto"/>
              </w:rPr>
            </w:pPr>
          </w:p>
        </w:tc>
      </w:tr>
      <w:tr>
        <w:trPr>
          <w:trHeight w:val="233"/>
        </w:trPr>
        <w:tc>
          <w:tcPr>
            <w:tcW w:w="28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85,733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85,733</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accumulated other</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loss</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(4,879)</w:t>
            </w:r>
          </w:p>
        </w:tc>
        <w:tc>
          <w:tcPr>
            <w:tcW w:w="0" w:type="dxa"/>
            <w:vAlign w:val="bottom"/>
          </w:tcPr>
          <w:p>
            <w:pPr>
              <w:spacing w:after="0"/>
              <w:rPr>
                <w:sz w:val="1"/>
                <w:szCs w:val="1"/>
                <w:color w:val="auto"/>
              </w:rPr>
            </w:pPr>
          </w:p>
        </w:tc>
      </w:tr>
      <w:tr>
        <w:trPr>
          <w:trHeight w:val="282"/>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BALANCE—June 30, 2022</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316,415,782</w:t>
            </w:r>
          </w:p>
        </w:tc>
        <w:tc>
          <w:tcPr>
            <w:tcW w:w="1060" w:type="dxa"/>
            <w:vAlign w:val="bottom"/>
            <w:tcBorders>
              <w:bottom w:val="single" w:sz="8" w:color="CCEEFF"/>
            </w:tcBorders>
            <w:gridSpan w:val="2"/>
            <w:shd w:val="clear" w:color="auto" w:fill="CCEEFF"/>
          </w:tcPr>
          <w:p>
            <w:pPr>
              <w:jc w:val="right"/>
              <w:ind w:right="797"/>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1,380,873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1,215,120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4"/>
          </w:tcPr>
          <w:p>
            <w:pPr>
              <w:jc w:val="right"/>
              <w:ind w:right="47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right"/>
              <w:ind w:right="48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3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Accumulated Other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center"/>
              <w:ind w:right="10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4"/>
            <w:vMerge w:val="restart"/>
          </w:tcPr>
          <w:p>
            <w:pPr>
              <w:jc w:val="right"/>
              <w:ind w:right="59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3"/>
            <w:vMerge w:val="restart"/>
          </w:tcPr>
          <w:p>
            <w:pPr>
              <w:ind w:left="180"/>
              <w:spacing w:after="0" w:line="106" w:lineRule="exact"/>
              <w:rPr>
                <w:sz w:val="20"/>
                <w:szCs w:val="20"/>
                <w:color w:val="auto"/>
              </w:rPr>
            </w:pPr>
            <w:r>
              <w:rPr>
                <w:rFonts w:ascii="Arial" w:cs="Arial" w:eastAsia="Arial" w:hAnsi="Arial"/>
                <w:sz w:val="12"/>
                <w:szCs w:val="12"/>
                <w:b w:val="1"/>
                <w:bCs w:val="1"/>
                <w:color w:val="auto"/>
              </w:rPr>
              <w:t>Paid-in</w:t>
            </w:r>
          </w:p>
        </w:tc>
        <w:tc>
          <w:tcPr>
            <w:tcW w:w="1420" w:type="dxa"/>
            <w:vAlign w:val="bottom"/>
            <w:gridSpan w:val="5"/>
            <w:vMerge w:val="restart"/>
          </w:tcPr>
          <w:p>
            <w:pPr>
              <w:ind w:left="60"/>
              <w:spacing w:after="0" w:line="106" w:lineRule="exact"/>
              <w:rPr>
                <w:sz w:val="20"/>
                <w:szCs w:val="20"/>
                <w:color w:val="auto"/>
              </w:rPr>
            </w:pPr>
            <w:r>
              <w:rPr>
                <w:rFonts w:ascii="Arial" w:cs="Arial" w:eastAsia="Arial" w:hAnsi="Arial"/>
                <w:sz w:val="12"/>
                <w:szCs w:val="12"/>
                <w:b w:val="1"/>
                <w:bCs w:val="1"/>
                <w:color w:val="auto"/>
              </w:rPr>
              <w:t>Comprehensive (Loss)</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vMerge w:val="restart"/>
          </w:tcPr>
          <w:p>
            <w:pPr>
              <w:jc w:val="right"/>
              <w:ind w:right="202"/>
              <w:spacing w:after="0" w:line="106"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vMerge w:val="restart"/>
          </w:tcPr>
          <w:p>
            <w:pPr>
              <w:jc w:val="center"/>
              <w:spacing w:after="0" w:line="106" w:lineRule="exact"/>
              <w:rPr>
                <w:sz w:val="20"/>
                <w:szCs w:val="20"/>
                <w:color w:val="auto"/>
              </w:rPr>
            </w:pPr>
            <w:r>
              <w:rPr>
                <w:rFonts w:ascii="Arial" w:cs="Arial" w:eastAsia="Arial" w:hAnsi="Arial"/>
                <w:sz w:val="12"/>
                <w:szCs w:val="12"/>
                <w:b w:val="1"/>
                <w:bCs w:val="1"/>
                <w:color w:val="auto"/>
                <w:w w:val="95"/>
              </w:rPr>
              <w:t>Stockholders' Equity</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42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ind w:left="18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260"/>
              <w:spacing w:after="0"/>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82"/>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03"/>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43"/>
        </w:trPr>
        <w:tc>
          <w:tcPr>
            <w:tcW w:w="28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2022</w:t>
            </w:r>
          </w:p>
        </w:tc>
        <w:tc>
          <w:tcPr>
            <w:tcW w:w="130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319,189,843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57"/>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1,625,190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3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(202,266)</w:t>
            </w:r>
          </w:p>
        </w:tc>
        <w:tc>
          <w:tcPr>
            <w:tcW w:w="28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1,410,505</w:t>
            </w:r>
          </w:p>
        </w:tc>
        <w:tc>
          <w:tcPr>
            <w:tcW w:w="0" w:type="dxa"/>
            <w:vAlign w:val="bottom"/>
          </w:tcPr>
          <w:p>
            <w:pPr>
              <w:spacing w:after="0"/>
              <w:rPr>
                <w:sz w:val="1"/>
                <w:szCs w:val="1"/>
                <w:color w:val="auto"/>
              </w:rPr>
            </w:pPr>
          </w:p>
        </w:tc>
      </w:tr>
      <w:tr>
        <w:trPr>
          <w:trHeight w:val="206"/>
        </w:trPr>
        <w:tc>
          <w:tcPr>
            <w:tcW w:w="2880" w:type="dxa"/>
            <w:vAlign w:val="bottom"/>
            <w:gridSpan w:val="2"/>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gridSpan w:val="2"/>
          </w:tcPr>
          <w:p>
            <w:pPr>
              <w:jc w:val="right"/>
              <w:ind w:right="7"/>
              <w:spacing w:after="0"/>
              <w:rPr>
                <w:sz w:val="20"/>
                <w:szCs w:val="20"/>
                <w:color w:val="auto"/>
              </w:rPr>
            </w:pPr>
            <w:r>
              <w:rPr>
                <w:rFonts w:ascii="Arial" w:cs="Arial" w:eastAsia="Arial" w:hAnsi="Arial"/>
                <w:sz w:val="16"/>
                <w:szCs w:val="16"/>
                <w:color w:val="auto"/>
              </w:rPr>
              <w:t>2,742,866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7,517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Vesting of restricted and performance stock</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30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6"/>
                <w:szCs w:val="16"/>
                <w:color w:val="auto"/>
              </w:rPr>
              <w:t>2,228,646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80" w:type="dxa"/>
            <w:vAlign w:val="bottom"/>
            <w:gridSpan w:val="2"/>
          </w:tcPr>
          <w:p>
            <w:pPr>
              <w:ind w:left="20"/>
              <w:spacing w:after="0"/>
              <w:rPr>
                <w:sz w:val="20"/>
                <w:szCs w:val="20"/>
                <w:color w:val="auto"/>
              </w:rPr>
            </w:pPr>
            <w:r>
              <w:rPr>
                <w:rFonts w:ascii="Arial" w:cs="Arial" w:eastAsia="Arial" w:hAnsi="Arial"/>
                <w:sz w:val="16"/>
                <w:szCs w:val="16"/>
                <w:color w:val="auto"/>
                <w:w w:val="98"/>
              </w:rPr>
              <w:t>Issuance of restricted shares of common</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stock from acquisitions</w:t>
            </w:r>
          </w:p>
        </w:tc>
        <w:tc>
          <w:tcPr>
            <w:tcW w:w="1300" w:type="dxa"/>
            <w:vAlign w:val="bottom"/>
            <w:gridSpan w:val="2"/>
          </w:tcPr>
          <w:p>
            <w:pPr>
              <w:jc w:val="right"/>
              <w:ind w:right="7"/>
              <w:spacing w:after="0"/>
              <w:rPr>
                <w:sz w:val="20"/>
                <w:szCs w:val="20"/>
                <w:color w:val="auto"/>
              </w:rPr>
            </w:pPr>
            <w:r>
              <w:rPr>
                <w:rFonts w:ascii="Arial" w:cs="Arial" w:eastAsia="Arial" w:hAnsi="Arial"/>
                <w:sz w:val="16"/>
                <w:szCs w:val="16"/>
                <w:color w:val="auto"/>
              </w:rPr>
              <w:t>130,162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the</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30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285,211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19,986</w:t>
            </w:r>
          </w:p>
        </w:tc>
        <w:tc>
          <w:tcPr>
            <w:tcW w:w="0" w:type="dxa"/>
            <w:vAlign w:val="bottom"/>
          </w:tcPr>
          <w:p>
            <w:pPr>
              <w:spacing w:after="0"/>
              <w:rPr>
                <w:sz w:val="1"/>
                <w:szCs w:val="1"/>
                <w:color w:val="auto"/>
              </w:rPr>
            </w:pPr>
          </w:p>
        </w:tc>
      </w:tr>
      <w:tr>
        <w:trPr>
          <w:trHeight w:val="224"/>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239,302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239,302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accumulated other</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comprehensive income</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(28,055)</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(28,055)</w:t>
            </w:r>
          </w:p>
        </w:tc>
        <w:tc>
          <w:tcPr>
            <w:tcW w:w="0" w:type="dxa"/>
            <w:vAlign w:val="bottom"/>
          </w:tcPr>
          <w:p>
            <w:pPr>
              <w:spacing w:after="0"/>
              <w:rPr>
                <w:sz w:val="1"/>
                <w:szCs w:val="1"/>
                <w:color w:val="auto"/>
              </w:rPr>
            </w:pPr>
          </w:p>
        </w:tc>
      </w:tr>
      <w:tr>
        <w:trPr>
          <w:trHeight w:val="263"/>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BALANCE—June 30, 2023</w:t>
            </w:r>
          </w:p>
        </w:tc>
        <w:tc>
          <w:tcPr>
            <w:tcW w:w="130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6"/>
                <w:szCs w:val="16"/>
                <w:color w:val="auto"/>
              </w:rPr>
              <w:t>324,576,728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857"/>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1,891,995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(230,321)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1,649,359</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9"/>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4"/>
          </w:tcPr>
          <w:p>
            <w:pPr>
              <w:jc w:val="right"/>
              <w:ind w:right="37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restart"/>
          </w:tcPr>
          <w:p>
            <w:pPr>
              <w:jc w:val="center"/>
              <w:ind w:right="83"/>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4"/>
            <w:vMerge w:val="restart"/>
          </w:tcPr>
          <w:p>
            <w:pPr>
              <w:jc w:val="right"/>
              <w:ind w:right="49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3"/>
            <w:vMerge w:val="restart"/>
          </w:tcPr>
          <w:p>
            <w:pPr>
              <w:jc w:val="right"/>
              <w:ind w:right="480"/>
              <w:spacing w:after="0" w:line="140"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3"/>
            <w:vMerge w:val="restart"/>
          </w:tcPr>
          <w:p>
            <w:pPr>
              <w:jc w:val="right"/>
              <w:ind w:right="140"/>
              <w:spacing w:after="0" w:line="140" w:lineRule="exact"/>
              <w:rPr>
                <w:sz w:val="20"/>
                <w:szCs w:val="20"/>
                <w:color w:val="auto"/>
              </w:rPr>
            </w:pPr>
            <w:r>
              <w:rPr>
                <w:rFonts w:ascii="Arial" w:cs="Arial" w:eastAsia="Arial" w:hAnsi="Arial"/>
                <w:sz w:val="13"/>
                <w:szCs w:val="13"/>
                <w:b w:val="1"/>
                <w:bCs w:val="1"/>
                <w:color w:val="auto"/>
                <w:w w:val="88"/>
              </w:rPr>
              <w:t>Accumulated Other</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vMerge w:val="restart"/>
          </w:tcPr>
          <w:p>
            <w:pPr>
              <w:jc w:val="right"/>
              <w:ind w:right="162"/>
              <w:spacing w:after="0" w:line="140"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vMerge w:val="restart"/>
          </w:tcPr>
          <w:p>
            <w:pPr>
              <w:jc w:val="center"/>
              <w:ind w:right="83"/>
              <w:spacing w:after="0" w:line="14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43"/>
        </w:trPr>
        <w:tc>
          <w:tcPr>
            <w:tcW w:w="28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Arial" w:cs="Arial" w:eastAsia="Arial" w:hAnsi="Arial"/>
                <w:sz w:val="13"/>
                <w:szCs w:val="13"/>
                <w:b w:val="1"/>
                <w:bCs w:val="1"/>
                <w:color w:val="auto"/>
                <w:w w:val="92"/>
              </w:rPr>
              <w:t>Comprehensive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42"/>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83"/>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2021</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313,365,437</w:t>
            </w:r>
          </w:p>
        </w:tc>
        <w:tc>
          <w:tcPr>
            <w:tcW w:w="1020" w:type="dxa"/>
            <w:vAlign w:val="bottom"/>
            <w:gridSpan w:val="2"/>
            <w:shd w:val="clear" w:color="auto" w:fill="CCEEFF"/>
          </w:tcPr>
          <w:p>
            <w:pPr>
              <w:jc w:val="right"/>
              <w:ind w:right="757"/>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1,197,136</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(3,830)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(152,106)</w:t>
            </w:r>
          </w:p>
        </w:tc>
        <w:tc>
          <w:tcPr>
            <w:tcW w:w="28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1,041,203</w:t>
            </w:r>
          </w:p>
        </w:tc>
        <w:tc>
          <w:tcPr>
            <w:tcW w:w="0" w:type="dxa"/>
            <w:vAlign w:val="bottom"/>
          </w:tcPr>
          <w:p>
            <w:pPr>
              <w:spacing w:after="0"/>
              <w:rPr>
                <w:sz w:val="1"/>
                <w:szCs w:val="1"/>
                <w:color w:val="auto"/>
              </w:rPr>
            </w:pPr>
          </w:p>
        </w:tc>
      </w:tr>
      <w:tr>
        <w:trPr>
          <w:trHeight w:val="206"/>
        </w:trPr>
        <w:tc>
          <w:tcPr>
            <w:tcW w:w="2880" w:type="dxa"/>
            <w:vAlign w:val="bottom"/>
            <w:gridSpan w:val="2"/>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of stock options</w:t>
            </w: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1,673,753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6,416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9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6,416</w:t>
            </w:r>
          </w:p>
        </w:tc>
        <w:tc>
          <w:tcPr>
            <w:tcW w:w="0" w:type="dxa"/>
            <w:vAlign w:val="bottom"/>
          </w:tcPr>
          <w:p>
            <w:pPr>
              <w:spacing w:after="0"/>
              <w:rPr>
                <w:sz w:val="1"/>
                <w:szCs w:val="1"/>
                <w:color w:val="auto"/>
              </w:rPr>
            </w:pPr>
          </w:p>
        </w:tc>
      </w:tr>
      <w:tr>
        <w:trPr>
          <w:trHeight w:val="24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Vesting of restricted stock units</w:t>
            </w: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1,039,058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9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Issuance of restricted shares of common</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from acquisitions</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191,019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2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Issuance of common stock under the</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Employee Stock Purchase Plan</w:t>
            </w: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146,515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13,557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ind w:left="9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13,557</w:t>
            </w:r>
          </w:p>
        </w:tc>
        <w:tc>
          <w:tcPr>
            <w:tcW w:w="0" w:type="dxa"/>
            <w:vAlign w:val="bottom"/>
          </w:tcPr>
          <w:p>
            <w:pPr>
              <w:spacing w:after="0"/>
              <w:rPr>
                <w:sz w:val="1"/>
                <w:szCs w:val="1"/>
                <w:color w:val="auto"/>
              </w:rPr>
            </w:pPr>
          </w:p>
        </w:tc>
      </w:tr>
      <w:tr>
        <w:trPr>
          <w:trHeight w:val="24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156,123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156,123</w:t>
            </w:r>
          </w:p>
        </w:tc>
        <w:tc>
          <w:tcPr>
            <w:tcW w:w="0" w:type="dxa"/>
            <w:vAlign w:val="bottom"/>
          </w:tcPr>
          <w:p>
            <w:pPr>
              <w:spacing w:after="0"/>
              <w:rPr>
                <w:sz w:val="1"/>
                <w:szCs w:val="1"/>
                <w:color w:val="auto"/>
              </w:rPr>
            </w:pPr>
          </w:p>
        </w:tc>
      </w:tr>
      <w:tr>
        <w:trPr>
          <w:trHeight w:val="22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Changes in accumulated other</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180"/>
              <w:spacing w:after="0"/>
              <w:rPr>
                <w:sz w:val="20"/>
                <w:szCs w:val="20"/>
                <w:color w:val="auto"/>
              </w:rPr>
            </w:pPr>
            <w:r>
              <w:rPr>
                <w:rFonts w:ascii="Arial" w:cs="Arial" w:eastAsia="Arial" w:hAnsi="Arial"/>
                <w:sz w:val="16"/>
                <w:szCs w:val="16"/>
                <w:color w:val="auto"/>
              </w:rPr>
              <w:t>comprehensive loss</w:t>
            </w:r>
          </w:p>
        </w:tc>
        <w:tc>
          <w:tcPr>
            <w:tcW w:w="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(14,679)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(14,679)</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4,859</w:t>
            </w:r>
          </w:p>
        </w:tc>
        <w:tc>
          <w:tcPr>
            <w:tcW w:w="0" w:type="dxa"/>
            <w:vAlign w:val="bottom"/>
          </w:tcPr>
          <w:p>
            <w:pPr>
              <w:spacing w:after="0"/>
              <w:rPr>
                <w:sz w:val="1"/>
                <w:szCs w:val="1"/>
                <w:color w:val="auto"/>
              </w:rPr>
            </w:pPr>
          </w:p>
        </w:tc>
      </w:tr>
      <w:tr>
        <w:trPr>
          <w:trHeight w:val="240"/>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BALANCE—June 30, 2022</w:t>
            </w: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316,415,782</w:t>
            </w:r>
          </w:p>
        </w:tc>
        <w:tc>
          <w:tcPr>
            <w:tcW w:w="1020" w:type="dxa"/>
            <w:vAlign w:val="bottom"/>
            <w:gridSpan w:val="2"/>
          </w:tcPr>
          <w:p>
            <w:pPr>
              <w:jc w:val="right"/>
              <w:ind w:right="757"/>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1,380,873</w:t>
            </w:r>
          </w:p>
        </w:tc>
        <w:tc>
          <w:tcPr>
            <w:tcW w:w="2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(18,509)</w:t>
            </w:r>
          </w:p>
        </w:tc>
        <w:tc>
          <w:tcPr>
            <w:tcW w:w="2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(147,247)</w:t>
            </w:r>
          </w:p>
        </w:tc>
        <w:tc>
          <w:tcPr>
            <w:tcW w:w="280" w:type="dxa"/>
            <w:vAlign w:val="bottom"/>
            <w:gridSpan w:val="3"/>
          </w:tcPr>
          <w:p>
            <w:pPr>
              <w:jc w:val="right"/>
              <w:ind w:right="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1,215,120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5260"/>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577"/>
              <w:spacing w:after="0"/>
              <w:rPr>
                <w:sz w:val="20"/>
                <w:szCs w:val="20"/>
                <w:color w:val="auto"/>
              </w:rPr>
            </w:pPr>
            <w:r>
              <w:rPr>
                <w:rFonts w:ascii="Arial" w:cs="Arial" w:eastAsia="Arial" w:hAnsi="Arial"/>
                <w:sz w:val="13"/>
                <w:szCs w:val="13"/>
                <w:b w:val="1"/>
                <w:bCs w:val="1"/>
                <w:color w:val="auto"/>
              </w:rPr>
              <w:t>Six Months Ended June 30,</w:t>
            </w:r>
          </w:p>
        </w:tc>
      </w:tr>
      <w:tr>
        <w:trPr>
          <w:trHeight w:val="29"/>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7"/>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Arial" w:cs="Arial" w:eastAsia="Arial" w:hAnsi="Arial"/>
                <w:sz w:val="13"/>
                <w:szCs w:val="13"/>
                <w:b w:val="1"/>
                <w:bCs w:val="1"/>
                <w:color w:val="auto"/>
              </w:rPr>
              <w:t>2022</w:t>
            </w:r>
          </w:p>
        </w:tc>
      </w:tr>
      <w:tr>
        <w:trPr>
          <w:trHeight w:val="29"/>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Net (loss) income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(28,055)</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4,859</w:t>
            </w:r>
          </w:p>
        </w:tc>
      </w:tr>
      <w:tr>
        <w:trPr>
          <w:trHeight w:val="29"/>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20,825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15,512</w:t>
            </w:r>
          </w:p>
        </w:tc>
      </w:tr>
      <w:tr>
        <w:trPr>
          <w:trHeight w:val="29"/>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(Accretion) amortization of (discounts) premiums on marketable securities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(13,291)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6,697</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Amortization of issuance costs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1,682</w:t>
            </w:r>
          </w:p>
        </w:tc>
      </w:tr>
      <w:tr>
        <w:trPr>
          <w:trHeight w:val="29"/>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Amortization of deferred contract costs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17,996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12,580</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Stock-based compensation, net of amounts capitalized</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231,065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149,283</w:t>
            </w:r>
          </w:p>
        </w:tc>
      </w:tr>
      <w:tr>
        <w:trPr>
          <w:trHeight w:val="43"/>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Non-cash lease expense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12,196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9,686</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Allowance for credit losses on accounts receivable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6,311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1,931</w:t>
            </w:r>
          </w:p>
        </w:tc>
      </w:tr>
      <w:tr>
        <w:trPr>
          <w:trHeight w:val="29"/>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Loss on disposal of property and equipment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1,149</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Changes in operating assets and liabilities: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receivable, net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60,139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(38,100)</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Deferred contract costs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(27,618)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(21,469)</w:t>
            </w:r>
          </w:p>
        </w:tc>
      </w:tr>
      <w:tr>
        <w:trPr>
          <w:trHeight w:val="43"/>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(16,823)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(12,629)</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(1,752)</w:t>
            </w:r>
          </w:p>
        </w:tc>
      </w:tr>
      <w:tr>
        <w:trPr>
          <w:trHeight w:val="29"/>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24,897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23,179</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Accrued expenses and other liabilities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(44,089)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(4,310)</w:t>
            </w:r>
          </w:p>
        </w:tc>
      </w:tr>
      <w:tr>
        <w:trPr>
          <w:trHeight w:val="29"/>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Deferred revenue</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39,039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72,050</w:t>
            </w:r>
          </w:p>
        </w:tc>
      </w:tr>
      <w:tr>
        <w:trPr>
          <w:trHeight w:val="167"/>
        </w:trPr>
        <w:tc>
          <w:tcPr>
            <w:tcW w:w="8360" w:type="dxa"/>
            <w:vAlign w:val="bottom"/>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286,945</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220,348</w:t>
            </w:r>
          </w:p>
        </w:tc>
      </w:tr>
      <w:tr>
        <w:trPr>
          <w:trHeight w:val="29"/>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88"/>
        </w:trPr>
        <w:tc>
          <w:tcPr>
            <w:tcW w:w="8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73"/>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0"/>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Purchases of marketable securities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(1,390,334)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(718,785)</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Maturities of marketable securities</w:t>
            </w:r>
          </w:p>
        </w:tc>
        <w:tc>
          <w:tcPr>
            <w:tcW w:w="300" w:type="dxa"/>
            <w:vAlign w:val="bottom"/>
          </w:tcPr>
          <w:p>
            <w:pPr>
              <w:spacing w:after="0"/>
              <w:rPr>
                <w:sz w:val="15"/>
                <w:szCs w:val="15"/>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1,018,317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516,754</w:t>
            </w:r>
          </w:p>
        </w:tc>
      </w:tr>
      <w:tr>
        <w:trPr>
          <w:trHeight w:val="30"/>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sale of marketable securities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36,633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Purchases of property and equipment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(11,078)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(15,501)</w:t>
            </w:r>
          </w:p>
        </w:tc>
      </w:tr>
      <w:tr>
        <w:trPr>
          <w:trHeight w:val="30"/>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Capitalized software development costs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(17,798)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(14,780)</w:t>
            </w:r>
          </w:p>
        </w:tc>
      </w:tr>
      <w:tr>
        <w:trPr>
          <w:trHeight w:val="186"/>
        </w:trPr>
        <w:tc>
          <w:tcPr>
            <w:tcW w:w="8360" w:type="dxa"/>
            <w:vAlign w:val="bottom"/>
          </w:tcPr>
          <w:p>
            <w:pPr>
              <w:ind w:left="220"/>
              <w:spacing w:after="0"/>
              <w:rPr>
                <w:sz w:val="20"/>
                <w:szCs w:val="20"/>
                <w:color w:val="auto"/>
              </w:rPr>
            </w:pPr>
            <w:r>
              <w:rPr>
                <w:rFonts w:ascii="Arial" w:cs="Arial" w:eastAsia="Arial" w:hAnsi="Arial"/>
                <w:sz w:val="13"/>
                <w:szCs w:val="13"/>
                <w:color w:val="auto"/>
              </w:rPr>
              <w:t>Cash paid for acquisition of businesses; net of cash acquired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(39,566)</w:t>
            </w:r>
          </w:p>
        </w:tc>
      </w:tr>
      <w:tr>
        <w:trPr>
          <w:trHeight w:val="30"/>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(366,285)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(269,872)</w:t>
            </w:r>
          </w:p>
        </w:tc>
      </w:tr>
      <w:tr>
        <w:trPr>
          <w:trHeight w:val="88"/>
        </w:trPr>
        <w:tc>
          <w:tcPr>
            <w:tcW w:w="83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18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7,534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6,451</w:t>
            </w:r>
          </w:p>
        </w:tc>
      </w:tr>
      <w:tr>
        <w:trPr>
          <w:trHeight w:val="43"/>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13,557</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Repayments of convertible senior notes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30"/>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3"/>
                <w:szCs w:val="13"/>
                <w:color w:val="auto"/>
              </w:rPr>
              <w:t>Net cash provided by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27,520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20,005</w:t>
            </w:r>
          </w:p>
        </w:tc>
      </w:tr>
      <w:tr>
        <w:trPr>
          <w:trHeight w:val="162"/>
        </w:trPr>
        <w:tc>
          <w:tcPr>
            <w:tcW w:w="8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w:t>
            </w:r>
          </w:p>
        </w:tc>
      </w:tr>
      <w:tr>
        <w:trPr>
          <w:trHeight w:val="30"/>
        </w:trPr>
        <w:tc>
          <w:tcPr>
            <w:tcW w:w="8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0377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12890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p>
      <w:pPr>
        <w:spacing w:after="0" w:line="161" w:lineRule="exact"/>
        <w:rPr>
          <w:sz w:val="20"/>
          <w:szCs w:val="20"/>
          <w:color w:val="auto"/>
        </w:rPr>
      </w:pPr>
    </w:p>
    <w:p>
      <w:pPr>
        <w:jc w:val="both"/>
        <w:ind w:left="20" w:right="3400"/>
        <w:spacing w:after="0" w:line="406" w:lineRule="auto"/>
        <w:rPr>
          <w:sz w:val="20"/>
          <w:szCs w:val="20"/>
          <w:color w:val="auto"/>
        </w:rPr>
      </w:pPr>
      <w:r>
        <w:rPr>
          <w:rFonts w:ascii="Arial" w:cs="Arial" w:eastAsia="Arial" w:hAnsi="Arial"/>
          <w:sz w:val="12"/>
          <w:szCs w:val="12"/>
          <w:color w:val="auto"/>
        </w:rPr>
        <w:t>NET DECREASE IN CASH, CASH EQUIVALENTS AND RESTRICTED CASH CASH, CASH EQUIVALENTS AND RESTRICTED CASH—Beginning of period CASH, CASH EQUIVALENTS AND RESTRICTED CASH—End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03770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60" w:type="dxa"/>
            <w:vAlign w:val="bottom"/>
          </w:tcPr>
          <w:p>
            <w:pPr>
              <w:spacing w:after="0"/>
              <w:rPr>
                <w:sz w:val="13"/>
                <w:szCs w:val="13"/>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0"/>
              </w:rPr>
              <w:t>(50,984)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auto"/>
                <w:w w:val="90"/>
              </w:rPr>
              <w:t>(32,390)</w:t>
            </w:r>
          </w:p>
        </w:tc>
      </w:tr>
      <w:tr>
        <w:trPr>
          <w:trHeight w:val="203"/>
        </w:trPr>
        <w:tc>
          <w:tcPr>
            <w:tcW w:w="4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auto"/>
                <w:w w:val="97"/>
              </w:rPr>
              <w:t>342,288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auto"/>
                <w:w w:val="97"/>
              </w:rPr>
              <w:t>274,463</w:t>
            </w:r>
          </w:p>
        </w:tc>
      </w:tr>
      <w:tr>
        <w:trPr>
          <w:trHeight w:val="30"/>
        </w:trPr>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60" w:type="dxa"/>
            <w:vAlign w:val="bottom"/>
          </w:tcPr>
          <w:p>
            <w:pPr>
              <w:ind w:left="380"/>
              <w:spacing w:after="0"/>
              <w:rPr>
                <w:sz w:val="20"/>
                <w:szCs w:val="20"/>
                <w:color w:val="auto"/>
              </w:rPr>
            </w:pPr>
            <w:r>
              <w:rPr>
                <w:rFonts w:ascii="Arial" w:cs="Arial" w:eastAsia="Arial" w:hAnsi="Arial"/>
                <w:sz w:val="13"/>
                <w:szCs w:val="13"/>
                <w:color w:val="auto"/>
                <w:w w:val="97"/>
              </w:rPr>
              <w:t>291,304</w:t>
            </w:r>
          </w:p>
        </w:tc>
        <w:tc>
          <w:tcPr>
            <w:tcW w:w="5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60" w:type="dxa"/>
            <w:vAlign w:val="bottom"/>
          </w:tcPr>
          <w:p>
            <w:pPr>
              <w:ind w:left="380"/>
              <w:spacing w:after="0"/>
              <w:rPr>
                <w:sz w:val="20"/>
                <w:szCs w:val="20"/>
                <w:color w:val="auto"/>
              </w:rPr>
            </w:pPr>
            <w:r>
              <w:rPr>
                <w:rFonts w:ascii="Arial" w:cs="Arial" w:eastAsia="Arial" w:hAnsi="Arial"/>
                <w:sz w:val="13"/>
                <w:szCs w:val="13"/>
                <w:color w:val="auto"/>
                <w:w w:val="97"/>
              </w:rPr>
              <w:t>242,073</w:t>
            </w:r>
          </w:p>
        </w:tc>
      </w:tr>
      <w:tr>
        <w:trPr>
          <w:trHeight w:val="30"/>
        </w:trPr>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7640" w:space="720"/>
            <w:col w:w="2740"/>
          </w:cols>
          <w:pgMar w:left="320" w:top="1093" w:right="47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1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Cash paid for income taxes</w:t>
            </w:r>
          </w:p>
        </w:tc>
        <w:tc>
          <w:tcPr>
            <w:tcW w:w="19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10,677</w:t>
            </w:r>
          </w:p>
        </w:tc>
        <w:tc>
          <w:tcPr>
            <w:tcW w:w="6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386</w:t>
            </w:r>
          </w:p>
        </w:tc>
      </w:tr>
      <w:tr>
        <w:trPr>
          <w:trHeight w:val="43"/>
        </w:trPr>
        <w:tc>
          <w:tcPr>
            <w:tcW w:w="69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08"/>
        </w:trPr>
        <w:tc>
          <w:tcPr>
            <w:tcW w:w="690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73"/>
        </w:trPr>
        <w:tc>
          <w:tcPr>
            <w:tcW w:w="690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0"/>
        </w:trPr>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Accrued property and equipment purchases</w:t>
            </w:r>
          </w:p>
        </w:tc>
        <w:tc>
          <w:tcPr>
            <w:tcW w:w="19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274</w:t>
            </w:r>
          </w:p>
        </w:tc>
        <w:tc>
          <w:tcPr>
            <w:tcW w:w="60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1,078</w:t>
            </w: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19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8,237</w:t>
            </w:r>
          </w:p>
        </w:tc>
        <w:tc>
          <w:tcPr>
            <w:tcW w:w="6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6,840</w:t>
            </w:r>
          </w:p>
        </w:tc>
      </w:tr>
      <w:tr>
        <w:trPr>
          <w:trHeight w:val="30"/>
        </w:trPr>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Vesting of early exercised options</w:t>
            </w:r>
          </w:p>
        </w:tc>
        <w:tc>
          <w:tcPr>
            <w:tcW w:w="19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19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7,608</w:t>
            </w:r>
          </w:p>
        </w:tc>
      </w:tr>
      <w:tr>
        <w:trPr>
          <w:trHeight w:val="30"/>
        </w:trPr>
        <w:tc>
          <w:tcPr>
            <w:tcW w:w="6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3"/>
        </w:trPr>
        <w:tc>
          <w:tcPr>
            <w:tcW w:w="6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 holdback</w:t>
            </w:r>
          </w:p>
        </w:tc>
        <w:tc>
          <w:tcPr>
            <w:tcW w:w="19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750</w:t>
            </w:r>
          </w:p>
        </w:tc>
        <w:tc>
          <w:tcPr>
            <w:tcW w:w="60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5,473</w:t>
            </w:r>
          </w:p>
        </w:tc>
      </w:tr>
      <w:tr>
        <w:trPr>
          <w:trHeight w:val="43"/>
        </w:trPr>
        <w:tc>
          <w:tcPr>
            <w:tcW w:w="69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037705"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222885"/>
                    </a:xfrm>
                    <a:prstGeom prst="rect">
                      <a:avLst/>
                    </a:prstGeom>
                    <a:noFill/>
                  </pic:spPr>
                </pic:pic>
              </a:graphicData>
            </a:graphic>
          </wp:anchor>
        </w:drawing>
      </w:r>
    </w:p>
    <w:p>
      <w:pPr>
        <w:spacing w:after="0" w:line="97" w:lineRule="exact"/>
        <w:rPr>
          <w:sz w:val="20"/>
          <w:szCs w:val="20"/>
          <w:color w:val="auto"/>
        </w:rPr>
      </w:pPr>
    </w:p>
    <w:p>
      <w:pPr>
        <w:ind w:left="20" w:right="480"/>
        <w:spacing w:after="0" w:line="262" w:lineRule="auto"/>
        <w:rPr>
          <w:sz w:val="20"/>
          <w:szCs w:val="20"/>
          <w:color w:val="auto"/>
        </w:rPr>
      </w:pPr>
      <w:r>
        <w:rPr>
          <w:rFonts w:ascii="Arial" w:cs="Arial" w:eastAsia="Arial" w:hAnsi="Arial"/>
          <w:sz w:val="13"/>
          <w:szCs w:val="13"/>
          <w:b w:val="1"/>
          <w:bCs w:val="1"/>
          <w:color w:val="auto"/>
        </w:rPr>
        <w:t>RECONCILIATION OF CASH, CASH EQUIVALENTS AND RESTRICTED CASH WITHIN THE CONDENSED CONSOLIDATED BALANCE SHEETS TO THE AMOUNTS SHOWN IN THE STATEMENTS OF CASH FLOWS ABOVE: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6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291,304</w:t>
            </w:r>
          </w:p>
        </w:tc>
        <w:tc>
          <w:tcPr>
            <w:tcW w:w="5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238,859</w:t>
            </w:r>
          </w:p>
        </w:tc>
      </w:tr>
      <w:tr>
        <w:trPr>
          <w:trHeight w:val="29"/>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Restricted cash</w:t>
            </w: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3,214</w:t>
            </w:r>
          </w:p>
        </w:tc>
      </w:tr>
      <w:tr>
        <w:trPr>
          <w:trHeight w:val="210"/>
        </w:trPr>
        <w:tc>
          <w:tcPr>
            <w:tcW w:w="8360" w:type="dxa"/>
            <w:vAlign w:val="bottom"/>
          </w:tcPr>
          <w:p>
            <w:pPr>
              <w:ind w:left="220"/>
              <w:spacing w:after="0"/>
              <w:rPr>
                <w:sz w:val="20"/>
                <w:szCs w:val="20"/>
                <w:color w:val="auto"/>
              </w:rPr>
            </w:pPr>
            <w:r>
              <w:rPr>
                <w:rFonts w:ascii="Arial" w:cs="Arial" w:eastAsia="Arial" w:hAnsi="Arial"/>
                <w:sz w:val="13"/>
                <w:szCs w:val="13"/>
                <w:color w:val="auto"/>
              </w:rPr>
              <w:t>Total cash, cash equivalents and restricted cash</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291,304</w:t>
            </w:r>
          </w:p>
        </w:tc>
        <w:tc>
          <w:tcPr>
            <w:tcW w:w="5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242,073</w:t>
            </w:r>
          </w:p>
        </w:tc>
      </w:tr>
      <w:tr>
        <w:trPr>
          <w:trHeight w:val="27"/>
        </w:trPr>
        <w:tc>
          <w:tcPr>
            <w:tcW w:w="836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00"/>
          </w:cols>
          <w:pgMar w:left="320" w:top="1093" w:right="479" w:bottom="1440" w:gutter="0" w:footer="0" w:header="0"/>
          <w:type w:val="continuous"/>
        </w:sectPr>
      </w:pP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Datadog, Inc. (“Datadog” or the “Company”) was incorporated in the State of Delaware on June 4, 2010. The Company is the observability and security platform for cloud applications. The Company’s SaaS platform integrates and automates infrastructure monitoring, application performance monitoring, log management, real-user monitoring, and many other capabilities to provide unified, real-time observability and security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2023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2022, as filed with the SEC on February 24, 2023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condensed consolidated balance sheets as of June 30, 2023 and December 31, 2022 (in thousands):</w:t>
      </w: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5"/>
              <w:spacing w:after="0" w:line="129"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5"/>
              <w:spacing w:after="0" w:line="12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Arial" w:cs="Arial" w:eastAsia="Arial" w:hAnsi="Arial"/>
                <w:sz w:val="14"/>
                <w:szCs w:val="14"/>
                <w:b w:val="1"/>
                <w:bCs w:val="1"/>
                <w:color w:val="auto"/>
              </w:rPr>
              <w:t>Fair</w:t>
            </w:r>
          </w:p>
        </w:tc>
      </w:tr>
      <w:tr>
        <w:trPr>
          <w:trHeight w:val="196"/>
        </w:trPr>
        <w:tc>
          <w:tcPr>
            <w:tcW w:w="5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Gain</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611,650</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513,046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512,653</w:t>
            </w: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189,897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189,683</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390,669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386,713</w:t>
            </w: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194,506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193,359</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1,904,075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1,894,058</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2"/>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5"/>
              <w:spacing w:after="0" w:line="139"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6"/>
              <w:spacing w:after="0" w:line="13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5"/>
              <w:spacing w:after="0" w:line="13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215"/>
              <w:spacing w:after="0" w:line="139" w:lineRule="exact"/>
              <w:rPr>
                <w:sz w:val="20"/>
                <w:szCs w:val="20"/>
                <w:color w:val="auto"/>
              </w:rPr>
            </w:pPr>
            <w:r>
              <w:rPr>
                <w:rFonts w:ascii="Arial" w:cs="Arial" w:eastAsia="Arial" w:hAnsi="Arial"/>
                <w:sz w:val="14"/>
                <w:szCs w:val="14"/>
                <w:b w:val="1"/>
                <w:bCs w:val="1"/>
                <w:color w:val="auto"/>
              </w:rPr>
              <w:t>Fair</w:t>
            </w:r>
          </w:p>
        </w:tc>
      </w:tr>
      <w:tr>
        <w:trPr>
          <w:trHeight w:val="186"/>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6"/>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813,598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806,108</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357,030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356,273</w:t>
            </w: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173,530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120,977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119,878</w:t>
            </w: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89,552</w:t>
            </w:r>
          </w:p>
        </w:tc>
      </w:tr>
      <w:tr>
        <w:trPr>
          <w:trHeight w:val="236"/>
        </w:trPr>
        <w:tc>
          <w:tcPr>
            <w:tcW w:w="56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1,555,403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(10,239)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1,545,341</w:t>
            </w:r>
          </w:p>
        </w:tc>
      </w:tr>
      <w:tr>
        <w:trPr>
          <w:trHeight w:val="21"/>
        </w:trPr>
        <w:tc>
          <w:tcPr>
            <w:tcW w:w="5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June 30, 2023, the fair values of available-for-sale marketable securities, by remaining contractual maturity, were as follows (in thousands):</w:t>
      </w:r>
    </w:p>
    <w:p>
      <w:pPr>
        <w:spacing w:after="0" w:line="289" w:lineRule="exact"/>
        <w:rPr>
          <w:sz w:val="20"/>
          <w:szCs w:val="20"/>
          <w:color w:val="auto"/>
        </w:rPr>
      </w:pPr>
    </w:p>
    <w:tbl>
      <w:tblPr>
        <w:tblLayout w:type="fixed"/>
        <w:tblInd w:w="2460" w:type="dxa"/>
        <w:tblCellMar>
          <w:top w:w="0" w:type="dxa"/>
          <w:left w:w="0" w:type="dxa"/>
          <w:bottom w:w="0" w:type="dxa"/>
          <w:right w:w="0" w:type="dxa"/>
        </w:tblCellMar>
      </w:tblP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1,233,012</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in one year through five years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661,046</w:t>
            </w:r>
          </w:p>
        </w:tc>
      </w:tr>
      <w:tr>
        <w:trPr>
          <w:trHeight w:val="248"/>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1,894,058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June 30, 2023 and December 31, 2022, and indicate the fair value hierarchy of the valuation inputs utilized to determine such fair value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Fair Value Measurement as of June 30, 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205,309</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205,309</w:t>
            </w:r>
          </w:p>
        </w:tc>
      </w:tr>
      <w:tr>
        <w:trPr>
          <w:trHeight w:val="237"/>
        </w:trPr>
        <w:tc>
          <w:tcPr>
            <w:tcW w:w="56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37,327</w:t>
            </w:r>
          </w:p>
        </w:tc>
      </w:tr>
      <w:tr>
        <w:trPr>
          <w:trHeight w:val="236"/>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611,650</w:t>
            </w:r>
          </w:p>
        </w:tc>
      </w:tr>
      <w:tr>
        <w:trPr>
          <w:trHeight w:val="229"/>
        </w:trPr>
        <w:tc>
          <w:tcPr>
            <w:tcW w:w="56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512,653</w:t>
            </w:r>
          </w:p>
        </w:tc>
      </w:tr>
      <w:tr>
        <w:trPr>
          <w:trHeight w:val="230"/>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189,683</w:t>
            </w:r>
          </w:p>
        </w:tc>
      </w:tr>
      <w:tr>
        <w:trPr>
          <w:trHeight w:val="240"/>
        </w:trPr>
        <w:tc>
          <w:tcPr>
            <w:tcW w:w="5640" w:type="dxa"/>
            <w:vAlign w:val="bottom"/>
          </w:tcPr>
          <w:p>
            <w:pPr>
              <w:ind w:left="24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386,713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386,713</w:t>
            </w:r>
          </w:p>
        </w:tc>
      </w:tr>
      <w:tr>
        <w:trPr>
          <w:trHeight w:val="233"/>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193,359</w:t>
            </w:r>
          </w:p>
        </w:tc>
      </w:tr>
      <w:tr>
        <w:trPr>
          <w:trHeight w:val="223"/>
        </w:trPr>
        <w:tc>
          <w:tcPr>
            <w:tcW w:w="5640" w:type="dxa"/>
            <w:vAlign w:val="bottom"/>
          </w:tcPr>
          <w:p>
            <w:pPr>
              <w:ind w:left="56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205,309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1,949,583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2,154,892</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8"/>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right"/>
              <w:ind w:right="170"/>
              <w:spacing w:after="0"/>
              <w:rPr>
                <w:sz w:val="20"/>
                <w:szCs w:val="20"/>
                <w:color w:val="auto"/>
              </w:rPr>
            </w:pPr>
            <w:r>
              <w:rPr>
                <w:rFonts w:ascii="Arial" w:cs="Arial" w:eastAsia="Arial" w:hAnsi="Arial"/>
                <w:sz w:val="14"/>
                <w:szCs w:val="14"/>
                <w:b w:val="1"/>
                <w:bCs w:val="1"/>
                <w:color w:val="auto"/>
                <w:w w:val="92"/>
              </w:rPr>
              <w:t>Fair Value Measurement as of December 31, 2022</w:t>
            </w:r>
          </w:p>
        </w:tc>
        <w:tc>
          <w:tcPr>
            <w:tcW w:w="1020" w:type="dxa"/>
            <w:vAlign w:val="bottom"/>
          </w:tcPr>
          <w:p>
            <w:pPr>
              <w:spacing w:after="0"/>
              <w:rPr>
                <w:sz w:val="24"/>
                <w:szCs w:val="24"/>
                <w:color w:val="auto"/>
              </w:rPr>
            </w:pPr>
          </w:p>
        </w:tc>
      </w:tr>
      <w:tr>
        <w:trPr>
          <w:trHeight w:val="26"/>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5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1</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302,902</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302,902</w:t>
            </w: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2,493</w:t>
            </w: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806,108</w:t>
            </w:r>
          </w:p>
        </w:tc>
      </w:tr>
      <w:tr>
        <w:trPr>
          <w:trHeight w:val="230"/>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356,273</w:t>
            </w:r>
          </w:p>
        </w:tc>
      </w:tr>
      <w:tr>
        <w:trPr>
          <w:trHeight w:val="240"/>
        </w:trPr>
        <w:tc>
          <w:tcPr>
            <w:tcW w:w="56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173,530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173,530</w:t>
            </w:r>
          </w:p>
        </w:tc>
      </w:tr>
      <w:tr>
        <w:trPr>
          <w:trHeight w:val="233"/>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119,878</w:t>
            </w: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89,552</w:t>
            </w:r>
          </w:p>
        </w:tc>
      </w:tr>
      <w:tr>
        <w:trPr>
          <w:trHeight w:val="243"/>
        </w:trPr>
        <w:tc>
          <w:tcPr>
            <w:tcW w:w="5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financial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302,902</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1,547,834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1,850,736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classifies its highly liquid money market funds and securities purchased within three months of maturity within Level 1 of the fair value hierarchy because they are valued based on quoted market prices in active markets.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condensed consolidated financial statements for further details.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33,376</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13,315</w:t>
            </w:r>
          </w:p>
        </w:tc>
      </w:tr>
      <w:tr>
        <w:trPr>
          <w:trHeight w:val="23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164,432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134,890</w:t>
            </w:r>
          </w:p>
        </w:tc>
      </w:tr>
      <w:tr>
        <w:trPr>
          <w:trHeight w:val="237"/>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and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209,264</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capitalizes costs related to the development of computer software for internal use and is included in capitalized software development costs within property and equipment, net.</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Depreciation and amortization expense was approximately $8.3 million and $16.4 million for the three and six months ended June 30, 2023, respectively. Depreciation and amortization expense was approximately $6.4 million and $12.2 million for the three and six months ended June 30,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Acquisitions</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In April 2023, the Company entered into a purchase agreement for the acquisition of a business and the transaction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does not consider this acquisition to be 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year ended December 31, 2022, the Company entered into four purchase agreements for acquisitions of businesses, each of which were accounted for as business combinations in accordance with ASC 805, Business Combinations. The Company does not consider these acquisitions to be material, individually or in aggregate. The total purchase price was allocated to intangible assets in the amount of $8.2 million and goodwill in the amount of $56.6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9"/>
              <w:spacing w:after="0" w:line="139"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79"/>
              <w:spacing w:after="0" w:line="13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20" w:type="dxa"/>
            <w:vAlign w:val="bottom"/>
          </w:tcPr>
          <w:p>
            <w:pPr>
              <w:spacing w:after="0"/>
              <w:rPr>
                <w:sz w:val="24"/>
                <w:szCs w:val="24"/>
                <w:color w:val="auto"/>
              </w:rPr>
            </w:pPr>
          </w:p>
        </w:tc>
        <w:tc>
          <w:tcPr>
            <w:tcW w:w="22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79"/>
              <w:spacing w:after="0" w:line="129"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59"/>
              <w:spacing w:after="0" w:line="129"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59"/>
              <w:spacing w:after="0" w:line="13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59"/>
              <w:spacing w:after="0" w:line="13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6"/>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9"/>
                <w:szCs w:val="19"/>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amortization expense was approximately $2.3 million and $1.7 million for the three months ended June 30, 2023 and 2022, respectively, and $4.5 million and $3.3 million for the six months ended June 30, 2023 and 2022,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2023, future amortization expense by year is expected to be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37"/>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4"/>
        </w:trPr>
        <w:tc>
          <w:tcPr>
            <w:tcW w:w="9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
        </w:trPr>
        <w:tc>
          <w:tcPr>
            <w:tcW w:w="9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348,277</w:t>
            </w:r>
          </w:p>
        </w:tc>
        <w:tc>
          <w:tcPr>
            <w:tcW w:w="0" w:type="dxa"/>
            <w:vAlign w:val="bottom"/>
          </w:tcPr>
          <w:p>
            <w:pPr>
              <w:spacing w:after="0"/>
              <w:rPr>
                <w:sz w:val="1"/>
                <w:szCs w:val="1"/>
                <w:color w:val="auto"/>
              </w:rPr>
            </w:pPr>
          </w:p>
        </w:tc>
      </w:tr>
      <w:tr>
        <w:trPr>
          <w:trHeight w:val="237"/>
        </w:trPr>
        <w:tc>
          <w:tcPr>
            <w:tcW w:w="9920" w:type="dxa"/>
            <w:vAlign w:val="bottom"/>
          </w:tcPr>
          <w:p>
            <w:pPr>
              <w:ind w:left="20"/>
              <w:spacing w:after="0"/>
              <w:rPr>
                <w:sz w:val="20"/>
                <w:szCs w:val="20"/>
                <w:color w:val="auto"/>
              </w:rPr>
            </w:pPr>
            <w:r>
              <w:rPr>
                <w:rFonts w:ascii="Arial" w:cs="Arial" w:eastAsia="Arial" w:hAnsi="Arial"/>
                <w:sz w:val="18"/>
                <w:szCs w:val="18"/>
                <w:color w:val="auto"/>
              </w:rPr>
              <w:t>2023 Acquisition</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6"/>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350,029</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980" w:hanging="486"/>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8"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57"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2025 Notes (“the Indenture”).</w:t>
      </w:r>
    </w:p>
    <w:p>
      <w:pPr>
        <w:sectPr>
          <w:pgSz w:w="11900" w:h="16838" w:orient="portrait"/>
          <w:cols w:equalWidth="0" w:num="1">
            <w:col w:w="11240"/>
          </w:cols>
          <w:pgMar w:left="320" w:top="134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type w:val="continuous"/>
        </w:sectPr>
      </w:pPr>
    </w:p>
    <w:bookmarkStart w:id="14" w:name="page15"/>
    <w:bookmarkEnd w:id="14"/>
    <w:p>
      <w:pPr>
        <w:jc w:val="both"/>
        <w:ind w:firstLine="486"/>
        <w:spacing w:after="0" w:line="269" w:lineRule="auto"/>
        <w:rPr>
          <w:sz w:val="20"/>
          <w:szCs w:val="20"/>
          <w:color w:val="auto"/>
        </w:rPr>
      </w:pPr>
      <w:r>
        <w:rPr>
          <w:rFonts w:ascii="Arial" w:cs="Arial" w:eastAsia="Arial" w:hAnsi="Arial"/>
          <w:sz w:val="17"/>
          <w:szCs w:val="17"/>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During the three months ended June 30, 2023,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 on, and including, the last trading day of the quarter ended June 30, 2023. Therefore the 2025 Notes are not convertible, in whole or in part, at the option of the holders between July 1, 2023 through September 30, 2023. Whether the 2025 Notes will be convertible following such period will depend on the continued satisfaction of this condition or another conversion condition in the future.</w:t>
      </w:r>
    </w:p>
    <w:p>
      <w:pPr>
        <w:spacing w:after="0" w:line="1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When a conversion notice is received, the Company has the option to pay or deliver cash, shares of the Company’s common stock, or a combination thereof. Since the issuance of the 2025 Notes, the Company received and settled an immaterial amount of conversion notices from the holders in cash. As of June 30, 2023, the 2025 Notes were classified as long-term debt on the Company's condensed consolidated balance sheet.</w:t>
      </w:r>
    </w:p>
    <w:p>
      <w:pPr>
        <w:spacing w:after="0" w:line="16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7"/>
          <w:szCs w:val="17"/>
          <w:color w:val="auto"/>
        </w:rPr>
        <w:t>The Company may redeem for cash all or any portion of the 2025 Notes prior to the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scheduled trading day immediately preceding the maturity date,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8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On January 1, 2021 the Company adopted ASU No.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(“ASU No. 2020-06”).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57"/>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229"/>
        </w:trPr>
        <w:tc>
          <w:tcPr>
            <w:tcW w:w="7920" w:type="dxa"/>
            <w:vAlign w:val="bottom"/>
            <w:shd w:val="clear" w:color="auto" w:fill="CCEEFF"/>
          </w:tcPr>
          <w:p>
            <w:pPr>
              <w:jc w:val="center"/>
              <w:ind w:right="5670"/>
              <w:spacing w:after="0"/>
              <w:rPr>
                <w:sz w:val="20"/>
                <w:szCs w:val="20"/>
                <w:color w:val="auto"/>
              </w:rPr>
            </w:pPr>
            <w:r>
              <w:rPr>
                <w:rFonts w:ascii="Arial" w:cs="Arial" w:eastAsia="Arial" w:hAnsi="Arial"/>
                <w:sz w:val="18"/>
                <w:szCs w:val="18"/>
                <w:color w:val="auto"/>
                <w:w w:val="90"/>
              </w:rPr>
              <w:t>Convertible senior notes, net: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920" w:type="dxa"/>
            <w:vAlign w:val="bottom"/>
          </w:tcPr>
          <w:p>
            <w:pPr>
              <w:ind w:left="140"/>
              <w:spacing w:after="0"/>
              <w:rPr>
                <w:sz w:val="20"/>
                <w:szCs w:val="20"/>
                <w:color w:val="auto"/>
              </w:rPr>
            </w:pPr>
            <w:r>
              <w:rPr>
                <w:rFonts w:ascii="Arial" w:cs="Arial" w:eastAsia="Arial" w:hAnsi="Arial"/>
                <w:sz w:val="18"/>
                <w:szCs w:val="18"/>
                <w:color w:val="auto"/>
              </w:rPr>
              <w:t>Principal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747,496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747,496</w:t>
            </w:r>
          </w:p>
        </w:tc>
      </w:tr>
      <w:tr>
        <w:trPr>
          <w:trHeight w:val="230"/>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r>
      <w:tr>
        <w:trPr>
          <w:trHeight w:val="237"/>
        </w:trPr>
        <w:tc>
          <w:tcPr>
            <w:tcW w:w="7920" w:type="dxa"/>
            <w:vAlign w:val="bottom"/>
          </w:tcPr>
          <w:p>
            <w:pPr>
              <w:jc w:val="center"/>
              <w:ind w:right="5630"/>
              <w:spacing w:after="0"/>
              <w:rPr>
                <w:sz w:val="20"/>
                <w:szCs w:val="20"/>
                <w:color w:val="auto"/>
              </w:rPr>
            </w:pPr>
            <w:r>
              <w:rPr>
                <w:rFonts w:ascii="Arial" w:cs="Arial" w:eastAsia="Arial" w:hAnsi="Arial"/>
                <w:sz w:val="18"/>
                <w:szCs w:val="18"/>
                <w:color w:val="auto"/>
                <w:w w:val="91"/>
              </w:rPr>
              <w:t>Net carrying amount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740,538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738,847</w:t>
            </w:r>
          </w:p>
        </w:tc>
      </w:tr>
      <w:tr>
        <w:trPr>
          <w:trHeight w:val="20"/>
        </w:trPr>
        <w:tc>
          <w:tcPr>
            <w:tcW w:w="7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2023, the total estimated fair value of the 2025 Notes was approximately $928.9 million. The fair value was determined based on the closing trading price or quoted market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the interest expense related to the 2025 Notes for the three and six months ended June 30, 2023 and 2022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r>
      <w:tr>
        <w:trPr>
          <w:trHeight w:val="192"/>
        </w:trPr>
        <w:tc>
          <w:tcPr>
            <w:tcW w:w="4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6"/>
        </w:trPr>
        <w:tc>
          <w:tcPr>
            <w:tcW w:w="4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7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issuance costs</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r>
      <w:tr>
        <w:trPr>
          <w:trHeight w:val="248"/>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During the six months ended June 30, 2023, other than certain non-cancelable operating leases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Note 9, </w:t>
      </w:r>
      <w:r>
        <w:rPr>
          <w:rFonts w:ascii="Arial" w:cs="Arial" w:eastAsia="Arial" w:hAnsi="Arial"/>
          <w:sz w:val="18"/>
          <w:szCs w:val="18"/>
          <w:i w:val="1"/>
          <w:iCs w:val="1"/>
          <w:color w:val="auto"/>
        </w:rPr>
        <w:t>Leases</w:t>
      </w:r>
      <w:r>
        <w:rPr>
          <w:rFonts w:ascii="Arial" w:cs="Arial" w:eastAsia="Arial" w:hAnsi="Arial"/>
          <w:sz w:val="18"/>
          <w:szCs w:val="18"/>
          <w:color w:val="auto"/>
        </w:rPr>
        <w:t>, there have been no other material changes outside the ordinary course of business to the Company’s contractual obligations and commitments from those disclosed in the Annual Report.</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b w:val="1"/>
          <w:bCs w:val="1"/>
          <w:i w:val="1"/>
          <w:iCs w:val="1"/>
          <w:color w:val="auto"/>
        </w:rPr>
        <w:t>401(k) Plan</w:t>
      </w:r>
      <w:r>
        <w:rPr>
          <w:rFonts w:ascii="Arial" w:cs="Arial" w:eastAsia="Arial" w:hAnsi="Arial"/>
          <w:sz w:val="17"/>
          <w:szCs w:val="17"/>
          <w:color w:val="auto"/>
        </w:rPr>
        <w:t>—The Company sponsors a 401(k) defined contribution plan covering all eligible U.S. employees. The Company is responsible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costs of the 401(k) plan and makes matching contributions to the 401(k) plan. For the three and six months ended June 30, 2023, the Company incurred expense of $1.7 million and $3.1 million, respectively, for matching contributions. For the three and six months ended June 30, 2022, the Company incurred expense of $1.5 million and $2.7 million, respectively, for matching contributions.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i w:val="1"/>
          <w:iCs w:val="1"/>
          <w:color w:val="auto"/>
        </w:rPr>
        <w:t>Indemnification</w:t>
      </w:r>
      <w:r>
        <w:rPr>
          <w:rFonts w:ascii="Arial" w:cs="Arial" w:eastAsia="Arial" w:hAnsi="Arial"/>
          <w:sz w:val="16"/>
          <w:szCs w:val="16"/>
          <w:color w:val="auto"/>
        </w:rPr>
        <w:t>—The Company enters into indemnification provisions under some agreements with other parties in the ordinary course of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unique facts and circumstances involved in each particular provision. To date, losses recorded in the Company’s condensed consolidated statements of operations in connection with the indemnification provisions have not been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2023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lease cost recognized within the Company’s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2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r>
      <w:tr>
        <w:trPr>
          <w:trHeight w:val="196"/>
        </w:trPr>
        <w:tc>
          <w:tcPr>
            <w:tcW w:w="56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436"/>
              <w:spacing w:after="0"/>
              <w:rPr>
                <w:sz w:val="20"/>
                <w:szCs w:val="20"/>
                <w:color w:val="auto"/>
              </w:rPr>
            </w:pPr>
            <w:r>
              <w:rPr>
                <w:rFonts w:ascii="Arial" w:cs="Arial" w:eastAsia="Arial" w:hAnsi="Arial"/>
                <w:sz w:val="14"/>
                <w:szCs w:val="14"/>
                <w:b w:val="1"/>
                <w:bCs w:val="1"/>
                <w:color w:val="auto"/>
                <w:w w:val="83"/>
              </w:rPr>
              <w:t>2022</w:t>
            </w:r>
          </w:p>
        </w:tc>
      </w:tr>
      <w:tr>
        <w:trPr>
          <w:trHeight w:val="229"/>
        </w:trPr>
        <w:tc>
          <w:tcPr>
            <w:tcW w:w="5660" w:type="dxa"/>
            <w:vAlign w:val="bottom"/>
            <w:tcBorders>
              <w:top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1"/>
                <w:szCs w:val="21"/>
                <w:color w:val="auto"/>
                <w:vertAlign w:val="superscript"/>
              </w:rPr>
              <w:t>(1)</w:t>
            </w:r>
          </w:p>
        </w:tc>
        <w:tc>
          <w:tcPr>
            <w:tcW w:w="800" w:type="dxa"/>
            <w:vAlign w:val="bottom"/>
            <w:tcBorders>
              <w:top w:val="single" w:sz="8" w:color="auto"/>
            </w:tcBorders>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8,070</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6,028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2,200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2,155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045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0" w:lineRule="exact"/>
        <w:rPr>
          <w:sz w:val="20"/>
          <w:szCs w:val="20"/>
          <w:color w:val="auto"/>
        </w:rPr>
      </w:pPr>
    </w:p>
    <w:p>
      <w:pPr>
        <w:ind w:left="340" w:right="260" w:hanging="332"/>
        <w:spacing w:after="0" w:line="29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non-cash lease expense of $6.3 million and $5.3 million for the three months ended June 30, 2023 and 2022, respectively, and $12.2 million and $9.7 million for the six months ended June 30, 2023 and 2022, respectively.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122"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13,129</w:t>
            </w:r>
          </w:p>
        </w:tc>
      </w:tr>
      <w:tr>
        <w:trPr>
          <w:trHeight w:val="526"/>
        </w:trPr>
        <w:tc>
          <w:tcPr>
            <w:tcW w:w="8480" w:type="dxa"/>
            <w:vAlign w:val="bottom"/>
          </w:tcPr>
          <w:p>
            <w:pPr>
              <w:ind w:left="500"/>
              <w:spacing w:after="0"/>
              <w:rPr>
                <w:sz w:val="20"/>
                <w:szCs w:val="20"/>
                <w:color w:val="auto"/>
              </w:rPr>
            </w:pPr>
            <w:r>
              <w:rPr>
                <w:rFonts w:ascii="Arial" w:cs="Arial" w:eastAsia="Arial" w:hAnsi="Arial"/>
                <w:sz w:val="18"/>
                <w:szCs w:val="18"/>
                <w:color w:val="auto"/>
                <w:w w:val="92"/>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2"/>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33"/>
              <w:spacing w:after="0"/>
              <w:rPr>
                <w:sz w:val="20"/>
                <w:szCs w:val="20"/>
                <w:color w:val="auto"/>
              </w:rPr>
            </w:pPr>
            <w:r>
              <w:rPr>
                <w:rFonts w:ascii="Arial" w:cs="Arial" w:eastAsia="Arial" w:hAnsi="Arial"/>
                <w:sz w:val="14"/>
                <w:szCs w:val="14"/>
                <w:b w:val="1"/>
                <w:bCs w:val="1"/>
                <w:color w:val="auto"/>
              </w:rPr>
              <w:t>Amount</w:t>
            </w:r>
          </w:p>
        </w:tc>
      </w:tr>
      <w:tr>
        <w:trPr>
          <w:trHeight w:val="25"/>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19,030</w:t>
            </w:r>
          </w:p>
        </w:tc>
      </w:tr>
      <w:tr>
        <w:trPr>
          <w:trHeight w:val="24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28,848</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26,662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26,081</w:t>
            </w:r>
          </w:p>
        </w:tc>
      </w:tr>
      <w:tr>
        <w:trPr>
          <w:trHeight w:val="23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beyond</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92,374</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194,325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(49,779)</w:t>
            </w:r>
          </w:p>
        </w:tc>
      </w:tr>
      <w:tr>
        <w:trPr>
          <w:trHeight w:val="25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144,546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2023, the Company had various operating leases that had not yet commenced, which are excluded from the table above. The operating leases will commence between fiscal year 2023 and 2025 with total undiscounted future payments of $151.0 million and a weighted-average lease term of 8.9 years.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460" w:type="dxa"/>
            <w:vAlign w:val="bottom"/>
          </w:tcPr>
          <w:p>
            <w:pPr>
              <w:jc w:val="right"/>
              <w:ind w:right="399"/>
              <w:spacing w:after="0"/>
              <w:rPr>
                <w:sz w:val="20"/>
                <w:szCs w:val="20"/>
                <w:color w:val="auto"/>
              </w:rPr>
            </w:pPr>
            <w:r>
              <w:rPr>
                <w:rFonts w:ascii="Arial" w:cs="Arial" w:eastAsia="Arial" w:hAnsi="Arial"/>
                <w:sz w:val="14"/>
                <w:szCs w:val="14"/>
                <w:b w:val="1"/>
                <w:bCs w:val="1"/>
                <w:color w:val="auto"/>
              </w:rPr>
              <w:t>June 30,</w:t>
            </w:r>
          </w:p>
        </w:tc>
      </w:tr>
      <w:tr>
        <w:trPr>
          <w:trHeight w:val="192"/>
        </w:trPr>
        <w:tc>
          <w:tcPr>
            <w:tcW w:w="9780" w:type="dxa"/>
            <w:vAlign w:val="bottom"/>
          </w:tcPr>
          <w:p>
            <w:pPr>
              <w:spacing w:after="0"/>
              <w:rPr>
                <w:sz w:val="16"/>
                <w:szCs w:val="16"/>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r>
      <w:tr>
        <w:trPr>
          <w:trHeight w:val="24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5.91 %</w:t>
            </w:r>
          </w:p>
        </w:tc>
      </w:tr>
    </w:tbl>
    <w:p>
      <w:pPr>
        <w:spacing w:after="0" w:line="200" w:lineRule="exact"/>
        <w:rPr>
          <w:sz w:val="20"/>
          <w:szCs w:val="20"/>
          <w:color w:val="auto"/>
        </w:rPr>
      </w:pP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by location is determined by the billing address of the customer. The following table sets forth revenue by geographic area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5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2022</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697,181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551,021</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153,495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114,979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293,993</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218,147</w:t>
            </w:r>
          </w:p>
        </w:tc>
      </w:tr>
      <w:tr>
        <w:trPr>
          <w:trHeight w:val="25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509,460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406,138</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991,174</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769,168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Revenue recognized during the three months ended June 30, 2023 and 2022, which was included in the deferred revenue balances at the beginning of each such period, was $261.0 million and $198.3 million, respectively. Revenue recognized during the six months ended June 30, 2023 and 2022 that was included in the deferred revenue balances at the beginning of each such period was $391.7 million and $279.9 million, respectively.</w:t>
      </w:r>
    </w:p>
    <w:p>
      <w:pPr>
        <w:spacing w:after="0" w:line="14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June 30, 2023 and December 31, 2022, the aggregate transaction price allocated to remaining performance obligations was $1,252.5 million and $1,057.2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Accounts receivable deemed uncollectible are charged against the allowance for credit losses when identified. During the six months ended June 30, 2023 and 2022, the Company charged $2.4 million and $0.9 million, respectively, of accounts receivable deemed uncollectible against the allowance for credit losses.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June 30, 2023 and December 31, 2022, unbilled accounts receivable of approximately $66.7 million and $60.0 million, respectively, was included in accounts receivable on the Company’s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Deferred contract costs on the Company’s condensed consolidated balance sheets were $98.0 million and $88.4 million as of June 30, 2023 and December 31, 2022, respectively. Amortization expense was $9.4 million and $6.6 million for the three months ended June 30, 2023 and 2022, respectively, and was $18.0 million and $12.6 million for the six months ended June 30, 2023 and 2022,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June 30, 2023, there were no shares of Class B common stock converted into Class A common stock. During the six months ended June 30, 2023 483,392 shares of Class B common stock were converted into Class A common stock.</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2023, the Company had authorized 2,000,000,000 shares of Class A common stock and 310,000,000 shares of Class B common stock, each at a par value per share of $0.00001, of which 298,640,368 shares of Class A common stock and 25,936,360 shares of Class B common stock were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June 30, 2023, there were 15,776,443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June 30, 2023, there were 76,009,808 shares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available for grant under the 2019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activity and weighted-average exercise prices: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56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Aggregate</w:t>
            </w:r>
          </w:p>
        </w:tc>
      </w:tr>
      <w:tr>
        <w:trPr>
          <w:trHeight w:val="175"/>
        </w:trPr>
        <w:tc>
          <w:tcPr>
            <w:tcW w:w="56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Intrinsic Value</w:t>
            </w:r>
          </w:p>
        </w:tc>
      </w:tr>
      <w:tr>
        <w:trPr>
          <w:trHeight w:val="186"/>
        </w:trPr>
        <w:tc>
          <w:tcPr>
            <w:tcW w:w="56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Life (in Years)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r>
      <w:tr>
        <w:trPr>
          <w:trHeight w:val="39"/>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outstanding—December 31, 2022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18,551,857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1,303,464</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Options forfeited or expired</w:t>
            </w:r>
          </w:p>
        </w:tc>
        <w:tc>
          <w:tcPr>
            <w:tcW w:w="1320" w:type="dxa"/>
            <w:vAlign w:val="bottom"/>
          </w:tcPr>
          <w:p>
            <w:pPr>
              <w:jc w:val="right"/>
              <w:spacing w:after="0"/>
              <w:rPr>
                <w:sz w:val="20"/>
                <w:szCs w:val="20"/>
                <w:color w:val="auto"/>
              </w:rPr>
            </w:pPr>
            <w:r>
              <w:rPr>
                <w:rFonts w:ascii="Arial" w:cs="Arial" w:eastAsia="Arial" w:hAnsi="Arial"/>
                <w:sz w:val="18"/>
                <w:szCs w:val="18"/>
                <w:color w:val="auto"/>
              </w:rPr>
              <w:t>(8,622)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outstanding—June 30, 2023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15,800,369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1,501,929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Ending Exercisable—June 30, 2023</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15,555,455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1,480,763</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June 30, 2023, there were 23,926 shares of Class A common stock and 15,776,443 shares of Class B common stock issuable upon the exercise of options outstanding. As of December 31, 2022, there were 28,557 shares of Class A common stock and 18,523,300 shares of Class B common stock issuable upon the exercise of options outstanding.</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Total compensation cost related to unvested awards not yet recognized was approximately $2.2 million and $10.1 million as of June 30, 2023 and December 31, 2022, respectively. The weighted-average period over which this compensation cost related to unvested employee awards will be recognized is 0.2 years and 0.6 years as of June 30, 2023 and December 31, 2022, respectively.</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were no options granted during the six months ended June 30, 2023 and 2022. The Company received approximately $7.5 million and $6.5 million in cash proceeds from options exercised during the six months ended June 30, 2023 and 2022, respectively. The intrinsic value of options exercised during the six months ended June 30, 2023 and 2022 was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approximately $210.4 million and $217.0 million, respectively. The aggregate fair value of options vested during the six months ended June 30, 2023 and 2022 was $9.6 million and $12.7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Restricted Stock and Performance Stock Units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for the Company’s unvested RSUs and PSUs: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Average Grant Date</w:t>
            </w:r>
          </w:p>
        </w:tc>
      </w:tr>
      <w:tr>
        <w:trPr>
          <w:trHeight w:val="186"/>
        </w:trPr>
        <w:tc>
          <w:tcPr>
            <w:tcW w:w="7640" w:type="dxa"/>
            <w:vAlign w:val="bottom"/>
          </w:tcPr>
          <w:p>
            <w:pPr>
              <w:spacing w:after="0"/>
              <w:rPr>
                <w:sz w:val="16"/>
                <w:szCs w:val="16"/>
                <w:color w:val="auto"/>
              </w:rPr>
            </w:pPr>
          </w:p>
        </w:tc>
        <w:tc>
          <w:tcPr>
            <w:tcW w:w="1560" w:type="dxa"/>
            <w:vAlign w:val="bottom"/>
          </w:tcPr>
          <w:p>
            <w:pPr>
              <w:jc w:val="right"/>
              <w:ind w:right="4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76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12,378,683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Awarded</w:t>
            </w:r>
          </w:p>
        </w:tc>
        <w:tc>
          <w:tcPr>
            <w:tcW w:w="1560" w:type="dxa"/>
            <w:vAlign w:val="bottom"/>
          </w:tcPr>
          <w:p>
            <w:pPr>
              <w:jc w:val="right"/>
              <w:spacing w:after="0"/>
              <w:rPr>
                <w:sz w:val="20"/>
                <w:szCs w:val="20"/>
                <w:color w:val="auto"/>
              </w:rPr>
            </w:pPr>
            <w:r>
              <w:rPr>
                <w:rFonts w:ascii="Arial" w:cs="Arial" w:eastAsia="Arial" w:hAnsi="Arial"/>
                <w:sz w:val="18"/>
                <w:szCs w:val="18"/>
                <w:color w:val="auto"/>
              </w:rPr>
              <w:t>4,000,325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72.19</w:t>
            </w: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r>
      <w:tr>
        <w:trPr>
          <w:trHeight w:val="263"/>
        </w:trPr>
        <w:tc>
          <w:tcPr>
            <w:tcW w:w="7640" w:type="dxa"/>
            <w:vAlign w:val="bottom"/>
          </w:tcPr>
          <w:p>
            <w:pPr>
              <w:ind w:left="20"/>
              <w:spacing w:after="0"/>
              <w:rPr>
                <w:sz w:val="20"/>
                <w:szCs w:val="20"/>
                <w:color w:val="auto"/>
              </w:rPr>
            </w:pPr>
            <w:r>
              <w:rPr>
                <w:rFonts w:ascii="Arial" w:cs="Arial" w:eastAsia="Arial" w:hAnsi="Arial"/>
                <w:sz w:val="18"/>
                <w:szCs w:val="18"/>
                <w:color w:val="auto"/>
              </w:rPr>
              <w:t>Forfeited/canceled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105.06</w:t>
            </w:r>
          </w:p>
        </w:tc>
      </w:tr>
      <w:tr>
        <w:trPr>
          <w:trHeight w:val="29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2023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13,399,356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granted no restricted shares of Class A common stock in connection with acquisitions during the six months ended June 30, 2023. In addition, we issued 130,162 fully-vested shares in April 2023 in connection with an acquisition that closed in 2021.</w:t>
      </w:r>
    </w:p>
    <w:p>
      <w:pPr>
        <w:spacing w:after="0" w:line="1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Total compensation cost related to unvested RSUs and restricted shares of common stock not yet recognized was approximately $1,107.6 million and $1,151.1 million as of June 30, 2023 and December 31, 2022, respectively. The weighted-average period over which this compensation cost related to unvested RSUs and restricted shares of common stock will be recognized is 2.8 years and 2.9 years as of June 30, 2023 and December 31, 2022.</w:t>
      </w:r>
    </w:p>
    <w:p>
      <w:pPr>
        <w:spacing w:after="0" w:line="14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Total compensation cost related to unvested PSUs not yet recognized was approximately $41.4 million and $19.0 million as of June 30, 2023 and December 31, 2022, respectively. The weighted-average period over which this compensation cost related to unvested PSUs will be recognized is 1.8 years and 1.4 years as of June 30, 2023 and December 31,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September 2019, the Board adopted and approved the 2019 Employee Stock Purchase Plan (the “ESPP”), which became effective on the date of the final prospectus for the IPO.</w:t>
      </w:r>
    </w:p>
    <w:p>
      <w:pPr>
        <w:spacing w:after="0" w:line="1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recognized $4.0 million and $8.5 million of stock-based compensation expense related to the ESPP during the three and six months ended June 30, 2023, respectively. As of June 30, 2023, $5.9 million has been withheld on behalf of employees for a future purchase under the ESPP due to the timing of payroll deductions. During the three months ended June 30, 2023, the Company issued 285,211 shares of Class A common stock under the ESPP. As of June 30, 2023, 17,713,278 shares of Class A common stock remain available for grant under the ESPP.</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considered probable that the performance condition will be satisfied and account for forfeitures as they occur.</w:t>
      </w:r>
    </w:p>
    <w:p>
      <w:pPr>
        <w:spacing w:after="0" w:line="17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was included in the condensed consolidated statement of operations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r>
      <w:tr>
        <w:trPr>
          <w:trHeight w:val="39"/>
        </w:trPr>
        <w:tc>
          <w:tcPr>
            <w:tcW w:w="5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39"/>
        </w:trPr>
        <w:tc>
          <w:tcPr>
            <w:tcW w:w="5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98,005</w:t>
            </w: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32,185</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15,085</w:t>
            </w:r>
          </w:p>
        </w:tc>
      </w:tr>
      <w:tr>
        <w:trPr>
          <w:trHeight w:val="27"/>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net of amounts capitalized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149,283</w:t>
            </w:r>
          </w:p>
        </w:tc>
      </w:tr>
      <w:tr>
        <w:trPr>
          <w:trHeight w:val="237"/>
        </w:trPr>
        <w:tc>
          <w:tcPr>
            <w:tcW w:w="56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2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8,237</w:t>
            </w: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6,840</w:t>
            </w:r>
          </w:p>
        </w:tc>
      </w:tr>
      <w:tr>
        <w:trPr>
          <w:trHeight w:val="27"/>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122,347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85,733</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239,302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156,123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5"/>
                <w:szCs w:val="15"/>
                <w:color w:val="auto"/>
              </w:rPr>
            </w:pPr>
          </w:p>
        </w:tc>
      </w:tr>
      <w:tr>
        <w:trPr>
          <w:trHeight w:val="186"/>
        </w:trPr>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6"/>
                <w:szCs w:val="16"/>
                <w:color w:val="auto"/>
              </w:rPr>
            </w:pPr>
          </w:p>
        </w:tc>
      </w:tr>
      <w:tr>
        <w:trPr>
          <w:trHeight w:val="39"/>
        </w:trPr>
        <w:tc>
          <w:tcPr>
            <w:tcW w:w="4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Arial" w:cs="Arial" w:eastAsia="Arial" w:hAnsi="Arial"/>
                <w:sz w:val="14"/>
                <w:szCs w:val="14"/>
                <w:b w:val="1"/>
                <w:bCs w:val="1"/>
                <w:color w:val="auto"/>
                <w:w w:val="83"/>
              </w:rPr>
              <w:t>2022</w:t>
            </w:r>
          </w:p>
        </w:tc>
      </w:tr>
      <w:tr>
        <w:trPr>
          <w:trHeight w:val="39"/>
        </w:trPr>
        <w:tc>
          <w:tcPr>
            <w:tcW w:w="414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42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w w:val="98"/>
              </w:rPr>
              <w:t>41,875</w:t>
            </w:r>
          </w:p>
        </w:tc>
        <w:tc>
          <w:tcPr>
            <w:tcW w:w="640" w:type="dxa"/>
            <w:vAlign w:val="bottom"/>
            <w:tcBorders>
              <w:bottom w:val="single" w:sz="8" w:color="CFF0FC"/>
            </w:tcBorders>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12,251</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1"/>
              </w:rPr>
              <w:t>(2,524)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7"/>
        </w:trPr>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other income, net</w:t>
            </w:r>
          </w:p>
        </w:tc>
        <w:tc>
          <w:tcPr>
            <w:tcW w:w="15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8"/>
              </w:rPr>
              <w:t>39,351</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w:t>
            </w:r>
          </w:p>
        </w:tc>
      </w:tr>
      <w:tr>
        <w:trPr>
          <w:trHeight w:val="20"/>
        </w:trPr>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24"/>
        </w:trPr>
        <w:tc>
          <w:tcPr>
            <w:tcW w:w="4140" w:type="dxa"/>
            <w:vAlign w:val="bottom"/>
          </w:tcPr>
          <w:p>
            <w:pPr>
              <w:spacing w:after="0"/>
              <w:rPr>
                <w:sz w:val="24"/>
                <w:szCs w:val="24"/>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recorded a provision for income taxes of $3.1 million and $4.9 million for the three months ended June 30, 2023 and 2022, respectively. The Company has incurred U.S. operating losses and has minimal profits in its foreign jurisdictions during the quarter.</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has determined that it has uncertain positions that would result in a tax reserve deemed</w:t>
      </w:r>
    </w:p>
    <w:p>
      <w:pPr>
        <w:spacing w:after="0" w:line="4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immaterial for each of the six months ended June 30, 2023 and 2022. The Company’s policy is to recognize interest and penalties related to uncertain tax positions in income tax expense. The Company is subject to U.S. federal tax authority, U.S. state tax authority and foreign tax authority examinations.</w:t>
      </w:r>
    </w:p>
    <w:p>
      <w:pPr>
        <w:spacing w:after="0" w:line="13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August 16, 2022, the Inflation Reduction Act (“the Act”) was signed into law. The Act includes a 15.0% corporate alternative minimum tax on the adjusted financial statement income of applicable corporations and a 1.0% excise tax on all corporate stock buybacks of public companies for tax years beginning after December 31, 2022. For the six months ended June 30, 2023, the Act did not materially impact the Company’s provision for income tax. The Company will continue to monitor any changes in tax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Income Per Share</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Basic and diluted net (loss) income per common share is presented in conformity with the two-class method required for participating securities. Basic and diluted net (loss)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income per share of Class A common stock, the undistributed earnings are equal to net (loss) income for that computation.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ind w:left="500"/>
        <w:spacing w:after="0"/>
        <w:rPr>
          <w:sz w:val="20"/>
          <w:szCs w:val="20"/>
          <w:color w:val="auto"/>
        </w:rPr>
      </w:pPr>
      <w:r>
        <w:rPr>
          <w:rFonts w:ascii="Arial" w:cs="Arial" w:eastAsia="Arial" w:hAnsi="Arial"/>
          <w:sz w:val="18"/>
          <w:szCs w:val="18"/>
          <w:color w:val="auto"/>
        </w:rPr>
        <w:t>The following table presents the calculation of basic and diluted net (loss) income per share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Basic net (loss) income per share:</w:t>
            </w: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76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7"/>
              </w:rPr>
              <w:t>Class B</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7"/>
              </w:rPr>
              <w:t>Class A</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7"/>
              </w:rPr>
              <w:t>Class B</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5"/>
              </w:rPr>
              <w:t>Class A</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40"/>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220"/>
              <w:spacing w:after="0"/>
              <w:rPr>
                <w:sz w:val="20"/>
                <w:szCs w:val="20"/>
                <w:color w:val="auto"/>
              </w:rPr>
            </w:pPr>
            <w:r>
              <w:rPr>
                <w:rFonts w:ascii="Arial" w:cs="Arial" w:eastAsia="Arial" w:hAnsi="Arial"/>
                <w:sz w:val="16"/>
                <w:szCs w:val="16"/>
                <w:color w:val="auto"/>
              </w:rPr>
              <w:t>Net (loss)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(3,652)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(4,421)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(458)</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(25,811)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(2,244)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220"/>
              <w:spacing w:after="0"/>
              <w:rPr>
                <w:sz w:val="20"/>
                <w:szCs w:val="20"/>
                <w:color w:val="auto"/>
              </w:rPr>
            </w:pPr>
            <w:r>
              <w:rPr>
                <w:rFonts w:ascii="Arial" w:cs="Arial" w:eastAsia="Arial" w:hAnsi="Arial"/>
                <w:sz w:val="16"/>
                <w:szCs w:val="16"/>
                <w:color w:val="auto"/>
              </w:rPr>
              <w:t>Weighted-average shares used in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220"/>
              <w:spacing w:after="0"/>
              <w:rPr>
                <w:sz w:val="20"/>
                <w:szCs w:val="20"/>
                <w:color w:val="auto"/>
              </w:rPr>
            </w:pPr>
            <w:r>
              <w:rPr>
                <w:rFonts w:ascii="Arial" w:cs="Arial" w:eastAsia="Arial" w:hAnsi="Arial"/>
                <w:sz w:val="16"/>
                <w:szCs w:val="16"/>
                <w:color w:val="auto"/>
              </w:rPr>
              <w:t>calculating net (loss) income per</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296,466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25,749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285,265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29,530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295,126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25,662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276,779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37,351</w:t>
            </w: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share, basic</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(loss)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60"/>
              <w:spacing w:after="0"/>
              <w:rPr>
                <w:sz w:val="20"/>
                <w:szCs w:val="20"/>
                <w:color w:val="auto"/>
              </w:rPr>
            </w:pPr>
            <w:r>
              <w:rPr>
                <w:rFonts w:ascii="Arial" w:cs="Arial" w:eastAsia="Arial" w:hAnsi="Arial"/>
                <w:sz w:val="16"/>
                <w:szCs w:val="16"/>
                <w:color w:val="auto"/>
              </w:rPr>
              <w:t>Allocation of distributed net (loss)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360"/>
              <w:spacing w:after="0"/>
              <w:rPr>
                <w:sz w:val="20"/>
                <w:szCs w:val="20"/>
                <w:color w:val="auto"/>
              </w:rPr>
            </w:pPr>
            <w:r>
              <w:rPr>
                <w:rFonts w:ascii="Arial" w:cs="Arial" w:eastAsia="Arial" w:hAnsi="Arial"/>
                <w:sz w:val="16"/>
                <w:szCs w:val="16"/>
                <w:color w:val="auto"/>
              </w:rPr>
              <w:t>income for basic computation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(3,652)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(4,421)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(458)</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(25,811)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(2,244)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4,281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Reallocation of undistributed net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income as a result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 of Class B to Class A</w:t>
            </w: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60"/>
              <w:spacing w:after="0"/>
              <w:rPr>
                <w:sz w:val="20"/>
                <w:szCs w:val="20"/>
                <w:color w:val="auto"/>
              </w:rPr>
            </w:pPr>
            <w:r>
              <w:rPr>
                <w:rFonts w:ascii="Arial" w:cs="Arial" w:eastAsia="Arial" w:hAnsi="Arial"/>
                <w:sz w:val="16"/>
                <w:szCs w:val="16"/>
                <w:color w:val="auto"/>
              </w:rPr>
              <w:t>Allocation of undistributed (loss)</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(3,969)</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(317)</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(4,879)</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(458)</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(28,055)</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(2,244)</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4,859</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199"/>
        </w:trPr>
        <w:tc>
          <w:tcPr>
            <w:tcW w:w="2760" w:type="dxa"/>
            <w:vAlign w:val="bottom"/>
          </w:tcPr>
          <w:p>
            <w:pPr>
              <w:ind w:left="360"/>
              <w:spacing w:after="0"/>
              <w:rPr>
                <w:sz w:val="20"/>
                <w:szCs w:val="20"/>
                <w:color w:val="auto"/>
              </w:rPr>
            </w:pPr>
            <w:r>
              <w:rPr>
                <w:rFonts w:ascii="Arial" w:cs="Arial" w:eastAsia="Arial" w:hAnsi="Arial"/>
                <w:sz w:val="16"/>
                <w:szCs w:val="16"/>
                <w:color w:val="auto"/>
              </w:rPr>
              <w:t>income</w:t>
            </w: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180"/>
              <w:spacing w:after="0"/>
              <w:rPr>
                <w:sz w:val="20"/>
                <w:szCs w:val="20"/>
                <w:color w:val="auto"/>
              </w:rPr>
            </w:pPr>
            <w:r>
              <w:rPr>
                <w:rFonts w:ascii="Arial" w:cs="Arial" w:eastAsia="Arial" w:hAnsi="Arial"/>
                <w:sz w:val="16"/>
                <w:szCs w:val="16"/>
                <w:color w:val="auto"/>
              </w:rPr>
              <w:t>Number of shares used in basic</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6"/>
                <w:szCs w:val="16"/>
                <w:color w:val="auto"/>
              </w:rPr>
              <w:t>calculation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296,466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285,265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276,779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37,351</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effect of diluted</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360"/>
              <w:spacing w:after="0"/>
              <w:rPr>
                <w:sz w:val="20"/>
                <w:szCs w:val="20"/>
                <w:color w:val="auto"/>
              </w:rPr>
            </w:pPr>
            <w:r>
              <w:rPr>
                <w:rFonts w:ascii="Arial" w:cs="Arial" w:eastAsia="Arial" w:hAnsi="Arial"/>
                <w:sz w:val="16"/>
                <w:szCs w:val="16"/>
                <w:color w:val="auto"/>
              </w:rPr>
              <w:t>Conversion of Class B to Class A</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360"/>
              <w:spacing w:after="0"/>
              <w:rPr>
                <w:sz w:val="20"/>
                <w:szCs w:val="20"/>
                <w:color w:val="auto"/>
              </w:rPr>
            </w:pPr>
            <w:r>
              <w:rPr>
                <w:rFonts w:ascii="Arial" w:cs="Arial" w:eastAsia="Arial" w:hAnsi="Arial"/>
                <w:sz w:val="16"/>
                <w:szCs w:val="16"/>
                <w:color w:val="auto"/>
              </w:rPr>
              <w:t>common shares outstanding</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29,530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37,351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760" w:type="dxa"/>
            <w:vAlign w:val="bottom"/>
          </w:tcPr>
          <w:p>
            <w:pPr>
              <w:ind w:left="360"/>
              <w:spacing w:after="0"/>
              <w:rPr>
                <w:sz w:val="20"/>
                <w:szCs w:val="20"/>
                <w:color w:val="auto"/>
              </w:rPr>
            </w:pPr>
            <w:r>
              <w:rPr>
                <w:rFonts w:ascii="Arial" w:cs="Arial" w:eastAsia="Arial" w:hAnsi="Arial"/>
                <w:sz w:val="16"/>
                <w:szCs w:val="16"/>
                <w:color w:val="auto"/>
              </w:rPr>
              <w:t>Employee stock purchase plan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Unvested early exercises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60" w:type="dxa"/>
            <w:vAlign w:val="bottom"/>
          </w:tcPr>
          <w:p>
            <w:pPr>
              <w:ind w:left="360"/>
              <w:spacing w:after="0"/>
              <w:rPr>
                <w:sz w:val="20"/>
                <w:szCs w:val="20"/>
                <w:color w:val="auto"/>
              </w:rPr>
            </w:pPr>
            <w:r>
              <w:rPr>
                <w:rFonts w:ascii="Arial" w:cs="Arial" w:eastAsia="Arial" w:hAnsi="Arial"/>
                <w:sz w:val="16"/>
                <w:szCs w:val="16"/>
                <w:color w:val="auto"/>
              </w:rPr>
              <w:t>Restricted stock units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Unvested restricted stock in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connection with acquisition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60" w:type="dxa"/>
            <w:vAlign w:val="bottom"/>
          </w:tcPr>
          <w:p>
            <w:pPr>
              <w:ind w:left="360"/>
              <w:spacing w:after="0"/>
              <w:rPr>
                <w:sz w:val="20"/>
                <w:szCs w:val="20"/>
                <w:color w:val="auto"/>
              </w:rPr>
            </w:pPr>
            <w:r>
              <w:rPr>
                <w:rFonts w:ascii="Arial" w:cs="Arial" w:eastAsia="Arial" w:hAnsi="Arial"/>
                <w:sz w:val="16"/>
                <w:szCs w:val="16"/>
                <w:color w:val="auto"/>
                <w:w w:val="93"/>
              </w:rPr>
              <w:t>Shares issuable upon conversion of</w:t>
            </w:r>
          </w:p>
        </w:tc>
        <w:tc>
          <w:tcPr>
            <w:tcW w:w="2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60" w:type="dxa"/>
            <w:vAlign w:val="bottom"/>
          </w:tcPr>
          <w:p>
            <w:pPr>
              <w:ind w:left="360"/>
              <w:spacing w:after="0"/>
              <w:rPr>
                <w:sz w:val="20"/>
                <w:szCs w:val="20"/>
                <w:color w:val="auto"/>
              </w:rPr>
            </w:pPr>
            <w:r>
              <w:rPr>
                <w:rFonts w:ascii="Arial" w:cs="Arial" w:eastAsia="Arial" w:hAnsi="Arial"/>
                <w:sz w:val="16"/>
                <w:szCs w:val="16"/>
                <w:color w:val="auto"/>
              </w:rPr>
              <w:t>the convertible senior notes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4"/>
              </w:rPr>
              <w:t>Number of shares used in diluted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calculation</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322,215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314,795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320,788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345,444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37,351</w:t>
            </w:r>
          </w:p>
        </w:tc>
        <w:tc>
          <w:tcPr>
            <w:tcW w:w="0" w:type="dxa"/>
            <w:vAlign w:val="bottom"/>
          </w:tcPr>
          <w:p>
            <w:pPr>
              <w:spacing w:after="0"/>
              <w:rPr>
                <w:sz w:val="1"/>
                <w:szCs w:val="1"/>
                <w:color w:val="auto"/>
              </w:rPr>
            </w:pPr>
          </w:p>
        </w:tc>
      </w:tr>
      <w:tr>
        <w:trPr>
          <w:trHeight w:val="253"/>
        </w:trPr>
        <w:tc>
          <w:tcPr>
            <w:tcW w:w="2760" w:type="dxa"/>
            <w:vAlign w:val="bottom"/>
          </w:tcPr>
          <w:p>
            <w:pPr>
              <w:ind w:left="20"/>
              <w:spacing w:after="0"/>
              <w:rPr>
                <w:sz w:val="20"/>
                <w:szCs w:val="20"/>
                <w:color w:val="auto"/>
              </w:rPr>
            </w:pPr>
            <w:r>
              <w:rPr>
                <w:rFonts w:ascii="Arial" w:cs="Arial" w:eastAsia="Arial" w:hAnsi="Arial"/>
                <w:sz w:val="16"/>
                <w:szCs w:val="16"/>
                <w:color w:val="auto"/>
              </w:rPr>
              <w:t>Diluted net (loss) income per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(0.02)</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(0.09)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
        </w:trPr>
        <w:tc>
          <w:tcPr>
            <w:tcW w:w="27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3" w:name="page24"/>
    <w:bookmarkEnd w:id="23"/>
    <w:p>
      <w:pPr>
        <w:jc w:val="both"/>
        <w:ind w:firstLine="486"/>
        <w:spacing w:after="0" w:line="27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880" w:type="dxa"/>
            <w:vAlign w:val="bottom"/>
            <w:gridSpan w:val="3"/>
          </w:tcPr>
          <w:p>
            <w:pPr>
              <w:ind w:left="940"/>
              <w:spacing w:after="0"/>
              <w:rPr>
                <w:sz w:val="20"/>
                <w:szCs w:val="20"/>
                <w:color w:val="auto"/>
              </w:rPr>
            </w:pPr>
            <w:r>
              <w:rPr>
                <w:rFonts w:ascii="Arial" w:cs="Arial" w:eastAsia="Arial" w:hAnsi="Arial"/>
                <w:sz w:val="14"/>
                <w:szCs w:val="14"/>
                <w:b w:val="1"/>
                <w:bCs w:val="1"/>
                <w:color w:val="auto"/>
                <w:w w:val="96"/>
              </w:rPr>
              <w:t>As of June 30,</w:t>
            </w:r>
          </w:p>
        </w:tc>
        <w:tc>
          <w:tcPr>
            <w:tcW w:w="880" w:type="dxa"/>
            <w:vAlign w:val="bottom"/>
          </w:tcPr>
          <w:p>
            <w:pPr>
              <w:spacing w:after="0"/>
              <w:rPr>
                <w:sz w:val="16"/>
                <w:szCs w:val="16"/>
                <w:color w:val="auto"/>
              </w:rPr>
            </w:pPr>
          </w:p>
        </w:tc>
      </w:tr>
      <w:tr>
        <w:trPr>
          <w:trHeight w:val="26"/>
        </w:trPr>
        <w:tc>
          <w:tcPr>
            <w:tcW w:w="84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848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39"/>
        </w:trPr>
        <w:tc>
          <w:tcPr>
            <w:tcW w:w="84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6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subject to outstanding stock options, RSUs and PSUs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63"/>
        </w:trPr>
        <w:tc>
          <w:tcPr>
            <w:tcW w:w="8480" w:type="dxa"/>
            <w:vAlign w:val="bottom"/>
          </w:tcPr>
          <w:p>
            <w:pPr>
              <w:ind w:left="20"/>
              <w:spacing w:after="0"/>
              <w:rPr>
                <w:sz w:val="20"/>
                <w:szCs w:val="20"/>
                <w:color w:val="auto"/>
              </w:rPr>
            </w:pPr>
            <w:r>
              <w:rPr>
                <w:rFonts w:ascii="Arial" w:cs="Arial" w:eastAsia="Arial" w:hAnsi="Arial"/>
                <w:sz w:val="18"/>
                <w:szCs w:val="18"/>
                <w:color w:val="auto"/>
              </w:rPr>
              <w:t>Unvested restricted shares of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subject to the 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480" w:type="dxa"/>
            <w:vAlign w:val="bottom"/>
          </w:tcPr>
          <w:p>
            <w:pPr>
              <w:ind w:left="20"/>
              <w:spacing w:after="0"/>
              <w:rPr>
                <w:sz w:val="20"/>
                <w:szCs w:val="20"/>
                <w:color w:val="auto"/>
              </w:rPr>
            </w:pPr>
            <w:r>
              <w:rPr>
                <w:rFonts w:ascii="Arial" w:cs="Arial" w:eastAsia="Arial" w:hAnsi="Arial"/>
                <w:sz w:val="18"/>
                <w:szCs w:val="18"/>
                <w:color w:val="auto"/>
              </w:rPr>
              <w:t>Shares issuable upon conversion of the convertible senior notes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8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ASU No. 2020-06 requires the application of the if-converted method to calculate the impact of convertible instruments on diluted earnings per share when the instruments may be settled in cash or shares. The Company uses the if-converted method for calculating any potential dilutive effect of the conversion options embedded in the 2025 Notes on diluted net income per share as required under ASU No. 2020-06 to determine the dilutive effect of the Notes. See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2022,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log management, real-user monitoring,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As of June 30, 2023, we had $291.3 million in cash and cash equivalents and $1.9 billion in marketable securities. We generated revenue of $509.5 million and $406.1 million in the three months ended June 30, 2023 and 2022, respectively, representing year-over-year growth of 25%. For the six months ended June 30, 2023 and 2022, our revenue was $991.2 million and $769.2 million, respectively, representing year-over-year growth of 29%. Substantially all of our revenue is from subscription software sales. We have continued to make significant expenditures and investments, including in personnel-related costs, sales and marketing, infrastructure and operations, and have incurred net (loss) income of $(4.0) million and $(4.9) million for the three months ended June 30, 2023 and 2022, respectively, and $(28.1) million and $4.9 million for the six months ended June 30, 2023 and 2022, respectively. Our operating cash flow was $286.9 million and $220.3 million for the six months ended June 30, 2023 and 2022, respectively. Our free cash flow was $258.1 million and $190.1 million for the six months ended June 30, 2023 and 2022, respectively. See the section titled “—Liquidity and Capital Resources—Non-GAAP Free Cash Flow” below.</w:t>
      </w:r>
    </w:p>
    <w:p>
      <w:pPr>
        <w:spacing w:after="0" w:line="20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Unfavorable conditions in the economy both in the United States and abroad may negatively affect the growth of our business and our results of operations. For example, macroeconomic events including rising inflation, the U.S. Federal Reserve raising interest rates, the failure of Silicon Valley Bank and other financial institutions, the Russian invasion of Ukraine, and the COVID-19 pandemic have led to economic uncertainty. Historically, during periods of economic uncertainty and downturns, businesses may slow spending on information technology, which may impact our business and our customers’ businesses. In recent quarters, we have seen slower usage growth from existing customers, which may be related to the uncertain macroeconomic environment. In addition, as restrictions imposed by the COVID-19 pandemic have lifted, we have increased office activity globally, such as travel, in-person meetings and events as well as increased hiring and capital expenditures for additional office space.</w:t>
      </w:r>
    </w:p>
    <w:p>
      <w:pPr>
        <w:spacing w:after="0" w:line="20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Due to our subscription model, the effect of macroeconomic conditions may not be fully reflected in our results of operations until future periods. However, if economic uncertainty increases or the global economy worsens,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2023, we had approximately 26,100 customers spanning organizations of a broad range of sizes and industries, compared to approximately 21,200 as of June 30, 2022.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base of customers represents a significant opportunity for further sales expansion. As of June 30, 2023, we had approximately 2,990 customers with annual run-rate revenue, or ARR, of $100,000 or more, representing 85% of our ARR, up from 2,420 customers as of June 30, 2022, representing 85%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6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 further indication of the propensity of our customer relationships to expand over time is our dollar-based net retention rate, which compares our ARR from the same set of customers in one period, relative to the year-ago period. As of each of June 30, 2023 and 2022, our trailing 12-month dollar-based net retention rate was above 120%.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 As the growth of our business has decelerated in recent quarters, our trailing 12-month dollar-based net retention rate has declined.</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17 products</w:t>
      </w:r>
      <w:r>
        <w:rPr>
          <w:rFonts w:ascii="Arial" w:cs="Arial" w:eastAsia="Arial" w:hAnsi="Arial"/>
          <w:sz w:val="16"/>
          <w:szCs w:val="16"/>
          <w:color w:val="333333"/>
        </w:rPr>
        <w:t>.</w:t>
      </w:r>
      <w:r>
        <w:rPr>
          <w:rFonts w:ascii="Arial" w:cs="Arial" w:eastAsia="Arial" w:hAnsi="Arial"/>
          <w:sz w:val="16"/>
          <w:szCs w:val="16"/>
          <w:color w:val="auto"/>
        </w:rPr>
        <w:t xml:space="preserve"> Approximately 82% of our customers were using more than one product as June 30, 2023, up from approximately 79% a year earlier. Additionally, as of June 30, 2023, approximately 45% of our customers were using more than four products, up from approximately 37% a year earlier, and approximately 21% of our customers were using more than six products, up from approximately 14% a year earlier. We believe these metrics indicate strong expansion of product adoption across our platform.</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30% and 28% of total revenue for the six months ended June 30, 2023 and 2022,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Amsterdam, Dublin, London, Paris, Seoul, Singapore, Sydney, and Tokyo.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Usage is measured primarily by the number of hosts or by the volume of data indexed. A host is generally defined as a server, either in the cloud or on-premise. Our infrastructure monitoring, APM and </w:t>
      </w:r>
      <w:r>
        <w:rPr>
          <w:rFonts w:ascii="Arial" w:cs="Arial" w:eastAsia="Arial" w:hAnsi="Arial"/>
          <w:sz w:val="17"/>
          <w:szCs w:val="17"/>
          <w:color w:val="333333"/>
        </w:rPr>
        <w:t>network performance monitoring</w:t>
      </w:r>
      <w:r>
        <w:rPr>
          <w:rFonts w:ascii="Arial" w:cs="Arial" w:eastAsia="Arial" w:hAnsi="Arial"/>
          <w:sz w:val="17"/>
          <w:szCs w:val="17"/>
          <w:color w:val="auto"/>
        </w:rPr>
        <w:t xml:space="preserve"> products are priced per host, our logs product is priced primarily per log events indexed and secondarily by events ingested. </w:t>
      </w:r>
      <w:r>
        <w:rPr>
          <w:rFonts w:ascii="Arial" w:cs="Arial" w:eastAsia="Arial" w:hAnsi="Arial"/>
          <w:sz w:val="17"/>
          <w:szCs w:val="17"/>
          <w:color w:val="333333"/>
        </w:rPr>
        <w:t>Customers also have the option to purchase additional products, such as additional container or</w:t>
      </w:r>
      <w:r>
        <w:rPr>
          <w:rFonts w:ascii="Arial" w:cs="Arial" w:eastAsia="Arial" w:hAnsi="Arial"/>
          <w:sz w:val="17"/>
          <w:szCs w:val="17"/>
          <w:color w:val="auto"/>
        </w:rPr>
        <w:t xml:space="preserve"> </w:t>
      </w:r>
      <w:r>
        <w:rPr>
          <w:rFonts w:ascii="Arial" w:cs="Arial" w:eastAsia="Arial" w:hAnsi="Arial"/>
          <w:sz w:val="17"/>
          <w:szCs w:val="17"/>
          <w:color w:val="333333"/>
        </w:rPr>
        <w:t>serverless monitoring, custom metrics packages, anomaly detection, synthetic monitoring and app analytics.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7" w:name="page28"/>
    <w:bookmarkEnd w:id="27"/>
    <w:p>
      <w:pPr>
        <w:jc w:val="both"/>
        <w:ind w:firstLine="486"/>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Other income,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509,460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406,138</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991,174</w:t>
            </w:r>
          </w:p>
        </w:tc>
        <w:tc>
          <w:tcPr>
            <w:tcW w:w="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769,168</w:t>
            </w:r>
          </w:p>
        </w:tc>
        <w:tc>
          <w:tcPr>
            <w:tcW w:w="0" w:type="dxa"/>
            <w:vAlign w:val="bottom"/>
          </w:tcPr>
          <w:p>
            <w:pPr>
              <w:spacing w:after="0"/>
              <w:rPr>
                <w:sz w:val="1"/>
                <w:szCs w:val="1"/>
                <w:color w:val="auto"/>
              </w:rPr>
            </w:pPr>
          </w:p>
        </w:tc>
      </w:tr>
      <w:tr>
        <w:trPr>
          <w:trHeight w:val="27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0"/>
                <w:szCs w:val="10"/>
                <w:color w:val="auto"/>
              </w:rPr>
              <w:t>(1)(2)(3)</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201,760</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156,387</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324,213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789,414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612,781</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0"/>
                <w:szCs w:val="10"/>
                <w:color w:val="auto"/>
              </w:rPr>
              <w:t>(1)(3)</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468,972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328,307</w:t>
            </w:r>
          </w:p>
        </w:tc>
        <w:tc>
          <w:tcPr>
            <w:tcW w:w="0" w:type="dxa"/>
            <w:vAlign w:val="bottom"/>
          </w:tcPr>
          <w:p>
            <w:pPr>
              <w:spacing w:after="0"/>
              <w:rPr>
                <w:sz w:val="1"/>
                <w:szCs w:val="1"/>
                <w:color w:val="auto"/>
              </w:rPr>
            </w:pPr>
          </w:p>
        </w:tc>
      </w:tr>
      <w:tr>
        <w:trPr>
          <w:trHeight w:val="270"/>
        </w:trPr>
        <w:tc>
          <w:tcPr>
            <w:tcW w:w="4540" w:type="dxa"/>
            <w:vAlign w:val="bottom"/>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0"/>
                <w:szCs w:val="10"/>
                <w:color w:val="auto"/>
              </w:rPr>
              <w:t>(1)(2)(3)</w:t>
            </w: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115,270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292,426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216,436</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0"/>
                <w:szCs w:val="10"/>
                <w:color w:val="auto"/>
              </w:rPr>
              <w:t>(1)(3)</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84,992</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60,763</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846,390</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605,506</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0"/>
                <w:szCs w:val="10"/>
                <w:color w:val="auto"/>
              </w:rPr>
              <w:t>(4)</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0" w:type="dxa"/>
            <w:vAlign w:val="bottom"/>
          </w:tcPr>
          <w:p>
            <w:pPr>
              <w:spacing w:after="0"/>
              <w:rPr>
                <w:sz w:val="1"/>
                <w:szCs w:val="1"/>
                <w:color w:val="auto"/>
              </w:rPr>
            </w:pPr>
          </w:p>
        </w:tc>
      </w:tr>
      <w:tr>
        <w:trPr>
          <w:trHeight w:val="270"/>
        </w:trPr>
        <w:tc>
          <w:tcPr>
            <w:tcW w:w="45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39,351</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net</w:t>
            </w:r>
          </w:p>
        </w:tc>
        <w:tc>
          <w:tcPr>
            <w:tcW w:w="1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35,644</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45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2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560" w:type="dxa"/>
            <w:vAlign w:val="bottom"/>
            <w:tcBorders>
              <w:bottom w:val="single" w:sz="8" w:color="CFF0FC"/>
            </w:tcBorders>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7,882</w:t>
            </w:r>
          </w:p>
        </w:tc>
        <w:tc>
          <w:tcPr>
            <w:tcW w:w="640" w:type="dxa"/>
            <w:vAlign w:val="bottom"/>
            <w:tcBorders>
              <w:bottom w:val="single" w:sz="8" w:color="CFF0FC"/>
            </w:tcBorders>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150,433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98,005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48,898</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32,185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23,852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15,085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118,337</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82,399</w:t>
            </w:r>
          </w:p>
        </w:tc>
        <w:tc>
          <w:tcPr>
            <w:tcW w:w="5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231,065</w:t>
            </w:r>
          </w:p>
        </w:tc>
        <w:tc>
          <w:tcPr>
            <w:tcW w:w="6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w:t>
            </w: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5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4540" w:type="dxa"/>
            <w:vAlign w:val="bottom"/>
          </w:tcPr>
          <w:p>
            <w:pPr>
              <w:spacing w:after="0"/>
              <w:rPr>
                <w:sz w:val="24"/>
                <w:szCs w:val="24"/>
                <w:color w:val="auto"/>
              </w:rPr>
            </w:pP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9" w:name="page30"/>
    <w:bookmarkEnd w:id="29"/>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(in thousands)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2,064</w:t>
            </w:r>
          </w:p>
        </w:tc>
        <w:tc>
          <w:tcPr>
            <w:tcW w:w="94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1,482</w:t>
            </w:r>
          </w:p>
        </w:tc>
        <w:tc>
          <w:tcPr>
            <w:tcW w:w="54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4,080</w:t>
            </w:r>
          </w:p>
        </w:tc>
        <w:tc>
          <w:tcPr>
            <w:tcW w:w="640" w:type="dxa"/>
            <w:vAlign w:val="bottom"/>
            <w:tcBorders>
              <w:bottom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2,270</w:t>
            </w:r>
          </w:p>
        </w:tc>
        <w:tc>
          <w:tcPr>
            <w:tcW w:w="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1,688</w:t>
            </w: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6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(3) Includes employer payroll taxes on employee stock transactions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3"/>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(in thousands)</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94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4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640" w:type="dxa"/>
            <w:vAlign w:val="bottom"/>
            <w:tcBorders>
              <w:bottom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5,360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2,829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9,953</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1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1,143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2,108</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7,865</w:t>
            </w:r>
          </w:p>
        </w:tc>
        <w:tc>
          <w:tcPr>
            <w:tcW w:w="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3,721</w:t>
            </w: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14,258</w:t>
            </w:r>
          </w:p>
        </w:tc>
        <w:tc>
          <w:tcPr>
            <w:tcW w:w="6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(4) Includes amortization of issuance costs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28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5"/>
                <w:szCs w:val="15"/>
                <w:color w:val="auto"/>
              </w:rPr>
            </w:pPr>
          </w:p>
        </w:tc>
      </w:tr>
      <w:tr>
        <w:trPr>
          <w:trHeight w:val="186"/>
        </w:trPr>
        <w:tc>
          <w:tcPr>
            <w:tcW w:w="5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Pr>
          <w:p>
            <w:pPr>
              <w:spacing w:after="0"/>
              <w:rPr>
                <w:sz w:val="16"/>
                <w:szCs w:val="16"/>
                <w:color w:val="auto"/>
              </w:rPr>
            </w:pPr>
          </w:p>
        </w:tc>
      </w:tr>
      <w:tr>
        <w:trPr>
          <w:trHeight w:val="25"/>
        </w:trPr>
        <w:tc>
          <w:tcPr>
            <w:tcW w:w="5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jc w:val="right"/>
              <w:ind w:right="439"/>
              <w:spacing w:after="0"/>
              <w:rPr>
                <w:sz w:val="20"/>
                <w:szCs w:val="20"/>
                <w:color w:val="auto"/>
              </w:rPr>
            </w:pPr>
            <w:r>
              <w:rPr>
                <w:rFonts w:ascii="Arial" w:cs="Arial" w:eastAsia="Arial" w:hAnsi="Arial"/>
                <w:sz w:val="14"/>
                <w:szCs w:val="14"/>
                <w:b w:val="1"/>
                <w:bCs w:val="1"/>
                <w:color w:val="auto"/>
                <w:w w:val="83"/>
              </w:rPr>
              <w:t>2022</w:t>
            </w:r>
          </w:p>
        </w:tc>
      </w:tr>
      <w:tr>
        <w:trPr>
          <w:trHeight w:val="39"/>
        </w:trPr>
        <w:tc>
          <w:tcPr>
            <w:tcW w:w="5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5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9"/>
        </w:trPr>
        <w:tc>
          <w:tcPr>
            <w:tcW w:w="5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846</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90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93"/>
              </w:rPr>
              <w:t>1,691</w:t>
            </w:r>
          </w:p>
        </w:tc>
        <w:tc>
          <w:tcPr>
            <w:tcW w:w="6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r>
      <w:tr>
        <w:trPr>
          <w:trHeight w:val="27"/>
        </w:trPr>
        <w:tc>
          <w:tcPr>
            <w:tcW w:w="56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30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5"/>
                <w:szCs w:val="15"/>
                <w:color w:val="auto"/>
              </w:rPr>
            </w:pPr>
          </w:p>
        </w:tc>
        <w:tc>
          <w:tcPr>
            <w:tcW w:w="2140" w:type="dxa"/>
            <w:vAlign w:val="bottom"/>
            <w:gridSpan w:val="3"/>
          </w:tcPr>
          <w:p>
            <w:pPr>
              <w:jc w:val="center"/>
              <w:ind w:left="835"/>
              <w:spacing w:after="0"/>
              <w:rPr>
                <w:sz w:val="20"/>
                <w:szCs w:val="20"/>
                <w:color w:val="auto"/>
              </w:rPr>
            </w:pPr>
            <w:r>
              <w:rPr>
                <w:rFonts w:ascii="Arial" w:cs="Arial" w:eastAsia="Arial" w:hAnsi="Arial"/>
                <w:sz w:val="14"/>
                <w:szCs w:val="14"/>
                <w:b w:val="1"/>
                <w:bCs w:val="1"/>
                <w:color w:val="auto"/>
                <w:w w:val="93"/>
              </w:rPr>
              <w:t>Six Months Ended</w:t>
            </w:r>
          </w:p>
        </w:tc>
        <w:tc>
          <w:tcPr>
            <w:tcW w:w="940" w:type="dxa"/>
            <w:vAlign w:val="bottom"/>
          </w:tcPr>
          <w:p>
            <w:pPr>
              <w:spacing w:after="0"/>
              <w:rPr>
                <w:sz w:val="15"/>
                <w:szCs w:val="15"/>
                <w:color w:val="auto"/>
              </w:rPr>
            </w:pPr>
          </w:p>
        </w:tc>
      </w:tr>
      <w:tr>
        <w:trPr>
          <w:trHeight w:val="186"/>
        </w:trPr>
        <w:tc>
          <w:tcPr>
            <w:tcW w:w="4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2"/>
              </w:rPr>
              <w:t>June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center"/>
              <w:ind w:left="855"/>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spacing w:after="0"/>
              <w:rPr>
                <w:sz w:val="16"/>
                <w:szCs w:val="16"/>
                <w:color w:val="auto"/>
              </w:rPr>
            </w:pPr>
          </w:p>
        </w:tc>
      </w:tr>
      <w:tr>
        <w:trPr>
          <w:trHeight w:val="39"/>
        </w:trPr>
        <w:tc>
          <w:tcPr>
            <w:tcW w:w="4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4"/>
        </w:trPr>
        <w:tc>
          <w:tcPr>
            <w:tcW w:w="5920" w:type="dxa"/>
            <w:vAlign w:val="bottom"/>
            <w:gridSpan w:val="2"/>
          </w:tcPr>
          <w:p>
            <w:pPr>
              <w:ind w:left="5560"/>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39"/>
        </w:trPr>
        <w:tc>
          <w:tcPr>
            <w:tcW w:w="49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0"/>
        </w:trPr>
        <w:tc>
          <w:tcPr>
            <w:tcW w:w="4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5"/>
          </w:tcPr>
          <w:p>
            <w:pPr>
              <w:ind w:left="140"/>
              <w:spacing w:after="0"/>
              <w:rPr>
                <w:sz w:val="20"/>
                <w:szCs w:val="20"/>
                <w:color w:val="auto"/>
              </w:rPr>
            </w:pPr>
            <w:r>
              <w:rPr>
                <w:rFonts w:ascii="Arial" w:cs="Arial" w:eastAsia="Arial" w:hAnsi="Arial"/>
                <w:sz w:val="14"/>
                <w:szCs w:val="14"/>
                <w:b w:val="1"/>
                <w:bCs w:val="1"/>
                <w:color w:val="auto"/>
              </w:rPr>
              <w:t>(as a percentage of total revenue</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940" w:type="dxa"/>
            <w:vAlign w:val="bottom"/>
          </w:tcPr>
          <w:p>
            <w:pPr>
              <w:spacing w:after="0"/>
              <w:rPr>
                <w:sz w:val="21"/>
                <w:szCs w:val="2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20</w:t>
            </w:r>
          </w:p>
        </w:tc>
      </w:tr>
      <w:tr>
        <w:trPr>
          <w:trHeight w:val="27"/>
        </w:trPr>
        <w:tc>
          <w:tcPr>
            <w:tcW w:w="4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80</w:t>
            </w:r>
          </w:p>
        </w:tc>
        <w:tc>
          <w:tcPr>
            <w:tcW w:w="1580" w:type="dxa"/>
            <w:vAlign w:val="bottom"/>
            <w:tcBorders>
              <w:bottom w:val="single" w:sz="8" w:color="CFF0FC"/>
            </w:tcBorders>
            <w:gridSpan w:val="2"/>
            <w:shd w:val="clear" w:color="auto" w:fill="CFF0FC"/>
          </w:tcPr>
          <w:p>
            <w:pPr>
              <w:jc w:val="right"/>
              <w:ind w:right="135"/>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80</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CFF0FC"/>
            </w:tcBorders>
            <w:gridSpan w:val="2"/>
            <w:shd w:val="clear" w:color="auto" w:fill="CFF0FC"/>
          </w:tcPr>
          <w:p>
            <w:pPr>
              <w:jc w:val="right"/>
              <w:ind w:right="135"/>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43</w:t>
            </w:r>
          </w:p>
        </w:tc>
      </w:tr>
      <w:tr>
        <w:trPr>
          <w:trHeight w:val="243"/>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28</w:t>
            </w:r>
          </w:p>
        </w:tc>
        <w:tc>
          <w:tcPr>
            <w:tcW w:w="1580" w:type="dxa"/>
            <w:vAlign w:val="bottom"/>
            <w:gridSpan w:val="2"/>
          </w:tcPr>
          <w:p>
            <w:pPr>
              <w:jc w:val="right"/>
              <w:ind w:right="1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28</w:t>
            </w: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8</w:t>
            </w:r>
          </w:p>
        </w:tc>
      </w:tr>
      <w:tr>
        <w:trPr>
          <w:trHeight w:val="263"/>
        </w:trPr>
        <w:tc>
          <w:tcPr>
            <w:tcW w:w="49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79</w:t>
            </w: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CFF0FC"/>
            </w:tcBorders>
            <w:gridSpan w:val="2"/>
            <w:shd w:val="clear" w:color="auto" w:fill="CFF0FC"/>
          </w:tcPr>
          <w:p>
            <w:pPr>
              <w:ind w:left="120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1</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Other income (loss):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CFF0FC"/>
            </w:tcBorders>
            <w:gridSpan w:val="2"/>
            <w:shd w:val="clear" w:color="auto" w:fill="CFF0FC"/>
          </w:tcPr>
          <w:p>
            <w:pPr>
              <w:jc w:val="right"/>
              <w:ind w:right="135"/>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(1)</w:t>
            </w:r>
          </w:p>
        </w:tc>
      </w:tr>
      <w:tr>
        <w:trPr>
          <w:trHeight w:val="264"/>
        </w:trPr>
        <w:tc>
          <w:tcPr>
            <w:tcW w:w="4980" w:type="dxa"/>
            <w:vAlign w:val="bottom"/>
          </w:tcPr>
          <w:p>
            <w:pPr>
              <w:ind w:left="220"/>
              <w:spacing w:after="0"/>
              <w:rPr>
                <w:sz w:val="20"/>
                <w:szCs w:val="20"/>
                <w:color w:val="auto"/>
              </w:rPr>
            </w:pPr>
            <w:r>
              <w:rPr>
                <w:rFonts w:ascii="Arial" w:cs="Arial" w:eastAsia="Arial" w:hAnsi="Arial"/>
                <w:sz w:val="18"/>
                <w:szCs w:val="18"/>
                <w:color w:val="auto"/>
              </w:rPr>
              <w:t>Interest income and other income, net</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w:t>
            </w:r>
          </w:p>
        </w:tc>
      </w:tr>
      <w:tr>
        <w:trPr>
          <w:trHeight w:val="264"/>
        </w:trPr>
        <w:tc>
          <w:tcPr>
            <w:tcW w:w="4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(Loss) income before provision for income taxes</w:t>
            </w:r>
          </w:p>
        </w:tc>
        <w:tc>
          <w:tcPr>
            <w:tcW w:w="52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27"/>
        </w:trPr>
        <w:tc>
          <w:tcPr>
            <w:tcW w:w="4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w:t>
            </w:r>
          </w:p>
        </w:tc>
      </w:tr>
      <w:tr>
        <w:trPr>
          <w:trHeight w:val="27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520" w:type="dxa"/>
            <w:vAlign w:val="bottom"/>
          </w:tcPr>
          <w:p>
            <w:pPr>
              <w:ind w:left="160"/>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w w:val="94"/>
              </w:rPr>
              <w:t>(1)%</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1"/>
        </w:trPr>
        <w:tc>
          <w:tcPr>
            <w:tcW w:w="4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Three Months Ended June 30, 2023 and 2022</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94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3"/>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509,460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406,138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55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increased by $103.3 million, or 25%, for the three months ended June 30, 2023 compared to the three months ended June 30, 2022. Approximately 60% of the increase in revenue was attributable to growth from existing customers, and the remaining 40%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6"/>
                <w:szCs w:val="16"/>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101,846</w:t>
            </w: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81,925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580" w:type="dxa"/>
            <w:vAlign w:val="bottom"/>
            <w:gridSpan w:val="2"/>
          </w:tcPr>
          <w:p>
            <w:pPr>
              <w:jc w:val="right"/>
              <w:ind w:right="439"/>
              <w:spacing w:after="0"/>
              <w:rPr>
                <w:sz w:val="20"/>
                <w:szCs w:val="20"/>
                <w:color w:val="auto"/>
              </w:rPr>
            </w:pPr>
            <w:r>
              <w:rPr>
                <w:rFonts w:ascii="Arial" w:cs="Arial" w:eastAsia="Arial" w:hAnsi="Arial"/>
                <w:sz w:val="18"/>
                <w:szCs w:val="18"/>
                <w:color w:val="auto"/>
              </w:rPr>
              <w:t>80 %</w:t>
            </w:r>
          </w:p>
        </w:tc>
        <w:tc>
          <w:tcPr>
            <w:tcW w:w="104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 increased by $19.9 million, or 24%, for the three months ended June 30, 2023 compared to the three months ended June 30, 2022. This increase was primarily due to an increase of $12.0 million in third-party cloud infrastructure hosting and software costs and an increase of $5.2 million in personnel and other related costs as a result of increased headcount.</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gross margin remained flat for the three months ended June 30, 2023 compared to the three months ended June 30, 2022, primarily as the result of revenue growing in proportion to the growth of third-party cloud infrastructure provider costs.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6"/>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left="622"/>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9"/>
        </w:trPr>
        <w:tc>
          <w:tcPr>
            <w:tcW w:w="53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98"/>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7"/>
                <w:szCs w:val="17"/>
                <w:color w:val="auto"/>
              </w:rPr>
            </w:pPr>
          </w:p>
        </w:tc>
        <w:tc>
          <w:tcPr>
            <w:tcW w:w="10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7"/>
                <w:szCs w:val="17"/>
                <w:color w:val="auto"/>
              </w:rPr>
            </w:pPr>
          </w:p>
        </w:tc>
        <w:tc>
          <w:tcPr>
            <w:tcW w:w="1400" w:type="dxa"/>
            <w:vAlign w:val="bottom"/>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5"/>
        </w:trPr>
        <w:tc>
          <w:tcPr>
            <w:tcW w:w="5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9"/>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239,494</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177,699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47 %</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32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Research and development expense increased by $61.8 million, or 35%, for the three months ended June 30, 2023 compared to the three months ended June 30, 2022. This increase was primarily due to an increase of $54.7 million in personnel and other related costs for our engineering, product and design teams as a result of increased headcount and an increase of $6.4 million in cloud infrastructure-related investments.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left="622"/>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147,455</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115,270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29 %</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Sales and marketing expense increased by $32.2 million, or 28%, for the three months ended June 30, 2023 compared to the three months ended June 30, 2022. This increase was primarily due to an increase of $31.1 million in personnel and other related costs for our sales and marketing organization as a result of increased headcount and increased variable compensation for our sales personnel.</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1" w:name="page32"/>
    <w:bookmarkEnd w:id="31"/>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w w:val="89"/>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10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center"/>
              <w:ind w:right="276"/>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42,671</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34,383</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8 %</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 and administrative expense increased by $8.3 million, or 24%, for the three months ended June 30, 2023 compared to the three months ended June 30, 2022. This increase was primarily due to an increase of $7.3 million in personnel and other related costs as a result of increased headcount and an increase of $1.4 million related to bad debt expense.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21,098</w:t>
            </w: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3,128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1"/>
                <w:szCs w:val="21"/>
                <w:color w:val="auto"/>
              </w:rPr>
            </w:pPr>
          </w:p>
        </w:tc>
        <w:tc>
          <w:tcPr>
            <w:tcW w:w="1580" w:type="dxa"/>
            <w:vAlign w:val="bottom"/>
            <w:gridSpan w:val="2"/>
          </w:tcPr>
          <w:p>
            <w:pPr>
              <w:jc w:val="right"/>
              <w:ind w:right="419"/>
              <w:spacing w:after="0"/>
              <w:rPr>
                <w:sz w:val="20"/>
                <w:szCs w:val="20"/>
                <w:color w:val="auto"/>
              </w:rPr>
            </w:pPr>
            <w:r>
              <w:rPr>
                <w:rFonts w:ascii="Arial" w:cs="Arial" w:eastAsia="Arial" w:hAnsi="Arial"/>
                <w:sz w:val="18"/>
                <w:szCs w:val="18"/>
                <w:color w:val="auto"/>
              </w:rPr>
              <w:t>4 %</w:t>
            </w:r>
          </w:p>
        </w:tc>
        <w:tc>
          <w:tcPr>
            <w:tcW w:w="10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 net increased by $18.0 million, or 574%, for the three months ended June 30, 2023 compared to the three months ended June 30, 2022. This increase was primarily driven by an increase of $16.6 million in interest income, mainly due to income earned from investments in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4"/>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991,174</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769,168</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222,006</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55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increased by $222.0 million, or 29%, in the six months ended June 30, 2023 compared to the six months ended June 30, 2022. Approximately 65% of the increase in revenue was attributable to growth from existing customers, and the remaining 35%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201,760</w:t>
            </w:r>
          </w:p>
        </w:tc>
        <w:tc>
          <w:tcPr>
            <w:tcW w:w="640" w:type="dxa"/>
            <w:vAlign w:val="bottom"/>
            <w:tcBorders>
              <w:bottom w:val="single" w:sz="8" w:color="CFF0FC"/>
            </w:tcBorders>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156,387</w:t>
            </w:r>
          </w:p>
        </w:tc>
        <w:tc>
          <w:tcPr>
            <w:tcW w:w="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45,373</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Cost of revenue increased by $45.4 million, or 29%, in the six months ended June 30, 2023 compared to the six months ended June 30, 2022. This increase was primarily due to an increase of $28.6 million in third-party cloud infrastructure hosting and software costs, an increase of $11.7 million in personnel and other related costs as a result of increased headcount, and an increase of $3.5 million of depreciation and amortization.</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gross margin remained flat for the six months ended June 30, 2023 compared to the six months ended June 30, 2022, primarily as the result of revenue growing in proportion to the growth of third-party cloud infrastructure provider costs.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center"/>
              <w:ind w:right="276"/>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468,972</w:t>
            </w:r>
          </w:p>
        </w:tc>
        <w:tc>
          <w:tcPr>
            <w:tcW w:w="660" w:type="dxa"/>
            <w:vAlign w:val="bottom"/>
            <w:tcBorders>
              <w:bottom w:val="single" w:sz="8" w:color="CFF0FC"/>
            </w:tcBorders>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328,307</w:t>
            </w:r>
          </w:p>
        </w:tc>
        <w:tc>
          <w:tcPr>
            <w:tcW w:w="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140,665</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Research and development expense increased by $140.7 million, or 43%, in the six months ended June 30, 2023 compared to the six months ended June 30, 2022. This increase was primarily due to an increase of $122.4 million in personnel and other related costs for our engineering, product and design teams as a result of increased headcount and an increase of $17.0 million in cloud infrastructure-related investments.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3"/>
        </w:trPr>
        <w:tc>
          <w:tcPr>
            <w:tcW w:w="53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190"/>
        </w:trPr>
        <w:tc>
          <w:tcPr>
            <w:tcW w:w="5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9"/>
        </w:trPr>
        <w:tc>
          <w:tcPr>
            <w:tcW w:w="5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292,426</w:t>
            </w:r>
          </w:p>
        </w:tc>
        <w:tc>
          <w:tcPr>
            <w:tcW w:w="660" w:type="dxa"/>
            <w:vAlign w:val="bottom"/>
            <w:tcBorders>
              <w:bottom w:val="single" w:sz="8" w:color="CFF0FC"/>
            </w:tcBorders>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216,436</w:t>
            </w:r>
          </w:p>
        </w:tc>
        <w:tc>
          <w:tcPr>
            <w:tcW w:w="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75,990</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and marketing expense increased by $76.0 million, or 35%, in the six months ended June 30, 2023 compared to the six months ended June 30, 2022. This increase was primarily due to an increase of $68.8 million in personnel and other related costs for our sales and marketing organization as a result of increased headcount and increased variable compensation for our sales personnel and an increase of $6.7 million in advertising, sales, marketing and promotional activities.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
                <w:szCs w:val="2"/>
                <w:color w:val="auto"/>
              </w:rPr>
            </w:pP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18"/>
                <w:szCs w:val="18"/>
                <w:color w:val="auto"/>
              </w:rPr>
              <w:t>84,992</w:t>
            </w:r>
          </w:p>
        </w:tc>
        <w:tc>
          <w:tcPr>
            <w:tcW w:w="640" w:type="dxa"/>
            <w:vAlign w:val="bottom"/>
            <w:tcBorders>
              <w:bottom w:val="single" w:sz="8" w:color="CFF0FC"/>
            </w:tcBorders>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60,763</w:t>
            </w:r>
          </w:p>
        </w:tc>
        <w:tc>
          <w:tcPr>
            <w:tcW w:w="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24,229</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 and administrative expense increased by $24.2 million, or 40%, in the six months ended June 30, 2023 compared to the six months ended June 30, 2022. This increase was primarily due to an increase of $19.5 million in personnel and other related costs as a result of increased headcount and an increase of $4.4 million related to bad debt expense.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jc w:val="center"/>
              <w:ind w:left="481"/>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47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5"/>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center"/>
              <w:ind w:right="236"/>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35,644</w:t>
            </w:r>
          </w:p>
        </w:tc>
        <w:tc>
          <w:tcPr>
            <w:tcW w:w="860" w:type="dxa"/>
            <w:vAlign w:val="bottom"/>
            <w:tcBorders>
              <w:bottom w:val="single" w:sz="8" w:color="CFF0FC"/>
            </w:tcBorders>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3,568</w:t>
            </w:r>
          </w:p>
        </w:tc>
        <w:tc>
          <w:tcPr>
            <w:tcW w:w="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32,076</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899 %</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 net increased by $32.1 million, or 899%, in the six months ended June 30, 2023 compared to the six months ended June 30, 2022. This increase was primarily driven by an increase of $29.6 million in interest income, mainly due to income earned from investments in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six months ended June 30, 2023 and 2022. When assessing</w:t>
      </w:r>
    </w:p>
    <w:p>
      <w:pPr>
        <w:sectPr>
          <w:pgSz w:w="11900" w:h="16838" w:orient="portrait"/>
          <w:cols w:equalWidth="0" w:num="1">
            <w:col w:w="11240"/>
          </w:cols>
          <w:pgMar w:left="320" w:top="123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sources of liquidity, we also include cash and cash equivalents of $291.3 million and marketable securities of $1.9 billion as of June 30, 2023. We believe that our existing cash and cash equivalents, marketable securities and cash flow from operations will be sufficient to support our cash requirements for the next 12 months and beyond.</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six months ended June 30, 2023,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188"/>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4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286,945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220,348</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(366,285)</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(269,872)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27,520</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20,005</w:t>
            </w: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Net cash provided by operating activities for the six months ended June 30, 2023 increased $66.6 million compared to the six months ended June 30, 2022, primarily driven by an increase in non-cash charges of $78.7 million and a decrease in accounts receivable of $98.2 million. The increase in non-cash charges related primarily to an increase of $81.8 million in stock-based compensation as we continued to increase headcount to support the growth of the business. The decrease in accounts receivable was primarily due to timing of cash collections. The increase in cash provided by operating activities was offset by a decrease in accrued expenses and other liabilities of $39.8 million and a decrease in deferred revenue of $33.0 million.</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cash used in investing activities for the six months ended June 30, 2023 increased $96.4 million compared to the six months ended June 30, 2023, primarily driven by an increase of $671.5 million in the investment in marketable securities. The increase in cash used in investing activities was offset by an increase of $501.6 million in proceeds from maturities of marketable securities, an increase of $34.6 million in proceeds from the sale of marketable securities, and a decrease of $37.5 million in cash paid for the acquisition of businesses net of cash acquired.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2023 increased $7.5 million compared to the six months ended June 30, 2022, primarily due to an increase in proceeds from the issuance of Class A common stock under the ESPP of $6.4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71"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r>
      <w:tr>
        <w:trPr>
          <w:trHeight w:val="188"/>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ind w:left="620"/>
              <w:spacing w:after="0"/>
              <w:rPr>
                <w:sz w:val="20"/>
                <w:szCs w:val="20"/>
                <w:color w:val="auto"/>
              </w:rPr>
            </w:pPr>
            <w:r>
              <w:rPr>
                <w:rFonts w:ascii="Arial" w:cs="Arial" w:eastAsia="Arial" w:hAnsi="Arial"/>
                <w:sz w:val="14"/>
                <w:szCs w:val="14"/>
                <w:b w:val="1"/>
                <w:bCs w:val="1"/>
                <w:color w:val="auto"/>
                <w:w w:val="95"/>
              </w:rPr>
              <w:t>(in thousands)</w:t>
            </w:r>
          </w:p>
        </w:tc>
        <w:tc>
          <w:tcPr>
            <w:tcW w:w="880" w:type="dxa"/>
            <w:vAlign w:val="bottom"/>
          </w:tcPr>
          <w:p>
            <w:pPr>
              <w:spacing w:after="0"/>
              <w:rPr>
                <w:sz w:val="16"/>
                <w:szCs w:val="16"/>
                <w:color w:val="auto"/>
              </w:rPr>
            </w:pPr>
          </w:p>
        </w:tc>
      </w:tr>
      <w:tr>
        <w:trPr>
          <w:trHeight w:val="24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286,945</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220,348</w:t>
            </w: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92"/>
              </w:rPr>
              <w:t>(11,078)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w w:val="92"/>
              </w:rPr>
              <w:t>(15,501)</w:t>
            </w:r>
          </w:p>
        </w:tc>
      </w:tr>
      <w:tr>
        <w:trPr>
          <w:trHeight w:val="23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2"/>
              </w:rPr>
              <w:t>(17,798)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(14,780)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340"/>
              <w:spacing w:after="0"/>
              <w:rPr>
                <w:sz w:val="20"/>
                <w:szCs w:val="20"/>
                <w:color w:val="auto"/>
              </w:rPr>
            </w:pPr>
            <w:r>
              <w:rPr>
                <w:rFonts w:ascii="Arial" w:cs="Arial" w:eastAsia="Arial" w:hAnsi="Arial"/>
                <w:sz w:val="18"/>
                <w:szCs w:val="18"/>
                <w:color w:val="auto"/>
                <w:w w:val="98"/>
              </w:rPr>
              <w:t>258,069</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ind w:left="220"/>
              <w:spacing w:after="0"/>
              <w:rPr>
                <w:sz w:val="20"/>
                <w:szCs w:val="20"/>
                <w:color w:val="auto"/>
              </w:rPr>
            </w:pPr>
            <w:r>
              <w:rPr>
                <w:rFonts w:ascii="Arial" w:cs="Arial" w:eastAsia="Arial" w:hAnsi="Arial"/>
                <w:sz w:val="18"/>
                <w:szCs w:val="18"/>
                <w:color w:val="auto"/>
                <w:w w:val="98"/>
              </w:rPr>
              <w:t>190,067</w:t>
            </w:r>
          </w:p>
        </w:tc>
      </w:tr>
      <w:tr>
        <w:trPr>
          <w:trHeight w:val="27"/>
        </w:trPr>
        <w:tc>
          <w:tcPr>
            <w:tcW w:w="84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in our Notes to Unaudited Condensed Consolidated Financial Statements included in Part I, Item 1 of this Quarterly Report on Form 10-Q for a discussion of 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As of June 30, 2023, we had $260.8 million in cash equivalents and $1.9 billion in marketable securities, </w:t>
      </w:r>
      <w:r>
        <w:rPr>
          <w:rFonts w:ascii="Arial" w:cs="Arial" w:eastAsia="Arial" w:hAnsi="Arial"/>
          <w:sz w:val="17"/>
          <w:szCs w:val="17"/>
          <w:color w:val="333333"/>
        </w:rPr>
        <w:t>which consisted</w:t>
      </w:r>
      <w:r>
        <w:rPr>
          <w:rFonts w:ascii="Arial" w:cs="Arial" w:eastAsia="Arial" w:hAnsi="Arial"/>
          <w:sz w:val="17"/>
          <w:szCs w:val="17"/>
          <w:color w:val="auto"/>
        </w:rPr>
        <w:t xml:space="preserve"> of commercial debt, commercial paper, U.S. government treasury securities, certificates of deposit, and U.S. government agency securities</w:t>
      </w:r>
      <w:r>
        <w:rPr>
          <w:rFonts w:ascii="Arial" w:cs="Arial" w:eastAsia="Arial" w:hAnsi="Arial"/>
          <w:sz w:val="17"/>
          <w:szCs w:val="17"/>
          <w:color w:val="333333"/>
        </w:rPr>
        <w:t>.</w:t>
      </w:r>
      <w:r>
        <w:rPr>
          <w:rFonts w:ascii="Arial" w:cs="Arial" w:eastAsia="Arial" w:hAnsi="Arial"/>
          <w:sz w:val="17"/>
          <w:szCs w:val="17"/>
          <w:color w:val="auto"/>
        </w:rPr>
        <w:t xml:space="preserve"> Our cash and cash equivalents are held for working capital purposes. We do not enter into investments for trading or speculative purposes. </w:t>
      </w:r>
      <w:r>
        <w:rPr>
          <w:rFonts w:ascii="Arial" w:cs="Arial" w:eastAsia="Arial" w:hAnsi="Arial"/>
          <w:sz w:val="17"/>
          <w:szCs w:val="17"/>
          <w:color w:val="333333"/>
        </w:rPr>
        <w:t>Our investments are exposed to market risk due to</w:t>
      </w:r>
      <w:r>
        <w:rPr>
          <w:rFonts w:ascii="Arial" w:cs="Arial" w:eastAsia="Arial" w:hAnsi="Arial"/>
          <w:sz w:val="17"/>
          <w:szCs w:val="17"/>
          <w:color w:val="auto"/>
        </w:rPr>
        <w:t xml:space="preserve"> </w:t>
      </w:r>
      <w:r>
        <w:rPr>
          <w:rFonts w:ascii="Arial" w:cs="Arial" w:eastAsia="Arial" w:hAnsi="Arial"/>
          <w:sz w:val="17"/>
          <w:szCs w:val="17"/>
          <w:color w:val="333333"/>
        </w:rPr>
        <w:t xml:space="preserve">a fluctuation in interest rates, which may affect our interest income and the fair market value of our investments. </w:t>
      </w:r>
      <w:r>
        <w:rPr>
          <w:rFonts w:ascii="Arial" w:cs="Arial" w:eastAsia="Arial" w:hAnsi="Arial"/>
          <w:sz w:val="17"/>
          <w:szCs w:val="17"/>
          <w:color w:val="000000"/>
        </w:rPr>
        <w:t>As of June 30, 2023, a hypothetical 10%</w:t>
      </w:r>
      <w:r>
        <w:rPr>
          <w:rFonts w:ascii="Arial" w:cs="Arial" w:eastAsia="Arial" w:hAnsi="Arial"/>
          <w:sz w:val="17"/>
          <w:szCs w:val="17"/>
          <w:color w:val="333333"/>
        </w:rPr>
        <w:t xml:space="preserve"> </w:t>
      </w:r>
      <w:r>
        <w:rPr>
          <w:rFonts w:ascii="Arial" w:cs="Arial" w:eastAsia="Arial" w:hAnsi="Arial"/>
          <w:sz w:val="17"/>
          <w:szCs w:val="17"/>
          <w:color w:val="000000"/>
        </w:rPr>
        <w:t>relative change in interest rates would not have a material impact on our condensed consolidated financial statements.</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stock price declines. The interest and market value changes affect the fair value of the 2025 Notes but do not impact our financial position, cash flows, or results of operations due to the fixed nature of the debt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2023. 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require additional capital to support the growth of our business, and this capital might not be available on acceptable terms, if at all.</w:t>
      </w:r>
    </w:p>
    <w:p>
      <w:pPr>
        <w:spacing w:after="0" w:line="140"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attract new customers, our business, financial condition and results of operations will be adversely affected.</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8"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9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62"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the failure of Silicon Valley Bank and other financial institutions, international trade relations, political turmoil, natural catastrophes, outbreaks of contagious diseases (such as the COVID-19 pandemic),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may reoccur in the future. The war in Ukraine and the related political and economic responses imposed on Russia such as sanctions, may also exacerbate these issues and trends especially in Europe.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revenue was $991.2 million and $769.2 million for the six months ended June 30, 2023 and 2022, respectively, and $1,675.1 million and $1,028.8 million for the years ended December 31, 2022 and 2021,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80"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generated net losses in each year since our inception, including net losses of $50.2 million and $20.7 million for the years ended December 31, 2022 and 2021, respectively. As of June 30, 2023, we had an accumulated deficit of $230.3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forecast our future results of operations.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9" w:name="page40"/>
    <w:bookmarkEnd w:id="39"/>
    <w:p>
      <w:pPr>
        <w:jc w:val="both"/>
        <w:ind w:firstLine="486"/>
        <w:spacing w:after="0" w:line="289" w:lineRule="auto"/>
        <w:rPr>
          <w:sz w:val="20"/>
          <w:szCs w:val="20"/>
          <w:color w:val="auto"/>
        </w:rPr>
      </w:pPr>
      <w:r>
        <w:rPr>
          <w:rFonts w:ascii="Arial" w:cs="Arial" w:eastAsia="Arial" w:hAnsi="Arial"/>
          <w:sz w:val="16"/>
          <w:szCs w:val="16"/>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w:t>
      </w:r>
    </w:p>
    <w:p>
      <w:pPr>
        <w:spacing w:after="0" w:line="1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which may pose additional data security risks (including, for example, an increase in phishing and spam emails we began experiencing during 2020). The reliability and continuous availability of our platform is critical to our success. However, complex software such as ours can contain errors, defects, security vulnerabilities or software bugs that, despite testing by us, are difficult to detect and correct, particularly when such vulnerabilities are first introduced or when new versions or enhancements of our platform are released. Real or perceived errors, defects, security vulnerabilities or software bugs in our products could result in reputational harm, reduce the demand for our products and expose us to breach of contract claims, regulatory fines and related liabilities.</w:t>
      </w:r>
    </w:p>
    <w:p>
      <w:pPr>
        <w:spacing w:after="0" w:line="17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may use third-party service providers and sub-processors to help us deliver services to our customers. These vendors may store or process personal information on our behalf. We use third-party technology, systems and services in a variety of contexts, including, without limitation, encryption and authentication technology, employee email, content delivery to customers, back-office support, credit card processing and other functions.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malicious code, denial-of-service attacks, credential harvesting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1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jc w:val="both"/>
        <w:ind w:firstLine="486"/>
        <w:spacing w:after="0" w:line="255" w:lineRule="auto"/>
        <w:rPr>
          <w:sz w:val="20"/>
          <w:szCs w:val="20"/>
          <w:color w:val="auto"/>
        </w:rPr>
      </w:pPr>
      <w:r>
        <w:rPr>
          <w:rFonts w:ascii="Arial" w:cs="Arial" w:eastAsia="Arial" w:hAnsi="Arial"/>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6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may have contractual and other legal obligations to notify relevant stakeholders of security incidents. For instance, most jurisdictions have enacted laws, such as the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8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9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2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impacted by the COVID-19 pandemic and war in Ukraine;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other economic factors, including inflation, pricing and currency fluctuations;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4" w:name="page45"/>
    <w:bookmarkEnd w:id="44"/>
    <w:p>
      <w:pPr>
        <w:ind w:left="980" w:hanging="486"/>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The ongoing military conflict between Russia and Ukraine has also created extreme volatility in the global capital markets and is expected to have further global economic consequences.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8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which increased as a result of the COVID-19 pandemic. If we fail to maintain our company culture, our business and competitive position may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Competitive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8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600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7" w:name="page48"/>
    <w:bookmarkEnd w:id="47"/>
    <w:p>
      <w:pPr>
        <w:jc w:val="both"/>
        <w:ind w:firstLine="486"/>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operate across a broad range of geographies in compliance with local regulations;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color w:val="auto"/>
        </w:rPr>
        <w:t>develop or might develop more slowly than we expect, which would adversely affect our business,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have legal, contractual and other applicable obligations regarding the protection and appropriate use of personal information, confidential information, and other proprietary information that we, our third-party service providers or other partners process. We are subject to a variety of federal, state, local and international laws, directives,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7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 and data protection authorities.</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certain jurisdictions have enacted data localization laws and cross-border personal data transfer laws. For example, absent appropriate safeguards or other circumstances, the EU has implemented a data-transfer regime that applies to transfers of personal information from the European Economic Area (EEA) to the United States. While the EU recently adopted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9" w:name="page50"/>
    <w:bookmarkEnd w:id="49"/>
    <w:p>
      <w:pPr>
        <w:jc w:val="both"/>
        <w:spacing w:after="0" w:line="288" w:lineRule="auto"/>
        <w:rPr>
          <w:sz w:val="20"/>
          <w:szCs w:val="20"/>
          <w:color w:val="auto"/>
        </w:rPr>
      </w:pPr>
      <w:r>
        <w:rPr>
          <w:rFonts w:ascii="Arial" w:cs="Arial" w:eastAsia="Arial" w:hAnsi="Arial"/>
          <w:sz w:val="16"/>
          <w:szCs w:val="16"/>
          <w:color w:val="auto"/>
        </w:rPr>
        <w:t>an adequacy decision that covers transfers of personal information to the United States under the EU-U.S. Data Privacy Framework, there is no guarantee that the framework will survive legal challenges. In light of this uncertainty, we have taken steps to mitigate the impact on us with respect to transfers of data, such as relying on the European Commission's 2021 Standard Contractual Clauses, or EU SCCs. However, the efficacy and longevity of this transfer mechanism also remains uncertain as it may be subject to legal challenges and there is no assurance that we can satisfy or rely on it to lawfully transfer personal information to the United States. Moreover, the EU SCCs require parties that rely on them to comply with additional obligations, such as conducting transfer impact assessments and implementing additional security and privacy measures, which may make sales of our product to European customers more complex. In addition, laws in Switzerland and the United Kingdom similarly restrict transfers of personal information outside of those jurisdictions to countries such as the United States that do not provide an adequate level of data protection but require their own, slightly modified transfer mechanisms, resulting in a patchwork of different methods and requirements for Europe alone. If the requirements for legally-compliant transfers are too onerous, we could face significant costs relating to updating and amending vendor agreements to reflect changing transfer mechanisms or requirements.</w:t>
      </w:r>
    </w:p>
    <w:p>
      <w:pPr>
        <w:spacing w:after="0" w:line="16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and Canada introduced the Digital Charter Implementation Act.</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w:t>
      </w:r>
    </w:p>
    <w:p>
      <w:pPr>
        <w:spacing w:after="0" w:line="17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As a result of these developments, we may be required to change the way we market our products, which would impair our ability to reach new or existing customers.</w:t>
      </w:r>
    </w:p>
    <w:p>
      <w:pPr>
        <w:spacing w:after="0" w:line="16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0" w:name="page51"/>
    <w:bookmarkEnd w:id="50"/>
    <w:p>
      <w:pPr>
        <w:jc w:val="both"/>
        <w:ind w:firstLine="486"/>
        <w:spacing w:after="0" w:line="286" w:lineRule="auto"/>
        <w:rPr>
          <w:sz w:val="20"/>
          <w:szCs w:val="20"/>
          <w:color w:val="auto"/>
        </w:rPr>
      </w:pPr>
      <w:r>
        <w:rPr>
          <w:rFonts w:ascii="Arial" w:cs="Arial" w:eastAsia="Arial" w:hAnsi="Arial"/>
          <w:sz w:val="16"/>
          <w:szCs w:val="16"/>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The CPRA also expands the scope of the CCPA to include job applicant and employee personal information. These changes to the CCPA could impact our business activities depending on how they are interpreted. These laws exemplify the vulnerability of our business to the evolving regulatory environment related to the protection of personal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For example, privacy laws in Colorado, Connecticut, and Virginia have recently gone into effect and similar laws in Indiana, Iowa, Montana, Tennessee, and Texas have been enacted and are expected to go into effect over the next several years. Moreover, several other state privacy laws are in various stages of the legislative process.</w:t>
      </w:r>
    </w:p>
    <w:p>
      <w:pPr>
        <w:spacing w:after="0" w:line="1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8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1" w:name="page52"/>
    <w:bookmarkEnd w:id="51"/>
    <w:p>
      <w:pPr>
        <w:jc w:val="both"/>
        <w:ind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As of December 31, 2022, we had NOL carryforwards for federal and state income tax purposes of approximately $243.4 million and $92.0 million, respectively, which may be available to offset taxable income in the future, and which expire in 2026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taxable years beginning after December 31, 2020,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Cuts and Jobs Act and the Inflation Reduction Act;</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implementation of a global minimum tax, as agreed upon by the Organisation for Economic Co-operation and Development (OECD);</w:t>
      </w:r>
    </w:p>
    <w:p>
      <w:pPr>
        <w:spacing w:after="0" w:line="140" w:lineRule="exact"/>
        <w:rPr>
          <w:rFonts w:ascii="Arial" w:cs="Arial" w:eastAsia="Arial" w:hAnsi="Arial"/>
          <w:sz w:val="16"/>
          <w:szCs w:val="16"/>
          <w:color w:val="auto"/>
        </w:rPr>
      </w:pPr>
    </w:p>
    <w:p>
      <w:pPr>
        <w:ind w:left="980" w:hanging="486"/>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3" w:name="page54"/>
    <w:bookmarkEnd w:id="53"/>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4" w:name="page55"/>
    <w:bookmarkEnd w:id="54"/>
    <w:p>
      <w:pPr>
        <w:jc w:val="both"/>
        <w:spacing w:after="0" w:line="269" w:lineRule="auto"/>
        <w:rPr>
          <w:sz w:val="20"/>
          <w:szCs w:val="20"/>
          <w:color w:val="auto"/>
        </w:rPr>
      </w:pPr>
      <w:r>
        <w:rPr>
          <w:rFonts w:ascii="Arial" w:cs="Arial" w:eastAsia="Arial" w:hAnsi="Arial"/>
          <w:sz w:val="17"/>
          <w:szCs w:val="17"/>
          <w:color w:val="auto"/>
        </w:rPr>
        <w:t>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to which we might become a party, or for which we have been or may continue to be required to provide indemnification, may require us to do one or more of the following:</w:t>
      </w:r>
    </w:p>
    <w:p>
      <w:pPr>
        <w:spacing w:after="0" w:line="170" w:lineRule="exact"/>
        <w:rPr>
          <w:sz w:val="20"/>
          <w:szCs w:val="20"/>
          <w:color w:val="auto"/>
        </w:rPr>
      </w:pPr>
    </w:p>
    <w:p>
      <w:pPr>
        <w:ind w:left="660" w:hanging="16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cease selling or using products or services that incorporate the intellectual property rights that we allegedly infringe, misappropriate or violate;</w:t>
      </w:r>
    </w:p>
    <w:p>
      <w:pPr>
        <w:spacing w:after="0" w:line="248" w:lineRule="exact"/>
        <w:rPr>
          <w:rFonts w:ascii="Arial" w:cs="Arial" w:eastAsia="Arial" w:hAnsi="Arial"/>
          <w:sz w:val="16"/>
          <w:szCs w:val="16"/>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225" w:lineRule="exact"/>
        <w:rPr>
          <w:rFonts w:ascii="Arial" w:cs="Arial" w:eastAsia="Arial" w:hAnsi="Arial"/>
          <w:sz w:val="18"/>
          <w:szCs w:val="18"/>
          <w:color w:val="auto"/>
        </w:rPr>
      </w:pPr>
    </w:p>
    <w:p>
      <w:pPr>
        <w:ind w:firstLine="494"/>
        <w:spacing w:after="0" w:line="277"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Revenue, as determined based on the billing address of our customers, from regions outside of North America was 30% and 28% for the six months ended June 30, 2023 and 2022,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t>effect. For example, we anticipate that we will need to establish relationships with new partners in order to expand into certain countries, and if we fail to identify, establish and maintain such relationships, we may be unable to execute on our expansion plans. As of June 30, 2023, approximately 39% of our full-time employees were located outside of the United States, 33%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changes in trade relations, sanctions, regulations, or laws;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 and the United Kingdom;</w:t>
      </w:r>
    </w:p>
    <w:p>
      <w:pPr>
        <w:spacing w:after="0" w:line="62"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8" w:lineRule="exact"/>
        <w:rPr>
          <w:rFonts w:ascii="Arial" w:cs="Arial" w:eastAsia="Arial" w:hAnsi="Arial"/>
          <w:sz w:val="17"/>
          <w:szCs w:val="17"/>
          <w:color w:val="auto"/>
        </w:rPr>
      </w:pPr>
    </w:p>
    <w:p>
      <w:pPr>
        <w:ind w:left="980" w:right="60" w:hanging="486"/>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terrorist activities and military conflict, including the war in Ukraine;</w:t>
      </w:r>
    </w:p>
    <w:p>
      <w:pPr>
        <w:spacing w:after="0" w:line="117"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outbreak of a contagious disease,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amount</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8" w:name="page59"/>
    <w:bookmarkEnd w:id="58"/>
    <w:p>
      <w:pPr>
        <w:jc w:val="both"/>
        <w:ind w:firstLine="486"/>
        <w:spacing w:after="0" w:line="254"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As of June 30, 2023, our outstanding shares of Class B common stock represented approximately 46%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4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Further, as of June 30, 2023,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incurred significant legal, accounting, insurance, and other expenses as a public company, which we expect to further increase.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7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financial reporting, or to implement or maintain other effective control systems required of public companies, could also restrict our future access to the capital markets.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98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1" w:name="page62"/>
    <w:bookmarkEnd w:id="61"/>
    <w:p>
      <w:pPr>
        <w:jc w:val="both"/>
        <w:ind w:firstLine="486"/>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2025 Notes may adversely affect our financial condition and operating results.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the event the conditional conversion feature of the 2025 Notes is triggered, as it was during the quarter ended March 31, 2022,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common stock or the 2025 Notes will depend in part on market conditions and cannot be ascertained at this time. Any of these activities could adversely affect the value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April 9, 2023, we issued 130,162 shares of Class A common stock as consideration in connection with an acquisition that closed in 2021. The issuance was deemed exempt from registration under the Securities Act pursuant to the exemption provided by Section 4(a)(2) of the Securities Act as a transaction by an issuer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Issuer Purchases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Arrangements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June 30, 2023,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w:t>
            </w:r>
          </w:p>
        </w:tc>
        <w:tc>
          <w:tcPr>
            <w:tcW w:w="80" w:type="dxa"/>
            <w:vAlign w:val="bottom"/>
          </w:tcPr>
          <w:p>
            <w:pPr>
              <w:spacing w:after="0"/>
              <w:rPr>
                <w:sz w:val="14"/>
                <w:szCs w:val="14"/>
                <w:color w:val="auto"/>
              </w:rPr>
            </w:pP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0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Adoption Date</w:t>
            </w:r>
          </w:p>
        </w:tc>
        <w:tc>
          <w:tcPr>
            <w:tcW w:w="10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0"/>
              </w:rPr>
              <w:t>Total Shares of Class A Common Stock to be</w:t>
            </w:r>
          </w:p>
        </w:tc>
        <w:tc>
          <w:tcPr>
            <w:tcW w:w="100" w:type="dxa"/>
            <w:vAlign w:val="bottom"/>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05"/>
        </w:trPr>
        <w:tc>
          <w:tcPr>
            <w:tcW w:w="2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Sold</w:t>
            </w:r>
          </w:p>
        </w:tc>
        <w:tc>
          <w:tcPr>
            <w:tcW w:w="1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Adam Blitzer</w:t>
            </w:r>
          </w:p>
        </w:tc>
        <w:tc>
          <w:tcPr>
            <w:tcW w:w="80" w:type="dxa"/>
            <w:vAlign w:val="bottom"/>
            <w:shd w:val="clear" w:color="auto" w:fill="CCEEFF"/>
          </w:tcPr>
          <w:p>
            <w:pPr>
              <w:spacing w:after="0"/>
              <w:rPr>
                <w:sz w:val="19"/>
                <w:szCs w:val="19"/>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Chief Operating Officer</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May 12, 2023</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jc w:val="center"/>
              <w:spacing w:after="0" w:line="223" w:lineRule="exact"/>
              <w:rPr>
                <w:sz w:val="20"/>
                <w:szCs w:val="20"/>
                <w:color w:val="auto"/>
              </w:rPr>
            </w:pPr>
            <w:r>
              <w:rPr>
                <w:rFonts w:ascii="Arial" w:cs="Arial" w:eastAsia="Arial" w:hAnsi="Arial"/>
                <w:sz w:val="16"/>
                <w:szCs w:val="16"/>
                <w:color w:val="auto"/>
                <w:w w:val="90"/>
              </w:rPr>
              <w:t xml:space="preserve">Up to 92,304 </w:t>
            </w:r>
            <w:r>
              <w:rPr>
                <w:rFonts w:ascii="Arial" w:cs="Arial" w:eastAsia="Arial" w:hAnsi="Arial"/>
                <w:sz w:val="21"/>
                <w:szCs w:val="21"/>
                <w:color w:val="auto"/>
                <w:w w:val="90"/>
                <w:vertAlign w:val="superscript"/>
              </w:rPr>
              <w:t>(1)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July 1, 2024</w:t>
            </w:r>
          </w:p>
        </w:tc>
        <w:tc>
          <w:tcPr>
            <w:tcW w:w="0" w:type="dxa"/>
            <w:vAlign w:val="bottom"/>
          </w:tcPr>
          <w:p>
            <w:pPr>
              <w:spacing w:after="0"/>
              <w:rPr>
                <w:sz w:val="1"/>
                <w:szCs w:val="1"/>
                <w:color w:val="auto"/>
              </w:rPr>
            </w:pPr>
          </w:p>
        </w:tc>
      </w:tr>
      <w:tr>
        <w:trPr>
          <w:trHeight w:val="243"/>
        </w:trPr>
        <w:tc>
          <w:tcPr>
            <w:tcW w:w="2080" w:type="dxa"/>
            <w:vAlign w:val="bottom"/>
          </w:tcPr>
          <w:p>
            <w:pPr>
              <w:jc w:val="center"/>
              <w:spacing w:after="0"/>
              <w:rPr>
                <w:sz w:val="20"/>
                <w:szCs w:val="20"/>
                <w:color w:val="auto"/>
              </w:rPr>
            </w:pPr>
            <w:r>
              <w:rPr>
                <w:rFonts w:ascii="Arial" w:cs="Arial" w:eastAsia="Arial" w:hAnsi="Arial"/>
                <w:sz w:val="16"/>
                <w:szCs w:val="16"/>
                <w:color w:val="auto"/>
                <w:w w:val="97"/>
              </w:rPr>
              <w:t>Amit Agarwal</w:t>
            </w:r>
          </w:p>
        </w:tc>
        <w:tc>
          <w:tcPr>
            <w:tcW w:w="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1"/>
              </w:rPr>
              <w:t>President</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May 15, 2023</w:t>
            </w:r>
          </w:p>
        </w:tc>
        <w:tc>
          <w:tcPr>
            <w:tcW w:w="2880" w:type="dxa"/>
            <w:vAlign w:val="bottom"/>
            <w:gridSpan w:val="2"/>
          </w:tcPr>
          <w:p>
            <w:pPr>
              <w:jc w:val="center"/>
              <w:ind w:right="945"/>
              <w:spacing w:after="0"/>
              <w:rPr>
                <w:sz w:val="20"/>
                <w:szCs w:val="20"/>
                <w:color w:val="auto"/>
              </w:rPr>
            </w:pPr>
            <w:r>
              <w:rPr>
                <w:rFonts w:ascii="Arial" w:cs="Arial" w:eastAsia="Arial" w:hAnsi="Arial"/>
                <w:sz w:val="16"/>
                <w:szCs w:val="16"/>
                <w:color w:val="auto"/>
              </w:rPr>
              <w:t xml:space="preserve">708,500 </w:t>
            </w:r>
            <w:r>
              <w:rPr>
                <w:rFonts w:ascii="Arial" w:cs="Arial" w:eastAsia="Arial" w:hAnsi="Arial"/>
                <w:sz w:val="21"/>
                <w:szCs w:val="21"/>
                <w:color w:val="auto"/>
                <w:vertAlign w:val="superscript"/>
              </w:rPr>
              <w:t>(2)</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1"/>
              </w:rPr>
              <w:t>February 16, 2024</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Dev Ittycheria</w:t>
            </w:r>
          </w:p>
        </w:tc>
        <w:tc>
          <w:tcPr>
            <w:tcW w:w="8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June 5, 2023</w:t>
            </w:r>
          </w:p>
        </w:tc>
        <w:tc>
          <w:tcPr>
            <w:tcW w:w="2880" w:type="dxa"/>
            <w:vAlign w:val="bottom"/>
            <w:tcBorders>
              <w:bottom w:val="single" w:sz="8" w:color="auto"/>
            </w:tcBorders>
            <w:gridSpan w:val="2"/>
            <w:shd w:val="clear" w:color="auto" w:fill="CCEEFF"/>
          </w:tcPr>
          <w:p>
            <w:pPr>
              <w:jc w:val="right"/>
              <w:ind w:right="1105"/>
              <w:spacing w:after="0"/>
              <w:rPr>
                <w:sz w:val="20"/>
                <w:szCs w:val="20"/>
                <w:color w:val="auto"/>
              </w:rPr>
            </w:pPr>
            <w:r>
              <w:rPr>
                <w:rFonts w:ascii="Arial" w:cs="Arial" w:eastAsia="Arial" w:hAnsi="Arial"/>
                <w:sz w:val="16"/>
                <w:szCs w:val="16"/>
                <w:color w:val="auto"/>
              </w:rPr>
              <w:t>75,000</w:t>
            </w:r>
          </w:p>
        </w:tc>
        <w:tc>
          <w:tcPr>
            <w:tcW w:w="1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August 30, 2024</w:t>
            </w: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360" w:right="20" w:hanging="334"/>
        <w:spacing w:after="0" w:line="286" w:lineRule="auto"/>
        <w:tabs>
          <w:tab w:leader="none" w:pos="3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w:t>
      </w:r>
    </w:p>
    <w:p>
      <w:pPr>
        <w:spacing w:after="0" w:line="5" w:lineRule="exact"/>
        <w:rPr>
          <w:rFonts w:ascii="Arial" w:cs="Arial" w:eastAsia="Arial" w:hAnsi="Arial"/>
          <w:sz w:val="13"/>
          <w:szCs w:val="13"/>
          <w:color w:val="auto"/>
        </w:rPr>
      </w:pPr>
    </w:p>
    <w:p>
      <w:pPr>
        <w:ind w:left="360" w:right="20" w:hanging="334"/>
        <w:spacing w:after="0" w:line="273"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shares will be sold under a Rule 10b5-1 trading plan in sell-to-cover transactions intended to satisfy tax withholding obligations and exercise costs realized upon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Amendments to Bylaws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August 8, 2023, the Board of Directors (the “Board”) of the Company approved amendments to the Company’s Amended and Restated Bylaws (the “Bylaws”), which became effective the same day. Among other things, the amendments:</w:t>
      </w:r>
    </w:p>
    <w:p>
      <w:pPr>
        <w:spacing w:after="0" w:line="62" w:lineRule="exact"/>
        <w:rPr>
          <w:sz w:val="20"/>
          <w:szCs w:val="20"/>
          <w:color w:val="auto"/>
        </w:rPr>
      </w:pPr>
    </w:p>
    <w:p>
      <w:pPr>
        <w:ind w:left="98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update the advance notice provisions that apply when a stockholder intends to propose a director nomination or other business at a stockholder meeting, including to address newly adopted Rule 14a-19 of the Exchange Act (“Rule 14a-19”), by requiring;</w:t>
      </w:r>
    </w:p>
    <w:p>
      <w:pPr>
        <w:spacing w:after="0" w:line="62" w:lineRule="exact"/>
        <w:rPr>
          <w:rFonts w:ascii="Arial" w:cs="Arial" w:eastAsia="Arial" w:hAnsi="Arial"/>
          <w:sz w:val="18"/>
          <w:szCs w:val="18"/>
          <w:color w:val="auto"/>
        </w:rPr>
      </w:pPr>
    </w:p>
    <w:p>
      <w:pPr>
        <w:jc w:val="both"/>
        <w:ind w:left="1620" w:hanging="478"/>
        <w:spacing w:after="0" w:line="263" w:lineRule="auto"/>
        <w:tabs>
          <w:tab w:leader="none" w:pos="162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stockholder submitting a nomination notice to make a representation as to whether such stockholder intends to solicit proxies in support of director nominees other than the Company’s nominees in accordance with Rule 14a-19 and to provide reasonable evidence that certain requirements of such rule have been satisfied;</w:t>
      </w:r>
    </w:p>
    <w:p>
      <w:pPr>
        <w:spacing w:after="0" w:line="75" w:lineRule="exact"/>
        <w:rPr>
          <w:rFonts w:ascii="Arial" w:cs="Arial" w:eastAsia="Arial" w:hAnsi="Arial"/>
          <w:sz w:val="18"/>
          <w:szCs w:val="18"/>
          <w:color w:val="auto"/>
        </w:rPr>
      </w:pPr>
    </w:p>
    <w:p>
      <w:pPr>
        <w:jc w:val="both"/>
        <w:ind w:left="1620" w:hanging="478"/>
        <w:spacing w:after="0" w:line="273" w:lineRule="auto"/>
        <w:tabs>
          <w:tab w:leader="none" w:pos="1644"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nomination of each proposed director nominee other than the Company’s nominees be disregarded (notwithstanding that the nominee is included as a nominee in the Company’s proxy statement, notice of meeting or other proxy materials for any stockholder meeting (or any supplement thereto) and notwithstanding that proxies or votes in respect of the election of such proposed nominees may have been received by the Company (which proxies and votes shall be disregarded)) if, after a stockholder provides notice pursuant to Rule 14a-19, such stockholder subsequently fails to comply with the requirements of Rule 14a-19 or fails to timely provide reasonable evidence that certain requirements of such rule have been satisfied;</w:t>
      </w:r>
    </w:p>
    <w:p>
      <w:pPr>
        <w:spacing w:after="0" w:line="69" w:lineRule="exact"/>
        <w:rPr>
          <w:rFonts w:ascii="Arial" w:cs="Arial" w:eastAsia="Arial" w:hAnsi="Arial"/>
          <w:sz w:val="17"/>
          <w:szCs w:val="17"/>
          <w:color w:val="auto"/>
        </w:rPr>
      </w:pPr>
    </w:p>
    <w:p>
      <w:pPr>
        <w:ind w:left="1620" w:hanging="478"/>
        <w:spacing w:after="0" w:line="277" w:lineRule="auto"/>
        <w:tabs>
          <w:tab w:leader="none" w:pos="16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the number of nominees a stockholder may nominate for election at a stockholder meeting may not exceed the number of directors to be elected at such meeting;</w:t>
      </w:r>
    </w:p>
    <w:p>
      <w:pPr>
        <w:spacing w:after="0" w:line="62" w:lineRule="exact"/>
        <w:rPr>
          <w:rFonts w:ascii="Arial" w:cs="Arial" w:eastAsia="Arial" w:hAnsi="Arial"/>
          <w:sz w:val="18"/>
          <w:szCs w:val="18"/>
          <w:color w:val="auto"/>
        </w:rPr>
      </w:pPr>
    </w:p>
    <w:p>
      <w:pPr>
        <w:ind w:left="1620" w:hanging="478"/>
        <w:spacing w:after="0" w:line="308" w:lineRule="auto"/>
        <w:tabs>
          <w:tab w:leader="none" w:pos="1650" w:val="left"/>
        </w:tabs>
        <w:numPr>
          <w:ilvl w:val="1"/>
          <w:numId w:val="22"/>
        </w:numPr>
        <w:rPr>
          <w:rFonts w:ascii="Arial" w:cs="Arial" w:eastAsia="Arial" w:hAnsi="Arial"/>
          <w:sz w:val="17"/>
          <w:szCs w:val="17"/>
          <w:color w:val="auto"/>
        </w:rPr>
      </w:pPr>
      <w:r>
        <w:rPr>
          <w:rFonts w:ascii="Arial" w:cs="Arial" w:eastAsia="Arial" w:hAnsi="Arial"/>
          <w:sz w:val="17"/>
          <w:szCs w:val="17"/>
          <w:color w:val="auto"/>
        </w:rPr>
        <w:t>certain representations with respect to a proposed nominee regarding the absence of certain voting commitments, disclosure of compensation for service and compliance with our corporate governance and other policies, and intent to serve the entire term;</w:t>
      </w:r>
    </w:p>
    <w:p>
      <w:pPr>
        <w:spacing w:after="0" w:line="38" w:lineRule="exact"/>
        <w:rPr>
          <w:rFonts w:ascii="Arial" w:cs="Arial" w:eastAsia="Arial" w:hAnsi="Arial"/>
          <w:sz w:val="17"/>
          <w:szCs w:val="17"/>
          <w:color w:val="auto"/>
        </w:rPr>
      </w:pPr>
    </w:p>
    <w:p>
      <w:pPr>
        <w:ind w:left="1620" w:hanging="478"/>
        <w:spacing w:after="0" w:line="277" w:lineRule="auto"/>
        <w:tabs>
          <w:tab w:leader="none" w:pos="16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additional background information and disclosures regarding proposing stockholders, proposed nominees and business, and other persons related to a stockholder’s solicitation of proxies; and</w:t>
      </w:r>
    </w:p>
    <w:p>
      <w:pPr>
        <w:spacing w:after="0" w:line="62" w:lineRule="exact"/>
        <w:rPr>
          <w:rFonts w:ascii="Arial" w:cs="Arial" w:eastAsia="Arial" w:hAnsi="Arial"/>
          <w:sz w:val="18"/>
          <w:szCs w:val="18"/>
          <w:color w:val="auto"/>
        </w:rPr>
      </w:pPr>
    </w:p>
    <w:p>
      <w:pPr>
        <w:jc w:val="both"/>
        <w:ind w:left="1620" w:hanging="478"/>
        <w:spacing w:after="0" w:line="263" w:lineRule="auto"/>
        <w:tabs>
          <w:tab w:leader="none" w:pos="16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whenever a document or information must be delivered to the Company under the advance notice provisions such document or information must be in writing exclusively and must be delivered exclusively by hand, or by certified or registered mail, return receipt requested.</w:t>
      </w:r>
    </w:p>
    <w:p>
      <w:pPr>
        <w:spacing w:after="0" w:line="75"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any stockholder directly or indirectly soliciting proxies from other stockholders must use a proxy card color other than white, with the white proxy card being reserved for exclusive use by the Board;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certain other technical, modernizing and clarifying changes.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Bylaws are attached hereto as Exhibit 3.2 and are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spacing w:after="0" w:line="329" w:lineRule="exact"/>
        <w:rPr>
          <w:sz w:val="20"/>
          <w:szCs w:val="20"/>
          <w:color w:val="auto"/>
        </w:rPr>
      </w:pPr>
    </w:p>
    <w:p>
      <w:pPr>
        <w:ind w:left="55"/>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55"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gridSpan w:val="2"/>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6"/>
        </w:trPr>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46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c>
          <w:tcPr>
            <w:tcW w:w="1220" w:type="dxa"/>
            <w:vAlign w:val="bottom"/>
          </w:tcPr>
          <w:p>
            <w:pPr>
              <w:jc w:val="center"/>
              <w:ind w:left="79"/>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9"/>
        </w:trPr>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gridSpan w:val="12"/>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Amended and Restated Certificate of</w:t>
              </w:r>
            </w:hyperlink>
          </w:p>
        </w:tc>
        <w:tc>
          <w:tcPr>
            <w:tcW w:w="1220" w:type="dxa"/>
            <w:vAlign w:val="bottom"/>
          </w:tcPr>
          <w:p>
            <w:pPr>
              <w:jc w:val="center"/>
              <w:ind w:left="79"/>
              <w:spacing w:after="0" w:line="196" w:lineRule="exact"/>
              <w:rPr>
                <w:sz w:val="20"/>
                <w:szCs w:val="20"/>
                <w:color w:val="auto"/>
              </w:rPr>
            </w:pPr>
            <w:r>
              <w:rPr>
                <w:rFonts w:ascii="Arial" w:cs="Arial" w:eastAsia="Arial" w:hAnsi="Arial"/>
                <w:sz w:val="18"/>
                <w:szCs w:val="18"/>
                <w:color w:val="auto"/>
                <w:w w:val="92"/>
              </w:rPr>
              <w:t>8-K</w:t>
            </w:r>
          </w:p>
        </w:tc>
        <w:tc>
          <w:tcPr>
            <w:tcW w:w="1460" w:type="dxa"/>
            <w:vAlign w:val="bottom"/>
          </w:tcPr>
          <w:p>
            <w:pPr>
              <w:jc w:val="right"/>
              <w:ind w:right="262"/>
              <w:spacing w:after="0" w:line="196" w:lineRule="exact"/>
              <w:rPr>
                <w:sz w:val="20"/>
                <w:szCs w:val="20"/>
                <w:color w:val="auto"/>
              </w:rPr>
            </w:pPr>
            <w:r>
              <w:rPr>
                <w:rFonts w:ascii="Arial" w:cs="Arial" w:eastAsia="Arial" w:hAnsi="Arial"/>
                <w:sz w:val="18"/>
                <w:szCs w:val="18"/>
                <w:color w:val="auto"/>
              </w:rPr>
              <w:t>001-39051</w:t>
            </w:r>
          </w:p>
        </w:tc>
        <w:tc>
          <w:tcPr>
            <w:tcW w:w="1120" w:type="dxa"/>
            <w:vAlign w:val="bottom"/>
          </w:tcPr>
          <w:p>
            <w:pPr>
              <w:jc w:val="right"/>
              <w:ind w:right="379"/>
              <w:spacing w:after="0" w:line="196" w:lineRule="exact"/>
              <w:rPr>
                <w:sz w:val="20"/>
                <w:szCs w:val="20"/>
                <w:color w:val="auto"/>
              </w:rPr>
            </w:pPr>
            <w:r>
              <w:rPr>
                <w:rFonts w:ascii="Arial" w:cs="Arial" w:eastAsia="Arial" w:hAnsi="Arial"/>
                <w:sz w:val="18"/>
                <w:szCs w:val="18"/>
                <w:color w:val="auto"/>
              </w:rPr>
              <w:t>3.1</w:t>
            </w:r>
          </w:p>
        </w:tc>
        <w:tc>
          <w:tcPr>
            <w:tcW w:w="1600" w:type="dxa"/>
            <w:vAlign w:val="bottom"/>
          </w:tcPr>
          <w:p>
            <w:pPr>
              <w:jc w:val="center"/>
              <w:spacing w:after="0" w:line="196" w:lineRule="exact"/>
              <w:rPr>
                <w:sz w:val="20"/>
                <w:szCs w:val="20"/>
                <w:color w:val="auto"/>
              </w:rPr>
            </w:pPr>
            <w:r>
              <w:rPr>
                <w:rFonts w:ascii="Arial" w:cs="Arial" w:eastAsia="Arial" w:hAnsi="Arial"/>
                <w:sz w:val="18"/>
                <w:szCs w:val="18"/>
                <w:color w:val="auto"/>
                <w:w w:val="86"/>
              </w:rPr>
              <w:t>September 23,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Incorporation of Datadog, Inc.</w:t>
              </w:r>
            </w:hyperlink>
          </w:p>
        </w:tc>
        <w:tc>
          <w:tcPr>
            <w:tcW w:w="460" w:type="dxa"/>
            <w:vAlign w:val="bottom"/>
            <w:tcBorders>
              <w:top w:val="single" w:sz="8" w:color="0000FF"/>
            </w:tcBorders>
          </w:tcPr>
          <w:p>
            <w:pPr>
              <w:spacing w:after="0"/>
              <w:rPr>
                <w:sz w:val="17"/>
                <w:szCs w:val="17"/>
                <w:color w:val="auto"/>
              </w:rPr>
            </w:pPr>
          </w:p>
        </w:tc>
        <w:tc>
          <w:tcPr>
            <w:tcW w:w="800" w:type="dxa"/>
            <w:vAlign w:val="bottom"/>
            <w:gridSpan w:val="7"/>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Amended and Restated Bylaws of Datadog, Inc.</w:t>
            </w: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Amended and Restated Non-Employee Director</w:t>
            </w: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gridSpan w:val="12"/>
          </w:tcPr>
          <w:p>
            <w:pPr>
              <w:spacing w:after="0" w:line="196" w:lineRule="exact"/>
              <w:rPr>
                <w:sz w:val="20"/>
                <w:szCs w:val="20"/>
                <w:color w:val="auto"/>
              </w:rPr>
            </w:pPr>
            <w:r>
              <w:rPr>
                <w:rFonts w:ascii="Arial" w:cs="Arial" w:eastAsia="Arial" w:hAnsi="Arial"/>
                <w:sz w:val="18"/>
                <w:szCs w:val="18"/>
                <w:color w:val="0000FF"/>
              </w:rPr>
              <w:t>Compensation Policy</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w:t>
            </w: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88"/>
              </w:rPr>
              <w:t>Pursuant to Rules 13a-14(a) and 15d-14(a)</w:t>
            </w:r>
          </w:p>
        </w:tc>
        <w:tc>
          <w:tcPr>
            <w:tcW w:w="40" w:type="dxa"/>
            <w:vAlign w:val="bottom"/>
            <w:tcBorders>
              <w:top w:val="single" w:sz="8" w:color="0000FF"/>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under the Securities Exchange Act of 1934, as</w:t>
            </w:r>
          </w:p>
        </w:tc>
        <w:tc>
          <w:tcPr>
            <w:tcW w:w="1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Adopted Pursuant to Section 302 of the</w:t>
            </w:r>
          </w:p>
        </w:tc>
        <w:tc>
          <w:tcPr>
            <w:tcW w:w="62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gridSpan w:val="12"/>
          </w:tcPr>
          <w:p>
            <w:pPr>
              <w:spacing w:after="0" w:line="196" w:lineRule="exact"/>
              <w:rPr>
                <w:sz w:val="20"/>
                <w:szCs w:val="20"/>
                <w:color w:val="auto"/>
              </w:rPr>
            </w:pPr>
            <w:r>
              <w:rPr>
                <w:rFonts w:ascii="Arial" w:cs="Arial" w:eastAsia="Arial" w:hAnsi="Arial"/>
                <w:sz w:val="18"/>
                <w:szCs w:val="18"/>
                <w:color w:val="0000FF"/>
              </w:rPr>
              <w:t>Sarbanes-Oxley Act of 2002.</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Certification of Principal Financial Officer</w:t>
            </w:r>
          </w:p>
        </w:tc>
        <w:tc>
          <w:tcPr>
            <w:tcW w:w="360" w:type="dxa"/>
            <w:vAlign w:val="bottom"/>
            <w:gridSpan w:val="4"/>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88"/>
              </w:rPr>
              <w:t>Pursuant to Rules 13a-14(a) and 15d-14(a)</w:t>
            </w:r>
          </w:p>
        </w:tc>
        <w:tc>
          <w:tcPr>
            <w:tcW w:w="380" w:type="dxa"/>
            <w:vAlign w:val="bottom"/>
            <w:gridSpan w:val="5"/>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under the Securities Exchange Act of 1934, as</w:t>
            </w:r>
          </w:p>
        </w:tc>
        <w:tc>
          <w:tcPr>
            <w:tcW w:w="1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Adopted Pursuant to Section 302 of the</w:t>
            </w:r>
          </w:p>
        </w:tc>
        <w:tc>
          <w:tcPr>
            <w:tcW w:w="62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gridSpan w:val="12"/>
          </w:tcPr>
          <w:p>
            <w:pPr>
              <w:spacing w:after="0" w:line="196" w:lineRule="exact"/>
              <w:rPr>
                <w:sz w:val="20"/>
                <w:szCs w:val="20"/>
                <w:color w:val="auto"/>
              </w:rPr>
            </w:pPr>
            <w:r>
              <w:rPr>
                <w:rFonts w:ascii="Arial" w:cs="Arial" w:eastAsia="Arial" w:hAnsi="Arial"/>
                <w:sz w:val="18"/>
                <w:szCs w:val="18"/>
                <w:color w:val="0000FF"/>
              </w:rPr>
              <w:t>Sarbanes-Oxley Act of 2002.</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w:t>
            </w: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20" w:type="dxa"/>
            <w:vAlign w:val="bottom"/>
            <w:gridSpan w:val="8"/>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89"/>
              </w:rPr>
              <w:t>Pursuant to 18 U.S.C. Section 1350, as Adopted</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gridSpan w:val="12"/>
          </w:tcPr>
          <w:p>
            <w:pPr>
              <w:spacing w:after="0" w:line="196" w:lineRule="exact"/>
              <w:rPr>
                <w:sz w:val="20"/>
                <w:szCs w:val="20"/>
                <w:color w:val="auto"/>
              </w:rPr>
            </w:pPr>
            <w:r>
              <w:rPr>
                <w:rFonts w:ascii="Arial" w:cs="Arial" w:eastAsia="Arial" w:hAnsi="Arial"/>
                <w:sz w:val="18"/>
                <w:szCs w:val="18"/>
                <w:color w:val="0000FF"/>
                <w:w w:val="91"/>
              </w:rPr>
              <w:t>Pursuant to Section 906 of the Sarbanes-Oxley</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rPr>
              <w:t>Act of 2002.</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Certification of Principal Financial Officer</w:t>
            </w:r>
          </w:p>
        </w:tc>
        <w:tc>
          <w:tcPr>
            <w:tcW w:w="360" w:type="dxa"/>
            <w:vAlign w:val="bottom"/>
            <w:gridSpan w:val="4"/>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89"/>
              </w:rPr>
              <w:t>Pursuant to 18 U.S.C. Section 1350, as Adopted</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gridSpan w:val="12"/>
          </w:tcPr>
          <w:p>
            <w:pPr>
              <w:spacing w:after="0" w:line="196" w:lineRule="exact"/>
              <w:rPr>
                <w:sz w:val="20"/>
                <w:szCs w:val="20"/>
                <w:color w:val="auto"/>
              </w:rPr>
            </w:pPr>
            <w:r>
              <w:rPr>
                <w:rFonts w:ascii="Arial" w:cs="Arial" w:eastAsia="Arial" w:hAnsi="Arial"/>
                <w:sz w:val="18"/>
                <w:szCs w:val="18"/>
                <w:color w:val="0000FF"/>
                <w:w w:val="91"/>
              </w:rPr>
              <w:t>Pursuant to Section 906 of the Sarbanes-Oxley</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rPr>
              <w:t>Act of 2002.</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w w:val="90"/>
              </w:rPr>
              <w:t>XBRL Taxonomy Extension Schema Document</w:t>
            </w: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2"/>
                <w:szCs w:val="22"/>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2"/>
                <w:szCs w:val="22"/>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XBRL Taxonomy Extension Definition</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w w:val="99"/>
              </w:rPr>
              <w:t>XBRL Taxonomy Extension Label Linkbase</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2"/>
                <w:szCs w:val="22"/>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w w:val="92"/>
              </w:rPr>
              <w:t>Cover Page Interactive Data File (formatted as</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gridSpan w:val="12"/>
          </w:tcPr>
          <w:p>
            <w:pPr>
              <w:spacing w:after="0"/>
              <w:rPr>
                <w:sz w:val="20"/>
                <w:szCs w:val="20"/>
                <w:color w:val="auto"/>
              </w:rPr>
            </w:pPr>
            <w:r>
              <w:rPr>
                <w:rFonts w:ascii="Arial" w:cs="Arial" w:eastAsia="Arial" w:hAnsi="Arial"/>
                <w:sz w:val="18"/>
                <w:szCs w:val="18"/>
                <w:color w:val="auto"/>
              </w:rPr>
              <w:t>Inline XBRL and contained in Exhibit 101)</w:t>
            </w: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5"/>
        <w:spacing w:after="0"/>
        <w:rPr>
          <w:sz w:val="20"/>
          <w:szCs w:val="20"/>
          <w:color w:val="auto"/>
        </w:rPr>
      </w:pPr>
      <w:r>
        <w:rPr>
          <w:rFonts w:ascii="Arial" w:cs="Arial" w:eastAsia="Arial" w:hAnsi="Arial"/>
          <w:sz w:val="18"/>
          <w:szCs w:val="18"/>
          <w:color w:val="auto"/>
        </w:rPr>
        <w:t>_________________</w:t>
      </w:r>
    </w:p>
    <w:p>
      <w:pPr>
        <w:spacing w:after="0" w:line="45" w:lineRule="exact"/>
        <w:rPr>
          <w:sz w:val="20"/>
          <w:szCs w:val="20"/>
          <w:color w:val="auto"/>
        </w:rPr>
      </w:pPr>
    </w:p>
    <w:p>
      <w:pPr>
        <w:ind w:left="355" w:hanging="355"/>
        <w:spacing w:after="0"/>
        <w:tabs>
          <w:tab w:leader="none" w:pos="355"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agreement.</w:t>
      </w:r>
    </w:p>
    <w:p>
      <w:pPr>
        <w:spacing w:after="0" w:line="28" w:lineRule="exact"/>
        <w:rPr>
          <w:sz w:val="20"/>
          <w:szCs w:val="20"/>
          <w:color w:val="auto"/>
        </w:rPr>
      </w:pPr>
    </w:p>
    <w:p>
      <w:pPr>
        <w:ind w:left="355" w:right="160" w:hanging="355"/>
        <w:spacing w:after="0" w:line="238" w:lineRule="auto"/>
        <w:tabs>
          <w:tab w:leader="none" w:pos="355"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4"/>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5"/>
          </w:cols>
          <w:pgMar w:left="265" w:top="1440"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760" w:type="dxa"/>
            <w:vAlign w:val="bottom"/>
            <w:gridSpan w:val="2"/>
          </w:tcPr>
          <w:p>
            <w:pPr>
              <w:ind w:left="1920"/>
              <w:spacing w:after="0"/>
              <w:rPr>
                <w:sz w:val="20"/>
                <w:szCs w:val="20"/>
                <w:color w:val="auto"/>
              </w:rPr>
            </w:pPr>
            <w:r>
              <w:rPr>
                <w:rFonts w:ascii="Arial" w:cs="Arial" w:eastAsia="Arial" w:hAnsi="Arial"/>
                <w:sz w:val="18"/>
                <w:szCs w:val="18"/>
                <w:color w:val="auto"/>
              </w:rPr>
              <w:t>DATADOG, INC.</w:t>
            </w:r>
          </w:p>
        </w:tc>
      </w:tr>
      <w:tr>
        <w:trPr>
          <w:trHeight w:val="499"/>
        </w:trPr>
        <w:tc>
          <w:tcPr>
            <w:tcW w:w="3440" w:type="dxa"/>
            <w:vAlign w:val="bottom"/>
          </w:tcPr>
          <w:p>
            <w:pPr>
              <w:spacing w:after="0"/>
              <w:rPr>
                <w:sz w:val="20"/>
                <w:szCs w:val="20"/>
                <w:color w:val="auto"/>
              </w:rPr>
            </w:pPr>
            <w:r>
              <w:rPr>
                <w:rFonts w:ascii="Arial" w:cs="Arial" w:eastAsia="Arial" w:hAnsi="Arial"/>
                <w:sz w:val="18"/>
                <w:szCs w:val="18"/>
                <w:color w:val="auto"/>
              </w:rPr>
              <w:t>Date: August 9, 2023</w:t>
            </w:r>
          </w:p>
        </w:tc>
        <w:tc>
          <w:tcPr>
            <w:tcW w:w="290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Olivier Pomel</w:t>
            </w:r>
          </w:p>
        </w:tc>
      </w:tr>
      <w:tr>
        <w:trPr>
          <w:trHeight w:val="224"/>
        </w:trPr>
        <w:tc>
          <w:tcPr>
            <w:tcW w:w="3440" w:type="dxa"/>
            <w:vAlign w:val="bottom"/>
          </w:tcPr>
          <w:p>
            <w:pPr>
              <w:spacing w:after="0"/>
              <w:rPr>
                <w:sz w:val="19"/>
                <w:szCs w:val="19"/>
                <w:color w:val="auto"/>
              </w:rPr>
            </w:pPr>
          </w:p>
        </w:tc>
        <w:tc>
          <w:tcPr>
            <w:tcW w:w="290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Olivier Pomel</w:t>
            </w:r>
          </w:p>
        </w:tc>
      </w:tr>
      <w:tr>
        <w:trPr>
          <w:trHeight w:val="188"/>
        </w:trPr>
        <w:tc>
          <w:tcPr>
            <w:tcW w:w="3440" w:type="dxa"/>
            <w:vAlign w:val="bottom"/>
          </w:tcPr>
          <w:p>
            <w:pPr>
              <w:spacing w:after="0"/>
              <w:rPr>
                <w:sz w:val="16"/>
                <w:szCs w:val="16"/>
                <w:color w:val="auto"/>
              </w:rPr>
            </w:pPr>
          </w:p>
        </w:tc>
        <w:tc>
          <w:tcPr>
            <w:tcW w:w="2900" w:type="dxa"/>
            <w:vAlign w:val="bottom"/>
          </w:tcPr>
          <w:p>
            <w:pPr>
              <w:ind w:left="1920"/>
              <w:spacing w:after="0" w:line="189" w:lineRule="exact"/>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line="189" w:lineRule="exact"/>
              <w:rPr>
                <w:sz w:val="20"/>
                <w:szCs w:val="20"/>
                <w:color w:val="auto"/>
              </w:rPr>
            </w:pPr>
            <w:r>
              <w:rPr>
                <w:rFonts w:ascii="Arial" w:cs="Arial" w:eastAsia="Arial" w:hAnsi="Arial"/>
                <w:sz w:val="18"/>
                <w:szCs w:val="18"/>
                <w:color w:val="auto"/>
              </w:rPr>
              <w:t>Chief Executive Officer and Director</w:t>
            </w:r>
          </w:p>
        </w:tc>
      </w:tr>
      <w:tr>
        <w:trPr>
          <w:trHeight w:val="230"/>
        </w:trPr>
        <w:tc>
          <w:tcPr>
            <w:tcW w:w="3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5"/>
        </w:trPr>
        <w:tc>
          <w:tcPr>
            <w:tcW w:w="3440" w:type="dxa"/>
            <w:vAlign w:val="bottom"/>
          </w:tcPr>
          <w:p>
            <w:pPr>
              <w:spacing w:after="0"/>
              <w:rPr>
                <w:sz w:val="20"/>
                <w:szCs w:val="20"/>
                <w:color w:val="auto"/>
              </w:rPr>
            </w:pPr>
            <w:r>
              <w:rPr>
                <w:rFonts w:ascii="Arial" w:cs="Arial" w:eastAsia="Arial" w:hAnsi="Arial"/>
                <w:sz w:val="18"/>
                <w:szCs w:val="18"/>
                <w:color w:val="auto"/>
              </w:rPr>
              <w:t>Date: August 9, 2023</w:t>
            </w:r>
          </w:p>
        </w:tc>
        <w:tc>
          <w:tcPr>
            <w:tcW w:w="290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Obstler</w:t>
            </w:r>
          </w:p>
        </w:tc>
      </w:tr>
      <w:tr>
        <w:trPr>
          <w:trHeight w:val="224"/>
        </w:trPr>
        <w:tc>
          <w:tcPr>
            <w:tcW w:w="3440" w:type="dxa"/>
            <w:vAlign w:val="bottom"/>
          </w:tcPr>
          <w:p>
            <w:pPr>
              <w:spacing w:after="0"/>
              <w:rPr>
                <w:sz w:val="19"/>
                <w:szCs w:val="19"/>
                <w:color w:val="auto"/>
              </w:rPr>
            </w:pPr>
          </w:p>
        </w:tc>
        <w:tc>
          <w:tcPr>
            <w:tcW w:w="290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Obstler</w:t>
            </w:r>
          </w:p>
        </w:tc>
      </w:tr>
      <w:tr>
        <w:trPr>
          <w:trHeight w:val="188"/>
        </w:trPr>
        <w:tc>
          <w:tcPr>
            <w:tcW w:w="3440" w:type="dxa"/>
            <w:vAlign w:val="bottom"/>
          </w:tcPr>
          <w:p>
            <w:pPr>
              <w:spacing w:after="0"/>
              <w:rPr>
                <w:sz w:val="16"/>
                <w:szCs w:val="16"/>
                <w:color w:val="auto"/>
              </w:rPr>
            </w:pPr>
          </w:p>
        </w:tc>
        <w:tc>
          <w:tcPr>
            <w:tcW w:w="2900" w:type="dxa"/>
            <w:vAlign w:val="bottom"/>
          </w:tcPr>
          <w:p>
            <w:pPr>
              <w:ind w:left="1920"/>
              <w:spacing w:after="0" w:line="189" w:lineRule="exact"/>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093"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AMENDED AND RESTATED BYLAWS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DATADOG, INC.</w:t>
      </w:r>
    </w:p>
    <w:p>
      <w:pPr>
        <w:jc w:val="center"/>
        <w:ind w:right="-19"/>
        <w:spacing w:after="0"/>
        <w:rPr>
          <w:sz w:val="20"/>
          <w:szCs w:val="20"/>
          <w:color w:val="auto"/>
        </w:rPr>
      </w:pPr>
      <w:r>
        <w:rPr>
          <w:rFonts w:ascii="Arial" w:cs="Arial" w:eastAsia="Arial" w:hAnsi="Arial"/>
          <w:sz w:val="18"/>
          <w:szCs w:val="18"/>
          <w:b w:val="1"/>
          <w:bCs w:val="1"/>
          <w:color w:val="auto"/>
        </w:rPr>
        <w:t>(A DELAWARE CORPORATION)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185" w:lineRule="exact"/>
        <w:rPr>
          <w:sz w:val="20"/>
          <w:szCs w:val="20"/>
          <w:color w:val="auto"/>
        </w:rPr>
      </w:pPr>
    </w:p>
    <w:p>
      <w:pPr>
        <w:ind w:right="1020" w:firstLine="324"/>
        <w:spacing w:after="0" w:line="237" w:lineRule="auto"/>
        <w:rPr>
          <w:sz w:val="20"/>
          <w:szCs w:val="20"/>
          <w:color w:val="auto"/>
        </w:rPr>
      </w:pPr>
      <w:r>
        <w:rPr>
          <w:rFonts w:ascii="Arial" w:cs="Arial" w:eastAsia="Arial" w:hAnsi="Arial"/>
          <w:sz w:val="18"/>
          <w:szCs w:val="18"/>
          <w:b w:val="1"/>
          <w:bCs w:val="1"/>
          <w:color w:val="auto"/>
        </w:rPr>
        <w:t xml:space="preserve">Section 1. Registered Office. </w:t>
      </w:r>
      <w:r>
        <w:rPr>
          <w:rFonts w:ascii="Arial" w:cs="Arial" w:eastAsia="Arial" w:hAnsi="Arial"/>
          <w:sz w:val="18"/>
          <w:szCs w:val="18"/>
          <w:color w:val="auto"/>
        </w:rPr>
        <w:t>The registered office of the corporation in the State of Delaware shall be as set forth in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spacing w:after="0" w:line="172" w:lineRule="exact"/>
        <w:rPr>
          <w:sz w:val="20"/>
          <w:szCs w:val="20"/>
          <w:color w:val="auto"/>
        </w:rPr>
      </w:pPr>
    </w:p>
    <w:p>
      <w:pPr>
        <w:jc w:val="both"/>
        <w:ind w:right="40" w:firstLine="324"/>
        <w:spacing w:after="0" w:line="226" w:lineRule="auto"/>
        <w:rPr>
          <w:sz w:val="20"/>
          <w:szCs w:val="20"/>
          <w:color w:val="auto"/>
        </w:rPr>
      </w:pPr>
      <w:r>
        <w:rPr>
          <w:rFonts w:ascii="Arial" w:cs="Arial" w:eastAsia="Arial" w:hAnsi="Arial"/>
          <w:sz w:val="18"/>
          <w:szCs w:val="18"/>
          <w:b w:val="1"/>
          <w:bCs w:val="1"/>
          <w:color w:val="auto"/>
        </w:rPr>
        <w:t xml:space="preserve">Section 2. Other Offices. </w:t>
      </w:r>
      <w:r>
        <w:rPr>
          <w:rFonts w:ascii="Arial" w:cs="Arial" w:eastAsia="Arial" w:hAnsi="Arial"/>
          <w:sz w:val="18"/>
          <w:szCs w:val="18"/>
          <w:color w:val="auto"/>
        </w:rPr>
        <w:t>The corporation shall also have and maintain an office or principal place of business at such place as may be fixed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185" w:lineRule="exact"/>
        <w:rPr>
          <w:sz w:val="20"/>
          <w:szCs w:val="20"/>
          <w:color w:val="auto"/>
        </w:rPr>
      </w:pPr>
    </w:p>
    <w:p>
      <w:pPr>
        <w:jc w:val="center"/>
        <w:ind w:right="-279"/>
        <w:spacing w:after="0"/>
        <w:tabs>
          <w:tab w:leader="none" w:pos="2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 xml:space="preserve">Corporate Seal. </w:t>
      </w:r>
      <w:r>
        <w:rPr>
          <w:rFonts w:ascii="Arial" w:cs="Arial" w:eastAsia="Arial" w:hAnsi="Arial"/>
          <w:sz w:val="16"/>
          <w:szCs w:val="16"/>
          <w:color w:val="auto"/>
        </w:rPr>
        <w:t>The Board of Directors may adopt a corporate seal. If adopted, the corporate seal shall consist of a die bearing the name</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of the corporation and the inscription, “Corporate Seal Delaware.” Said seal may be used by causing it or a facsimile thereof to be impressed or affixed or reproduced or otherwise.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MEETINGS</w:t>
      </w:r>
    </w:p>
    <w:p>
      <w:pPr>
        <w:spacing w:after="0" w:line="185" w:lineRule="exact"/>
        <w:rPr>
          <w:sz w:val="20"/>
          <w:szCs w:val="20"/>
          <w:color w:val="auto"/>
        </w:rPr>
      </w:pPr>
    </w:p>
    <w:p>
      <w:pPr>
        <w:ind w:right="40" w:firstLine="324"/>
        <w:spacing w:after="0" w:line="250" w:lineRule="auto"/>
        <w:rPr>
          <w:sz w:val="20"/>
          <w:szCs w:val="20"/>
          <w:color w:val="auto"/>
        </w:rPr>
      </w:pPr>
      <w:r>
        <w:rPr>
          <w:rFonts w:ascii="Arial" w:cs="Arial" w:eastAsia="Arial" w:hAnsi="Arial"/>
          <w:sz w:val="16"/>
          <w:szCs w:val="16"/>
          <w:b w:val="1"/>
          <w:bCs w:val="1"/>
          <w:color w:val="auto"/>
        </w:rPr>
        <w:t xml:space="preserve">Section 4. Place of Meetings. </w:t>
      </w:r>
      <w:r>
        <w:rPr>
          <w:rFonts w:ascii="Arial" w:cs="Arial" w:eastAsia="Arial" w:hAnsi="Arial"/>
          <w:sz w:val="16"/>
          <w:szCs w:val="16"/>
          <w:color w:val="auto"/>
        </w:rPr>
        <w:t>Meetings of the stockholders of the corporation may be held at such place, either within or without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as may be determined from time to time by the Board of Directors. The Board of Directors may, in its sole discretion, determine that the meeting</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shall not be held at any place, but may instead be held solely by means of remote communication as provided under the General Corporation Law of the State of Delaware (“DGCL”).</w:t>
      </w:r>
    </w:p>
    <w:p>
      <w:pPr>
        <w:spacing w:after="0" w:line="15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Annual Meeting.</w:t>
      </w:r>
    </w:p>
    <w:p>
      <w:pPr>
        <w:spacing w:after="0" w:line="202" w:lineRule="exact"/>
        <w:rPr>
          <w:sz w:val="20"/>
          <w:szCs w:val="20"/>
          <w:color w:val="auto"/>
        </w:rPr>
      </w:pPr>
    </w:p>
    <w:p>
      <w:pPr>
        <w:ind w:firstLine="980"/>
        <w:spacing w:after="0" w:line="225" w:lineRule="auto"/>
        <w:tabs>
          <w:tab w:leader="none" w:pos="1296"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 xml:space="preserve">The annual meeting of the stockholders of the corporation, for the purpose of election of directors and for such other business as may properly come before it, shall be held on such date and at such time as may be designated from time to time by the Board of Directors. The corporation may postpone, reschedule or cancel any annual meeting of stockholders previously scheduled by the Board of Directors at any time, before or after notice of such meeting has been sent to the stockholders. Nominations of persons for election to the Board of Directors of the corporation and proposals of business to be considered by the stockholders may be made at an annual meeting of stockholders: (i) pursuant to the corporation’s notice of meeting (or any supplement thereto) of stockholders; (ii) brought specifically by or at the direction of the Board of Directors or a duly authorized committee thereof; or (iii) by any stockholder of the corporation who was a stockholder of record at the time of giving the stockholder’s notice provided for in Section 5(b) below and who is a stockholder of record at the time of the annual meeting of stockholders,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and the rules and regulations thereunder before an annual meeting of stockholders).</w:t>
      </w:r>
    </w:p>
    <w:p>
      <w:pPr>
        <w:spacing w:after="0" w:line="163" w:lineRule="exact"/>
        <w:rPr>
          <w:rFonts w:ascii="Arial" w:cs="Arial" w:eastAsia="Arial" w:hAnsi="Arial"/>
          <w:sz w:val="17"/>
          <w:szCs w:val="17"/>
          <w:b w:val="1"/>
          <w:bCs w:val="1"/>
          <w:color w:val="auto"/>
        </w:rPr>
      </w:pPr>
    </w:p>
    <w:p>
      <w:pPr>
        <w:ind w:right="580" w:firstLine="980"/>
        <w:spacing w:after="0" w:line="274" w:lineRule="auto"/>
        <w:tabs>
          <w:tab w:leader="none" w:pos="1296"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At an annual meeting of the stockholders, only such business shall be conducted as is a proper matter for stockholder action under Delaware law and as shall have been properly brought before the meeting in accordance with the procedures below.</w:t>
      </w:r>
    </w:p>
    <w:p>
      <w:pPr>
        <w:spacing w:after="0" w:line="134" w:lineRule="exact"/>
        <w:rPr>
          <w:rFonts w:ascii="Arial" w:cs="Arial" w:eastAsia="Arial" w:hAnsi="Arial"/>
          <w:sz w:val="17"/>
          <w:szCs w:val="17"/>
          <w:b w:val="1"/>
          <w:bCs w:val="1"/>
          <w:color w:val="auto"/>
        </w:rPr>
      </w:pPr>
    </w:p>
    <w:p>
      <w:pPr>
        <w:ind w:right="360" w:firstLine="1458"/>
        <w:spacing w:after="0" w:line="235" w:lineRule="auto"/>
        <w:tabs>
          <w:tab w:leader="none" w:pos="1944"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For nominations for the election to the Board of Directors to be properly brought before an annual meeting by a stockholder pursuant to clause (iii) of Section 5(a), the stockholder must deliver written</w:t>
      </w:r>
    </w:p>
    <w:p>
      <w:pPr>
        <w:sectPr>
          <w:pgSz w:w="11900" w:h="16838" w:orient="portrait"/>
          <w:cols w:equalWidth="0" w:num="1">
            <w:col w:w="11240"/>
          </w:cols>
          <w:pgMar w:left="320" w:top="1404" w:right="339" w:bottom="1440" w:gutter="0" w:footer="0" w:header="0"/>
        </w:sectPr>
      </w:pPr>
    </w:p>
    <w:bookmarkStart w:id="67" w:name="page68"/>
    <w:bookmarkEnd w:id="67"/>
    <w:p>
      <w:pPr>
        <w:ind w:right="20"/>
        <w:spacing w:after="0" w:line="248" w:lineRule="auto"/>
        <w:rPr>
          <w:sz w:val="20"/>
          <w:szCs w:val="20"/>
          <w:color w:val="auto"/>
        </w:rPr>
      </w:pPr>
      <w:r>
        <w:rPr>
          <w:rFonts w:ascii="Arial" w:cs="Arial" w:eastAsia="Arial" w:hAnsi="Arial"/>
          <w:sz w:val="16"/>
          <w:szCs w:val="16"/>
          <w:color w:val="auto"/>
        </w:rPr>
        <w:t>notice to the Secretary at the principal executive offices of the corporation on a timely basis as set forth in Section 5(b)(iii) and must update and supplement the information contained in such written notice on a timely basis as set forth in Section 5(c). Such stockholder’s notice shall set forth: (A) as to each</w:t>
      </w:r>
    </w:p>
    <w:p>
      <w:pPr>
        <w:ind w:right="80"/>
        <w:spacing w:after="0" w:line="234" w:lineRule="auto"/>
        <w:rPr>
          <w:sz w:val="20"/>
          <w:szCs w:val="20"/>
          <w:color w:val="auto"/>
        </w:rPr>
      </w:pPr>
      <w:r>
        <w:rPr>
          <w:rFonts w:ascii="Arial" w:cs="Arial" w:eastAsia="Arial" w:hAnsi="Arial"/>
          <w:sz w:val="16"/>
          <w:szCs w:val="16"/>
          <w:color w:val="auto"/>
        </w:rPr>
        <w:t>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beneficially and of record by such nominee; and list any pledge of or encumbrances on such shares; (4) the date or dates on which such</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shares were acquired and the investment intent of such acquisition; (5) the questionnaire, representation and agreement required by Section 5(e); and (6) all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or provided to the corporation</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pursuant to Section 14 of the 1934 Act and the rules and regulations promulgated thereunder (including such person’s written consent to being named as a nominee in a proxy statement, proxy card or other filings and to serving as a director if elected); and (B) all of the information required by Section 5(b)(iv). The corporation may require any proposed nominee to furnish such other information as it may reasonably require to determine the eligibility of such</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proposed nominee to serve as a director of the corporation and to determine the independence (as such term is used in any applicable stock exchange listing requirements or applicable law) of such proposed nominee or to determine the eligibility of such proposed nominee to serve on any committee or sub-committee of the Board of Directors under any applicable stock exchange listing requirements or applicable law, or that the Board of Directors determines</w:t>
      </w:r>
    </w:p>
    <w:p>
      <w:pPr>
        <w:spacing w:after="0" w:line="2" w:lineRule="exact"/>
        <w:rPr>
          <w:sz w:val="20"/>
          <w:szCs w:val="20"/>
          <w:color w:val="auto"/>
        </w:rPr>
      </w:pPr>
    </w:p>
    <w:p>
      <w:pPr>
        <w:ind w:right="260"/>
        <w:spacing w:after="0" w:line="234" w:lineRule="auto"/>
        <w:rPr>
          <w:sz w:val="20"/>
          <w:szCs w:val="20"/>
          <w:color w:val="auto"/>
        </w:rPr>
      </w:pPr>
      <w:r>
        <w:rPr>
          <w:rFonts w:ascii="Arial" w:cs="Arial" w:eastAsia="Arial" w:hAnsi="Arial"/>
          <w:sz w:val="16"/>
          <w:szCs w:val="16"/>
          <w:color w:val="auto"/>
        </w:rPr>
        <w:t>could be material to a reasonable stockholder’s understanding of the background, qualifications, experience, independence, or lack thereof, of such proposed nominee. The number of nominees a stockholder may nominate for election at the annual meeting on its own behalf (or in the case of a stockholder giving the notice on behalf of a beneficial owner, the number of nominees a stockholder may nominate for election at the annual meeting on</w:t>
      </w:r>
    </w:p>
    <w:p>
      <w:pPr>
        <w:spacing w:after="0" w:line="2" w:lineRule="exact"/>
        <w:rPr>
          <w:sz w:val="20"/>
          <w:szCs w:val="20"/>
          <w:color w:val="auto"/>
        </w:rPr>
      </w:pPr>
    </w:p>
    <w:p>
      <w:pPr>
        <w:ind w:right="280"/>
        <w:spacing w:after="0" w:line="234" w:lineRule="auto"/>
        <w:rPr>
          <w:sz w:val="20"/>
          <w:szCs w:val="20"/>
          <w:color w:val="auto"/>
        </w:rPr>
      </w:pPr>
      <w:r>
        <w:rPr>
          <w:rFonts w:ascii="Arial" w:cs="Arial" w:eastAsia="Arial" w:hAnsi="Arial"/>
          <w:sz w:val="16"/>
          <w:szCs w:val="16"/>
          <w:color w:val="auto"/>
        </w:rPr>
        <w:t>behalf of such beneficial owner) shall not exceed the number of directors to be elected at such annual meeting. A stockholder may not designate any substitute nominees unless the stockholder provides timely notice of such substitute nominee(s) in accordance with this Section 5(b)(i), in the case of an annual meeting, or Section 6, in the case of a special meeting (and such notice contains all of the information, representations, questionnaires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with respect to such substitute nominee(s) that are required by the Bylaws with respect to nominees for director).</w:t>
      </w:r>
    </w:p>
    <w:p>
      <w:pPr>
        <w:spacing w:after="0" w:line="169" w:lineRule="exact"/>
        <w:rPr>
          <w:sz w:val="20"/>
          <w:szCs w:val="20"/>
          <w:color w:val="auto"/>
        </w:rPr>
      </w:pPr>
    </w:p>
    <w:p>
      <w:pPr>
        <w:ind w:right="20" w:firstLine="1408"/>
        <w:spacing w:after="0" w:line="227" w:lineRule="auto"/>
        <w:tabs>
          <w:tab w:leader="none" w:pos="1944"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the information contained in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all of the information required by Section 5(b)(iv).</w:t>
      </w:r>
    </w:p>
    <w:p>
      <w:pPr>
        <w:spacing w:after="0" w:line="162" w:lineRule="exact"/>
        <w:rPr>
          <w:rFonts w:ascii="Arial" w:cs="Arial" w:eastAsia="Arial" w:hAnsi="Arial"/>
          <w:sz w:val="17"/>
          <w:szCs w:val="17"/>
          <w:b w:val="1"/>
          <w:bCs w:val="1"/>
          <w:color w:val="auto"/>
        </w:rPr>
      </w:pPr>
    </w:p>
    <w:p>
      <w:pPr>
        <w:ind w:right="60" w:firstLine="1358"/>
        <w:spacing w:after="0" w:line="227" w:lineRule="auto"/>
        <w:tabs>
          <w:tab w:leader="none" w:pos="1944"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 xml:space="preserve">To be timely, the written notice required by Section 5(b)(i) or 5(b)(ii) must be received by the Secretary at the principal executive offices of the corporation not later than the close of business on the 90th day nor earlier than the close of business on the 120th day prior to the first anniversary of the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subject to the last sentence of this Section 5(b)(iii), in the event that the date of the annual meeting is advanced more than 30 days prior to or delayed by more than 30 days after the anniversary of the preceding year’s annual meeting, notice by the stockholder to be timely must be so received (A) not earlier than the close of business on the 120th day prior to such annual meeting and (B) not later than the close of business on the later of the 90th day prior to such annual meeting or, if later than the 90th day prior to such annual meeting, the 10th day following the day on which public announcement of the date of such meeting is first made. In no event shall an adjournment or a postponement (or the public announcement thereof) of an annual meeting for which notice has been given, or for which a public announcement of the date of the meeting has been made by the corporation, commence a new time period (or extend any time period) for the giving of a stockholder’s notice as described above.</w:t>
      </w:r>
    </w:p>
    <w:p>
      <w:pPr>
        <w:spacing w:after="0" w:line="162" w:lineRule="exact"/>
        <w:rPr>
          <w:rFonts w:ascii="Arial" w:cs="Arial" w:eastAsia="Arial" w:hAnsi="Arial"/>
          <w:sz w:val="17"/>
          <w:szCs w:val="17"/>
          <w:b w:val="1"/>
          <w:bCs w:val="1"/>
          <w:color w:val="auto"/>
        </w:rPr>
      </w:pPr>
    </w:p>
    <w:p>
      <w:pPr>
        <w:ind w:firstLine="1368"/>
        <w:spacing w:after="0" w:line="219" w:lineRule="auto"/>
        <w:tabs>
          <w:tab w:leader="none" w:pos="1944"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written notice required by Section 5(b)(i) or 5(b)(ii) shall also set forth, as of the date of the notice and as to the stockholder giving the notice, the beneficial owner, if any, on whose behalf the nomination or proposal is made and any affiliate who controls either of the foregoing stockholder or beneficial owner, directly or indirectly (each, a “</w:t>
      </w:r>
      <w:r>
        <w:rPr>
          <w:rFonts w:ascii="Arial" w:cs="Arial" w:eastAsia="Arial" w:hAnsi="Arial"/>
          <w:sz w:val="18"/>
          <w:szCs w:val="18"/>
          <w:b w:val="1"/>
          <w:bCs w:val="1"/>
          <w:color w:val="auto"/>
        </w:rPr>
        <w:t>Proponent</w:t>
      </w:r>
      <w:r>
        <w:rPr>
          <w:rFonts w:ascii="Arial" w:cs="Arial" w:eastAsia="Arial" w:hAnsi="Arial"/>
          <w:sz w:val="18"/>
          <w:szCs w:val="18"/>
          <w:color w:val="auto"/>
        </w:rPr>
        <w:t>” and collectively, the “</w:t>
      </w:r>
      <w:r>
        <w:rPr>
          <w:rFonts w:ascii="Arial" w:cs="Arial" w:eastAsia="Arial" w:hAnsi="Arial"/>
          <w:sz w:val="18"/>
          <w:szCs w:val="18"/>
          <w:b w:val="1"/>
          <w:bCs w:val="1"/>
          <w:color w:val="auto"/>
        </w:rPr>
        <w:t>Proponents</w:t>
      </w:r>
      <w:r>
        <w:rPr>
          <w:rFonts w:ascii="Arial" w:cs="Arial" w:eastAsia="Arial" w:hAnsi="Arial"/>
          <w:sz w:val="18"/>
          <w:szCs w:val="18"/>
          <w:color w:val="auto"/>
        </w:rPr>
        <w:t>”): (A) the name and address of each Proponent who is a record stockholder, as they appear on the corporation’s books, and the name and address of each other Proponent; (B) the class, series and number of shares of each class or series of the capital stock of the corporation that are, directly or indirectly, owned of record or beneficially (within the meaning of Rule 13d-3 under</w:t>
      </w:r>
    </w:p>
    <w:p>
      <w:pPr>
        <w:sectPr>
          <w:pgSz w:w="11900" w:h="16838" w:orient="portrait"/>
          <w:cols w:equalWidth="0" w:num="1">
            <w:col w:w="11240"/>
          </w:cols>
          <w:pgMar w:left="320" w:top="1408" w:right="339" w:bottom="1440" w:gutter="0" w:footer="0" w:header="0"/>
        </w:sectPr>
      </w:pPr>
    </w:p>
    <w:bookmarkStart w:id="68" w:name="page69"/>
    <w:bookmarkEnd w:id="68"/>
    <w:p>
      <w:pPr>
        <w:ind w:right="160"/>
        <w:spacing w:after="0" w:line="248" w:lineRule="auto"/>
        <w:rPr>
          <w:sz w:val="20"/>
          <w:szCs w:val="20"/>
          <w:color w:val="auto"/>
        </w:rPr>
      </w:pPr>
      <w:r>
        <w:rPr>
          <w:rFonts w:ascii="Arial" w:cs="Arial" w:eastAsia="Arial" w:hAnsi="Arial"/>
          <w:sz w:val="16"/>
          <w:szCs w:val="16"/>
          <w:color w:val="auto"/>
        </w:rPr>
        <w:t>the 1934 Act) by each Proponent (provided, that for purposes of this Section 5(b)(iv), such Proponent shall in all events be deemed to beneficially own all shares of any class or series of capital stock of the corporation as to which such Proponent or any of its affiliates or associates has a right to acquire</w:t>
      </w:r>
    </w:p>
    <w:p>
      <w:pPr>
        <w:jc w:val="both"/>
        <w:ind w:right="120"/>
        <w:spacing w:after="0" w:line="234" w:lineRule="auto"/>
        <w:rPr>
          <w:sz w:val="20"/>
          <w:szCs w:val="20"/>
          <w:color w:val="auto"/>
        </w:rPr>
      </w:pPr>
      <w:r>
        <w:rPr>
          <w:rFonts w:ascii="Arial" w:cs="Arial" w:eastAsia="Arial" w:hAnsi="Arial"/>
          <w:sz w:val="16"/>
          <w:szCs w:val="16"/>
          <w:color w:val="auto"/>
        </w:rPr>
        <w:t>beneficial ownership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the nominee (if applicable), and/or any other persons (including their names), including, without limitation, any</w:t>
      </w:r>
    </w:p>
    <w:p>
      <w:pPr>
        <w:spacing w:after="0" w:line="2"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agreements, arrangements or understandings required to be disclosed pursuant to Item 5 or Item 6 of 1934 Act Schedule 13D, regardless of whether the requirement to file a Schedule 13D is applicable; (D) a representation that the stockholder is a holder of record of shares of the corporation at the time of giving notice, will be entitled to vote at the meeting and that such stockholder (or a qualified representative thereof) intends to appear at the meeting to</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nominate the person or persons specified in the notice (with respect to a notice under Section 5(b)(i)) or to propose the business that is specified in the notice (with respect to a notice under Section 5(b)(ii)); (E) a representation whether any Proponent or any other participant (as defined in Item 4 of Schedule 14A under the 1934 Act) will engage in a solicitation with respect to such nomination or proposal and, if so, the name of each participant in such</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solicitation and the amount of the cost of solicitation that has been and will be borne, directly or indirectly, by each participant in such solicitation and a representation as to whether the Proponents intend or are part of a group that intends (x) to deliver, or make available, a proxy statement and/or form of proxy to holders of at least the percentage of the corporation’s voting shares required to approve or adopt the proposal or elect the nominee, (y) to otherwise</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solicit proxies or votes from stockholders in support of such proposal or nomination and/or (z) to solicit proxies in support of any proposed nominee in accordance with Rule 14a-19 promulgated under the 1934 Act; (F) to the extent known by any Proponent, the name and address of any other stockholder supporting the proposal on the date of such stockholder’s notice; (G) a description of all Derivative Transactions (as defined below) by each Proponent</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during the previous 12- month period, including the date of the transactions and the class, series and number of securities involved in, and the material economic or voting terms of, such Derivative Transactions; (H) a certification regarding whether each Proponent has complied with all applicable federal, state and other legal requirements in connection with such Proponent’s acquisition of shares of capital stock or other securities of the corporation and/or</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such Proponent’s acts or omissions as a stockholder or beneficial owner of the corporation; and (I) any other information relating to each Proponent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promulgated thereunder.</w:t>
      </w:r>
    </w:p>
    <w:p>
      <w:pPr>
        <w:spacing w:after="0" w:line="169" w:lineRule="exact"/>
        <w:rPr>
          <w:sz w:val="20"/>
          <w:szCs w:val="20"/>
          <w:color w:val="auto"/>
        </w:rPr>
      </w:pPr>
    </w:p>
    <w:p>
      <w:pPr>
        <w:ind w:firstLine="980"/>
        <w:spacing w:after="0" w:line="239" w:lineRule="auto"/>
        <w:tabs>
          <w:tab w:leader="none" w:pos="1296"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A stockholder providing the written notice required by Section 5(b)(i) or 5(b)(ii) shall update and supplement such notice in writing, if necessary, so that the information (other than the representations required by Section 5(b)(iv)(E))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Business Days after the later of the record date for the determination of stockholders entitled to notice of the meeting and the public announcement of the record date.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177" w:lineRule="exact"/>
        <w:rPr>
          <w:rFonts w:ascii="Arial" w:cs="Arial" w:eastAsia="Arial" w:hAnsi="Arial"/>
          <w:sz w:val="16"/>
          <w:szCs w:val="16"/>
          <w:b w:val="1"/>
          <w:bCs w:val="1"/>
          <w:color w:val="auto"/>
        </w:rPr>
      </w:pPr>
    </w:p>
    <w:p>
      <w:pPr>
        <w:ind w:right="60" w:firstLine="980"/>
        <w:spacing w:after="0" w:line="229" w:lineRule="auto"/>
        <w:tabs>
          <w:tab w:leader="none" w:pos="1296"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Notwithstanding anything in Section 5(b)(iii) to the contrary, in the event that the number of directors to be elected to the Board of Directors of the corporation at an annual meeting is increased and there is no public announcement naming all of the nominees for director or specifying the size of the increased Board of Directors made by the corporation at least ten days before the last day a stockholder may deliver a notice of nomination in accordance with Section 5(b)(iii), a stockholder’s notice required by this Section 5 that complies with the requirements in Section 5(b)(i), other than the timing requirements in Section 5(b)(iii), shall also be considered timely, but only with respect to nominees for any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65" w:lineRule="exact"/>
        <w:rPr>
          <w:rFonts w:ascii="Arial" w:cs="Arial" w:eastAsia="Arial" w:hAnsi="Arial"/>
          <w:sz w:val="17"/>
          <w:szCs w:val="17"/>
          <w:b w:val="1"/>
          <w:bCs w:val="1"/>
          <w:color w:val="auto"/>
        </w:rPr>
      </w:pPr>
    </w:p>
    <w:p>
      <w:pPr>
        <w:ind w:firstLine="980"/>
        <w:spacing w:after="0" w:line="245" w:lineRule="auto"/>
        <w:tabs>
          <w:tab w:leader="none" w:pos="1296"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To be eligible to be a nominee for election or re-election as a director of the corporation pursuant to a nomination under clause (iii) of Section 5(a) or clause (ii) of Section 6(c), each Proponent must deliver (in accordance with the time periods prescribed for delivery of notice under Sections 5(b)(iii), 5(d) or 6(c), as applicable) to the Secretary at the principal executive offices of the corporation a written questionnaire with respect</w:t>
      </w:r>
    </w:p>
    <w:p>
      <w:pPr>
        <w:sectPr>
          <w:pgSz w:w="11900" w:h="16838" w:orient="portrait"/>
          <w:cols w:equalWidth="0" w:num="1">
            <w:col w:w="11240"/>
          </w:cols>
          <w:pgMar w:left="320" w:top="1408" w:right="339" w:bottom="1440" w:gutter="0" w:footer="0" w:header="0"/>
        </w:sectPr>
      </w:pPr>
    </w:p>
    <w:bookmarkStart w:id="69" w:name="page70"/>
    <w:bookmarkEnd w:id="69"/>
    <w:p>
      <w:pPr>
        <w:jc w:val="both"/>
        <w:ind w:right="40"/>
        <w:spacing w:after="0" w:line="248" w:lineRule="auto"/>
        <w:rPr>
          <w:sz w:val="20"/>
          <w:szCs w:val="20"/>
          <w:color w:val="auto"/>
        </w:rPr>
      </w:pPr>
      <w:r>
        <w:rPr>
          <w:rFonts w:ascii="Arial" w:cs="Arial" w:eastAsia="Arial" w:hAnsi="Arial"/>
          <w:sz w:val="16"/>
          <w:szCs w:val="16"/>
          <w:color w:val="auto"/>
        </w:rPr>
        <w:t>to the background, qualifications, stock ownership and independence of such proposed nominee and the background of any other person or entity on whose behalf the nomination is being made (in the form provided by the Secretary within ten days following a written request therefor by a stockholder of record)</w:t>
      </w:r>
    </w:p>
    <w:p>
      <w:pPr>
        <w:ind w:right="20"/>
        <w:spacing w:after="0" w:line="234" w:lineRule="auto"/>
        <w:rPr>
          <w:sz w:val="20"/>
          <w:szCs w:val="20"/>
          <w:color w:val="auto"/>
        </w:rPr>
      </w:pPr>
      <w:r>
        <w:rPr>
          <w:rFonts w:ascii="Arial" w:cs="Arial" w:eastAsia="Arial" w:hAnsi="Arial"/>
          <w:sz w:val="16"/>
          <w:szCs w:val="16"/>
          <w:color w:val="auto"/>
        </w:rPr>
        <w:t>and a written representation and agreement (in the form provided by the Secretary within ten days following a written request therefor by a stockholder of record) that such person (i) is not and will not become a party to (A) any agreement, arrangement or understanding (whether oral or in writing) with, and has not given any commitment or assurance to, any person or entity as to how such person, if elected as a director of the corporation, will act or vote on any</w:t>
      </w:r>
    </w:p>
    <w:p>
      <w:pPr>
        <w:spacing w:after="0" w:line="2" w:lineRule="exact"/>
        <w:rPr>
          <w:sz w:val="20"/>
          <w:szCs w:val="20"/>
          <w:color w:val="auto"/>
        </w:rPr>
      </w:pPr>
    </w:p>
    <w:p>
      <w:pPr>
        <w:ind w:right="200"/>
        <w:spacing w:after="0" w:line="228" w:lineRule="auto"/>
        <w:rPr>
          <w:sz w:val="20"/>
          <w:szCs w:val="20"/>
          <w:color w:val="auto"/>
        </w:rPr>
      </w:pPr>
      <w:r>
        <w:rPr>
          <w:rFonts w:ascii="Arial" w:cs="Arial" w:eastAsia="Arial" w:hAnsi="Arial"/>
          <w:sz w:val="16"/>
          <w:szCs w:val="16"/>
          <w:color w:val="auto"/>
        </w:rPr>
        <w:t>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in the questionnaire or (B) any Voting Commitment that could limit or interfere with such person’s ability to comply, if elected as a director of the corporation, with such person’s fiduciary duties under applicable law;</w:t>
      </w:r>
    </w:p>
    <w:p>
      <w:pPr>
        <w:spacing w:after="0" w:line="1" w:lineRule="exact"/>
        <w:rPr>
          <w:sz w:val="20"/>
          <w:szCs w:val="20"/>
          <w:color w:val="auto"/>
        </w:rPr>
      </w:pPr>
    </w:p>
    <w:p>
      <w:pPr>
        <w:ind w:right="100" w:firstLine="8"/>
        <w:spacing w:after="0" w:line="216"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nominee that has not been disclosed in such questionnaire; (iii) would be in compliance, if elected as a director of the corporation, and will comply with, all applicable publicly disclosed corporate governance, conflict of interest, confidentiality and stock ownership and trading policies and guidelines of the corporation and (iv) if elected as a director of the corporation, intends to serve the entire term until the next meeting at which such candidate would face re-election.</w:t>
      </w:r>
    </w:p>
    <w:p>
      <w:pPr>
        <w:spacing w:after="0" w:line="162" w:lineRule="exact"/>
        <w:rPr>
          <w:rFonts w:ascii="Arial" w:cs="Arial" w:eastAsia="Arial" w:hAnsi="Arial"/>
          <w:sz w:val="18"/>
          <w:szCs w:val="18"/>
          <w:color w:val="auto"/>
        </w:rPr>
      </w:pPr>
    </w:p>
    <w:p>
      <w:pPr>
        <w:ind w:firstLine="980"/>
        <w:spacing w:after="0"/>
        <w:tabs>
          <w:tab w:leader="none" w:pos="1296"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A person shall not be eligible for election or re-election as a director unless the person is nominated, in the case of an annual meeting, in accordance with clause (ii) or clause (iii) of Section 5(a) and in accordance with the procedures set forth in Sections 5(b), 5(c), 5(d), 5(e) and 5(f), as applicable, or in the case of a special meeting, in accordance with paragraph (c) of Section 6 of these Bylaws and the requirements thereof. Only such business shall be conducted at any annual meeting of the stockholders of the corporation as shall have been brought before the meeting in accordance with Section 5(a) of these Bylaws and in accordance with the procedures set forth in Sections 5(b), 5(c) and 5(f) of these Bylaws, as applicable. Notwithstanding anything to the contrary in these Bylaws, unless otherwise required by applicable law, if any Proponent (i) provides notice pursuant to Rule 14a-19(b) promulgated under the 1934 Act with respect to any proposed nominee and (ii) subsequently (x) fails to comply with the requirements of Rule 14a-19 promulgated under the 1934 Act (or fails to timely provide reasonable evidence sufficient to satisfy the corporation that such Proponent has met the requirements of Rule 14a-19(a)(3) promulgated under the 1934 Act in accordance with the following sentence) or (y) fails to inform the corporation that such Proponent no longer plans to solicit proxies in accordance with the requirements of Rule 14a-19 promulgated under the 1934 Act by delivering a written notice to the Secretary at the principal executive offices of the corporation within two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Proponent pursuant to clause (iii) of Section 5(a) and, in the case of a special meeting of stockholders, pursuant to and to the extent permitted under paragraph (c) of Section 6 of these Bylaws. Except as otherwise required by applicable law, the Chairperson of the meeting shall have the power and duty to determine whether a nomination or any business proposed to be brought before the meeting was made, or proposed, as the case may be, in accordance with the procedures and requirements set forth in these Bylaws (including, without limitation, compliance with Rule 14a-19 promulgated under the 1934 Act) and, if any proposed nomination or business is not in compliance with these Bylaws, or the Proponent does not act in accordance with the representations required by this Section 5, to declare that such proposal or nomination shall not be presented for stockholder action at the meeting and shall be disregarded (and such nominee disqualified from standing for election or re-election), or that business shall not be transacted, notwithstanding that such proposal or nomination is set forth in (as applicable) the corporation’s proxy statement, notice of meeting or other proxy materials and notwithstanding that proxies or votes in respect of such nominations or such business may have been solicited or received. Notwithstanding the foregoing provisions of this Section 5,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w:t>
      </w:r>
    </w:p>
    <w:p>
      <w:pPr>
        <w:sectPr>
          <w:pgSz w:w="11900" w:h="16838" w:orient="portrait"/>
          <w:cols w:equalWidth="0" w:num="1">
            <w:col w:w="11240"/>
          </w:cols>
          <w:pgMar w:left="320" w:top="1408" w:right="339" w:bottom="1440" w:gutter="0" w:footer="0" w:header="0"/>
        </w:sectPr>
      </w:pPr>
    </w:p>
    <w:bookmarkStart w:id="70" w:name="page71"/>
    <w:bookmarkEnd w:id="70"/>
    <w:p>
      <w:pPr>
        <w:ind w:right="20"/>
        <w:spacing w:after="0" w:line="248" w:lineRule="auto"/>
        <w:rPr>
          <w:sz w:val="20"/>
          <w:szCs w:val="20"/>
          <w:color w:val="auto"/>
        </w:rPr>
      </w:pPr>
      <w:r>
        <w:rPr>
          <w:rFonts w:ascii="Arial" w:cs="Arial" w:eastAsia="Arial" w:hAnsi="Arial"/>
          <w:sz w:val="16"/>
          <w:szCs w:val="16"/>
          <w:color w:val="auto"/>
        </w:rPr>
        <w:t>statement, notice of meeting or other proxy materials and notwithstanding that proxies or votes in respect of such vote may have been solicited or received by the corporation. For purposes of this Section 5, to be considered a qualified representative of the stockholder, a person must be a duly authorized officer,</w:t>
      </w:r>
    </w:p>
    <w:p>
      <w:pPr>
        <w:ind w:right="120"/>
        <w:spacing w:after="0" w:line="248" w:lineRule="auto"/>
        <w:rPr>
          <w:sz w:val="20"/>
          <w:szCs w:val="20"/>
          <w:color w:val="auto"/>
        </w:rPr>
      </w:pPr>
      <w:r>
        <w:rPr>
          <w:rFonts w:ascii="Arial" w:cs="Arial" w:eastAsia="Arial" w:hAnsi="Arial"/>
          <w:sz w:val="16"/>
          <w:szCs w:val="16"/>
          <w:color w:val="auto"/>
        </w:rPr>
        <w:t>manager or partner of such stockholder or must be authorized by a writing executed by such stockholder or an electronic transmission delivered by such stockholder to act for such stockholder as proxy at the meeting of stockholders, which writing or electronic transmission, or a reliable reproduction of the writing or electronic transmission, shall be provided to the Secretary of the corporation at least five (5) business days prior to the meeting of stockholders.</w:t>
      </w:r>
    </w:p>
    <w:p>
      <w:pPr>
        <w:spacing w:after="0" w:line="170" w:lineRule="exact"/>
        <w:rPr>
          <w:sz w:val="20"/>
          <w:szCs w:val="20"/>
          <w:color w:val="auto"/>
        </w:rPr>
      </w:pPr>
    </w:p>
    <w:p>
      <w:pPr>
        <w:ind w:right="40" w:firstLine="980"/>
        <w:spacing w:after="0" w:line="242" w:lineRule="auto"/>
        <w:tabs>
          <w:tab w:leader="none" w:pos="1296"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and any failure to comply with such requirements shall be deemed a failure to comply with this Section 5. Nothing in these Bylaws shall be deemed to affect any rights of (i) stockholders to request inclusion of proposals in the corporation’s proxy statement pursuant to Rule 14a-8 under the 1934 Act;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references in these Bylaws to the 1934 Act or the rules and regulations thereunder are not intended to and shall not limit the requirements applicable to proposals and/or nominations to be considered pursuant to Section 5(a)(iii) of these Bylaws; or (ii) the holders of any class or series of preferred stock of the corporation as to dividends or upon liquidation to make nominations of persons for election to the Board of Directors if and to the extent provided for under law, the Certificate of Incorporation, or these Bylaws.</w:t>
      </w:r>
    </w:p>
    <w:p>
      <w:pPr>
        <w:spacing w:after="0" w:line="162" w:lineRule="exact"/>
        <w:rPr>
          <w:rFonts w:ascii="Arial" w:cs="Arial" w:eastAsia="Arial" w:hAnsi="Arial"/>
          <w:sz w:val="16"/>
          <w:szCs w:val="16"/>
          <w:b w:val="1"/>
          <w:bCs w:val="1"/>
          <w:color w:val="auto"/>
        </w:rPr>
      </w:pPr>
    </w:p>
    <w:p>
      <w:pPr>
        <w:ind w:left="1300" w:hanging="320"/>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198" w:lineRule="exact"/>
        <w:rPr>
          <w:rFonts w:ascii="Arial" w:cs="Arial" w:eastAsia="Arial" w:hAnsi="Arial"/>
          <w:sz w:val="18"/>
          <w:szCs w:val="18"/>
          <w:b w:val="1"/>
          <w:bCs w:val="1"/>
          <w:color w:val="auto"/>
        </w:rPr>
      </w:pPr>
    </w:p>
    <w:p>
      <w:pPr>
        <w:ind w:left="1960" w:hanging="502"/>
        <w:spacing w:after="0"/>
        <w:tabs>
          <w:tab w:leader="none" w:pos="1960"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affiliates</w:t>
      </w:r>
      <w:r>
        <w:rPr>
          <w:rFonts w:ascii="Arial" w:cs="Arial" w:eastAsia="Arial" w:hAnsi="Arial"/>
          <w:sz w:val="16"/>
          <w:szCs w:val="16"/>
          <w:color w:val="auto"/>
        </w:rPr>
        <w:t>” and “</w:t>
      </w:r>
      <w:r>
        <w:rPr>
          <w:rFonts w:ascii="Arial" w:cs="Arial" w:eastAsia="Arial" w:hAnsi="Arial"/>
          <w:sz w:val="16"/>
          <w:szCs w:val="16"/>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“1933 Act”);</w:t>
      </w:r>
    </w:p>
    <w:p>
      <w:pPr>
        <w:spacing w:after="0" w:line="168" w:lineRule="exact"/>
        <w:rPr>
          <w:rFonts w:ascii="Arial" w:cs="Arial" w:eastAsia="Arial" w:hAnsi="Arial"/>
          <w:sz w:val="16"/>
          <w:szCs w:val="16"/>
          <w:b w:val="1"/>
          <w:bCs w:val="1"/>
          <w:color w:val="auto"/>
        </w:rPr>
      </w:pPr>
    </w:p>
    <w:p>
      <w:pPr>
        <w:ind w:left="1960" w:hanging="552"/>
        <w:spacing w:after="0"/>
        <w:tabs>
          <w:tab w:leader="none" w:pos="1960"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any day other than Saturday, Sunday or a day on which banks are closed in New York City, New York.</w:t>
      </w:r>
    </w:p>
    <w:p>
      <w:pPr>
        <w:spacing w:after="0" w:line="221" w:lineRule="exact"/>
        <w:rPr>
          <w:rFonts w:ascii="Arial" w:cs="Arial" w:eastAsia="Arial" w:hAnsi="Arial"/>
          <w:sz w:val="16"/>
          <w:szCs w:val="16"/>
          <w:b w:val="1"/>
          <w:bCs w:val="1"/>
          <w:color w:val="auto"/>
        </w:rPr>
      </w:pPr>
    </w:p>
    <w:p>
      <w:pPr>
        <w:ind w:firstLine="1358"/>
        <w:spacing w:after="0" w:line="235" w:lineRule="auto"/>
        <w:tabs>
          <w:tab w:leader="none" w:pos="1944"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close of business</w:t>
      </w:r>
      <w:r>
        <w:rPr>
          <w:rFonts w:ascii="Arial" w:cs="Arial" w:eastAsia="Arial" w:hAnsi="Arial"/>
          <w:sz w:val="18"/>
          <w:szCs w:val="18"/>
          <w:color w:val="auto"/>
        </w:rPr>
        <w:t>” means 6:00 p.m. local time at the principal executive offices of the Corporation on any calendar day, whether or not the day is a Business Day</w:t>
      </w:r>
    </w:p>
    <w:p>
      <w:pPr>
        <w:spacing w:after="0" w:line="161" w:lineRule="exact"/>
        <w:rPr>
          <w:rFonts w:ascii="Arial" w:cs="Arial" w:eastAsia="Arial" w:hAnsi="Arial"/>
          <w:sz w:val="18"/>
          <w:szCs w:val="18"/>
          <w:b w:val="1"/>
          <w:bCs w:val="1"/>
          <w:color w:val="auto"/>
        </w:rPr>
      </w:pPr>
    </w:p>
    <w:p>
      <w:pPr>
        <w:ind w:right="60" w:firstLine="1368"/>
        <w:spacing w:after="0" w:line="241" w:lineRule="auto"/>
        <w:tabs>
          <w:tab w:leader="none" w:pos="1944"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i w:val="1"/>
          <w:iCs w:val="1"/>
          <w:color w:val="auto"/>
        </w:rPr>
        <w:t>Derivative Transaction</w:t>
      </w:r>
      <w:r>
        <w:rPr>
          <w:rFonts w:ascii="Arial" w:cs="Arial" w:eastAsia="Arial" w:hAnsi="Arial"/>
          <w:sz w:val="16"/>
          <w:szCs w:val="16"/>
          <w:color w:val="auto"/>
        </w:rPr>
        <w:t>” means any agreement, arrangement, interest or understanding entered into by, or on behalf or for the benefit of, any Proponent or any of its affiliates or associates, whether record or beneficial: (A) the value of which is derived in whole or in part from the value of any class or series of shares or other securities of the corporation; (B) that otherwise provides any direct or indirect opportunity to gain or share in any gain derived from a change in the value of securities of the corporation; (C) the effect or intent of which is to mitigate loss, manage risk or benefit of security value or price changes; or (D) that provides the right to vote or increase or decrease the voting power of, such Proponent, or any of its affiliates or associates, directly or indirectly,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77" w:lineRule="exact"/>
        <w:rPr>
          <w:rFonts w:ascii="Arial" w:cs="Arial" w:eastAsia="Arial" w:hAnsi="Arial"/>
          <w:sz w:val="16"/>
          <w:szCs w:val="16"/>
          <w:b w:val="1"/>
          <w:bCs w:val="1"/>
          <w:color w:val="auto"/>
        </w:rPr>
      </w:pPr>
    </w:p>
    <w:p>
      <w:pPr>
        <w:ind w:right="40" w:firstLine="1418"/>
        <w:spacing w:after="0" w:line="223" w:lineRule="auto"/>
        <w:tabs>
          <w:tab w:leader="none" w:pos="1944" w:val="left"/>
        </w:tabs>
        <w:numPr>
          <w:ilvl w:val="1"/>
          <w:numId w:val="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announcement</w:t>
      </w:r>
      <w:r>
        <w:rPr>
          <w:rFonts w:ascii="Arial" w:cs="Arial" w:eastAsia="Arial" w:hAnsi="Arial"/>
          <w:sz w:val="18"/>
          <w:szCs w:val="18"/>
          <w:color w:val="auto"/>
        </w:rPr>
        <w:t>” shall mean disclosure in a press release reported by the Dow Jones Newswires,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5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Special Meetings.</w:t>
      </w:r>
    </w:p>
    <w:p>
      <w:pPr>
        <w:spacing w:after="0" w:line="189" w:lineRule="exact"/>
        <w:rPr>
          <w:sz w:val="20"/>
          <w:szCs w:val="20"/>
          <w:color w:val="auto"/>
        </w:rPr>
      </w:pPr>
    </w:p>
    <w:p>
      <w:pPr>
        <w:jc w:val="both"/>
        <w:ind w:right="20" w:firstLine="332"/>
        <w:spacing w:after="0" w:line="223" w:lineRule="auto"/>
        <w:tabs>
          <w:tab w:leader="none" w:pos="648"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the Board of Directors. The corporation may postpone, reschedule or cancel any special meeting of stockholders previously scheduled by the Board of Directors at any time, before or after notice of such meeting has been sent to the stockholders.</w:t>
      </w:r>
    </w:p>
    <w:p>
      <w:pPr>
        <w:spacing w:after="0" w:line="162" w:lineRule="exact"/>
        <w:rPr>
          <w:rFonts w:ascii="Arial" w:cs="Arial" w:eastAsia="Arial" w:hAnsi="Arial"/>
          <w:sz w:val="18"/>
          <w:szCs w:val="18"/>
          <w:b w:val="1"/>
          <w:bCs w:val="1"/>
          <w:color w:val="auto"/>
        </w:rPr>
      </w:pPr>
    </w:p>
    <w:p>
      <w:pPr>
        <w:ind w:right="140" w:firstLine="332"/>
        <w:spacing w:after="0" w:line="246" w:lineRule="auto"/>
        <w:tabs>
          <w:tab w:leader="none" w:pos="648"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For a special meeting called pursuant to Section 6(a), the person(s) calling the meeting shall determine the time and place, if any, of the meeting; provided, however, that only the Board of Directors or a duly authorized</w:t>
      </w:r>
    </w:p>
    <w:p>
      <w:pPr>
        <w:sectPr>
          <w:pgSz w:w="11900" w:h="16838" w:orient="portrait"/>
          <w:cols w:equalWidth="0" w:num="1">
            <w:col w:w="11220"/>
          </w:cols>
          <w:pgMar w:left="320" w:top="1408" w:right="359" w:bottom="1440" w:gutter="0" w:footer="0" w:header="0"/>
        </w:sectPr>
      </w:pPr>
    </w:p>
    <w:bookmarkStart w:id="71" w:name="page72"/>
    <w:bookmarkEnd w:id="71"/>
    <w:p>
      <w:pPr>
        <w:ind w:right="200"/>
        <w:spacing w:after="0" w:line="248" w:lineRule="auto"/>
        <w:rPr>
          <w:sz w:val="20"/>
          <w:szCs w:val="20"/>
          <w:color w:val="auto"/>
        </w:rPr>
      </w:pPr>
      <w:r>
        <w:rPr>
          <w:rFonts w:ascii="Arial" w:cs="Arial" w:eastAsia="Arial" w:hAnsi="Arial"/>
          <w:sz w:val="16"/>
          <w:szCs w:val="16"/>
          <w:color w:val="auto"/>
        </w:rPr>
        <w:t>committee thereof may authorize a meeting solely by means of remote communication. Upon determination of the time and place, if any, of the meeting, the Secretary shall cause a notice of meeting to be given to the stockholders entitled to vote, in accordance with the provisions of Section 7. No business</w:t>
      </w:r>
    </w:p>
    <w:p>
      <w:pPr>
        <w:spacing w:after="0"/>
        <w:rPr>
          <w:sz w:val="20"/>
          <w:szCs w:val="20"/>
          <w:color w:val="auto"/>
        </w:rPr>
      </w:pPr>
      <w:r>
        <w:rPr>
          <w:rFonts w:ascii="Arial" w:cs="Arial" w:eastAsia="Arial" w:hAnsi="Arial"/>
          <w:sz w:val="18"/>
          <w:szCs w:val="18"/>
          <w:color w:val="auto"/>
        </w:rPr>
        <w:t>may be transacted at a special meeting otherwise than as specified in the notice of meeting.</w:t>
      </w:r>
    </w:p>
    <w:p>
      <w:pPr>
        <w:spacing w:after="0" w:line="169" w:lineRule="exact"/>
        <w:rPr>
          <w:sz w:val="20"/>
          <w:szCs w:val="20"/>
          <w:color w:val="auto"/>
        </w:rPr>
      </w:pPr>
    </w:p>
    <w:p>
      <w:pPr>
        <w:ind w:firstLine="332"/>
        <w:spacing w:after="0" w:line="239" w:lineRule="auto"/>
        <w:tabs>
          <w:tab w:leader="none" w:pos="648"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at the time of giving notice provided for in this paragraph, and who is a stockholder of record at the time of the special meeting of stockholders, who shall be entitled to vote at the meeting and who complies with Section 5(b)(i), 5(b)(iv), 5(c), 5(e) and 5(f). The number of nominees a stockholder may nominate for election at the special meeting on its own behalf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entitled to vote in such election of directors may nominate a person or persons (as the case may be), for election to such position(s) as specified in the corporation’s notice of meeting, if written notice setting forth the information required by Section 5(b)(i) of these Bylaws shall be received by the Secretary at the principal executive offices of the corporation not earlier than the close of business on the 120th day prior to such special meeting and not later than the close of business on the later of the 90th day prior to such meeting or the 10th day following the day on which the corporation first makes a public announcement of the date of the special meeting at which directors are to be elected.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67" w:lineRule="exact"/>
        <w:rPr>
          <w:rFonts w:ascii="Arial" w:cs="Arial" w:eastAsia="Arial" w:hAnsi="Arial"/>
          <w:sz w:val="16"/>
          <w:szCs w:val="16"/>
          <w:b w:val="1"/>
          <w:bCs w:val="1"/>
          <w:color w:val="auto"/>
        </w:rPr>
      </w:pPr>
    </w:p>
    <w:p>
      <w:pPr>
        <w:ind w:right="60" w:firstLine="332"/>
        <w:spacing w:after="0" w:line="225" w:lineRule="auto"/>
        <w:tabs>
          <w:tab w:leader="none" w:pos="648"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A person shall not be eligible for election or re-election as a director at the special meeting unless the person is nominated either in accordance with clause (i) or clause (ii) of Section 6(c). Except as otherwise required by law, the Chairperson of the special meeting shall have the power and duty to determine whether a nomination was made in accordance with the procedures and requirements set forth in these Bylaws and, if any nomination or business is not in compliance with these Bylaws (including, without limitation, compliance with Rule 14a-19 promulgated under the 1934 Act), or if the Proponent does not act in accordance with the representations required by Section 5,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(meeting the requirements specified in Section 5(f)) does not appear at the special meeting of stockholders of the corporation to present a nomination, such nomination shall be disregarded (and such nominee disqualified from standing for election or re-election), notwithstanding that the nomination is set forth in (as applicable) the corporation’s proxy statement, notice of meeting or other proxy materials and notwithstanding that proxies or votes in respect of such nomination may have been solicited or received by the corporation.</w:t>
      </w:r>
    </w:p>
    <w:p>
      <w:pPr>
        <w:spacing w:after="0" w:line="169" w:lineRule="exact"/>
        <w:rPr>
          <w:rFonts w:ascii="Arial" w:cs="Arial" w:eastAsia="Arial" w:hAnsi="Arial"/>
          <w:sz w:val="17"/>
          <w:szCs w:val="17"/>
          <w:b w:val="1"/>
          <w:bCs w:val="1"/>
          <w:color w:val="auto"/>
        </w:rPr>
      </w:pPr>
    </w:p>
    <w:p>
      <w:pPr>
        <w:ind w:firstLine="332"/>
        <w:spacing w:after="0" w:line="228" w:lineRule="auto"/>
        <w:tabs>
          <w:tab w:leader="none" w:pos="648"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provisions of this Section 6, a stockholder must also comply with all applicable requirements of the 1934 Act and the rules and regulations thereunder with respect to matters set forth in this Section 6, and any failure to comply with such requirements shall be deemed a failure to comply with this Section 6. Nothing in these Bylaws shall be deemed to affect any rights of (i)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nominations for the election to the Board of Directors or proposals of other business to be considered pursuant to Section 6(c) of these Bylaws; or (ii) the holders of any class or series of stock having a preference over the common stock as to dividends or upon liquidation to make nominations of persons for election to the Board of Directors if and to the extent provided for under law, the Certificate of Incorporation, or these Bylaws.</w:t>
      </w:r>
    </w:p>
    <w:p>
      <w:pPr>
        <w:spacing w:after="0" w:line="171" w:lineRule="exact"/>
        <w:rPr>
          <w:sz w:val="20"/>
          <w:szCs w:val="20"/>
          <w:color w:val="auto"/>
        </w:rPr>
      </w:pPr>
    </w:p>
    <w:p>
      <w:pPr>
        <w:ind w:right="40" w:firstLine="324"/>
        <w:spacing w:after="0" w:line="243" w:lineRule="auto"/>
        <w:rPr>
          <w:sz w:val="20"/>
          <w:szCs w:val="20"/>
          <w:color w:val="auto"/>
        </w:rPr>
      </w:pPr>
      <w:r>
        <w:rPr>
          <w:rFonts w:ascii="Arial" w:cs="Arial" w:eastAsia="Arial" w:hAnsi="Arial"/>
          <w:sz w:val="16"/>
          <w:szCs w:val="16"/>
          <w:b w:val="1"/>
          <w:bCs w:val="1"/>
          <w:color w:val="auto"/>
        </w:rPr>
        <w:t xml:space="preserve">Section 7. Notice of Meetings. </w:t>
      </w:r>
      <w:r>
        <w:rPr>
          <w:rFonts w:ascii="Arial" w:cs="Arial" w:eastAsia="Arial" w:hAnsi="Arial"/>
          <w:sz w:val="16"/>
          <w:szCs w:val="16"/>
          <w:color w:val="auto"/>
        </w:rPr>
        <w:t>Except as otherwise provided by law, notice of each meeting of stockholders shall be given not less than 10 nor</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60 days before the date of the meeting to each stockholder entitled to vote at such meeting as of the record date for determining the stockholders entitled to notice of such meeting, such notice to specify the place, if any, date and hour of such meeting, the record date for determining the stockholders</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entitled to vote at such meeting, if such date is different from the record date for determining the stockholders entitled to notice of such meeting, in the case of special meetings, the purpose or purposes of the meeting, and the means of remote communications, if any, by which stockholders and proxy holders may be deemed to be present in person and vote at any such meeting. Notice shall be deemed given as provided in Section 232 of the DGCL.</w:t>
      </w:r>
    </w:p>
    <w:p>
      <w:pPr>
        <w:sectPr>
          <w:pgSz w:w="11900" w:h="16838" w:orient="portrait"/>
          <w:cols w:equalWidth="0" w:num="1">
            <w:col w:w="11200"/>
          </w:cols>
          <w:pgMar w:left="320" w:top="1408" w:right="379" w:bottom="1440" w:gutter="0" w:footer="0" w:header="0"/>
        </w:sectPr>
      </w:pPr>
    </w:p>
    <w:bookmarkStart w:id="72" w:name="page73"/>
    <w:bookmarkEnd w:id="72"/>
    <w:p>
      <w:pPr>
        <w:ind w:right="160" w:firstLine="324"/>
        <w:spacing w:after="0" w:line="250" w:lineRule="auto"/>
        <w:rPr>
          <w:sz w:val="20"/>
          <w:szCs w:val="20"/>
          <w:color w:val="auto"/>
        </w:rPr>
      </w:pPr>
      <w:r>
        <w:rPr>
          <w:rFonts w:ascii="Arial" w:cs="Arial" w:eastAsia="Arial" w:hAnsi="Arial"/>
          <w:sz w:val="16"/>
          <w:szCs w:val="16"/>
          <w:b w:val="1"/>
          <w:bCs w:val="1"/>
          <w:color w:val="auto"/>
        </w:rPr>
        <w:t xml:space="preserve">Section 8. Quorum. </w:t>
      </w:r>
      <w:r>
        <w:rPr>
          <w:rFonts w:ascii="Arial" w:cs="Arial" w:eastAsia="Arial" w:hAnsi="Arial"/>
          <w:sz w:val="16"/>
          <w:szCs w:val="16"/>
          <w:color w:val="auto"/>
        </w:rPr>
        <w:t>At all meetings of stockholders, except where otherwise required by statute or by the Certificate of Incorporation, or by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the presence, in person, by remote communication, if applicable, or by proxy duly authorized, of the holders of a majority of the voting power of</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the outstanding shares of stock entitled to vote thereat shall constitute a quorum for the transaction of business. In the absence of a quorum, any meeting of stockholders may be adjourned, from time to time, either by the Chairperson of the meeting or by the holders of a majority of the voting power of the shares represented thereat and entitled to vote thereon, but no other business shall be transacted at such meeting. The stockholders present at a duly called</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holders of a majority of the voting power of the</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shares present in person, by remote communication, if applicable, or represented by proxy duly authorized at the meeting and entitled to vote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meeting and entitled to vote generally on the election of directors. Where a separate vote by a class or classes or series is required, except where otherwise required by statute, by applicable stock exchange rules or by the Certificate of Incorporation or these Bylaws, a majority of the voting power of the outstanding shares of such class or classes or series, present in person, by remote communication, if applicable, or represented by proxy duly authorized,</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shall constitute a quorum entitled to take action with respect to that vote on that matter. Except where otherwise provided by statute, by applicable stock exchange rules or by the Certificate of Incorporation or these Bylaws, the affirmative vote of the holders of a majority (plurality, in the case of the election of directors) of voting power of such class or classes or series present in person, by remote communication, if applicable, or represented by proxy 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meeting shall be the act of such class or classes or series.</w:t>
      </w:r>
    </w:p>
    <w:p>
      <w:pPr>
        <w:spacing w:after="0" w:line="165" w:lineRule="exact"/>
        <w:rPr>
          <w:sz w:val="20"/>
          <w:szCs w:val="20"/>
          <w:color w:val="auto"/>
        </w:rPr>
      </w:pPr>
    </w:p>
    <w:p>
      <w:pPr>
        <w:ind w:right="300" w:firstLine="324"/>
        <w:spacing w:after="0" w:line="250" w:lineRule="auto"/>
        <w:rPr>
          <w:sz w:val="20"/>
          <w:szCs w:val="20"/>
          <w:color w:val="auto"/>
        </w:rPr>
      </w:pPr>
      <w:r>
        <w:rPr>
          <w:rFonts w:ascii="Arial" w:cs="Arial" w:eastAsia="Arial" w:hAnsi="Arial"/>
          <w:sz w:val="16"/>
          <w:szCs w:val="16"/>
          <w:b w:val="1"/>
          <w:bCs w:val="1"/>
          <w:color w:val="auto"/>
        </w:rPr>
        <w:t xml:space="preserve">Section 9. Adjournment and Notice of Adjourned Meetings. </w:t>
      </w:r>
      <w:r>
        <w:rPr>
          <w:rFonts w:ascii="Arial" w:cs="Arial" w:eastAsia="Arial" w:hAnsi="Arial"/>
          <w:sz w:val="16"/>
          <w:szCs w:val="16"/>
          <w:color w:val="auto"/>
        </w:rPr>
        <w:t>Any meeting of stockholders, whether annual or special, may be adjourned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either by the person(s) who called the meeting or the Chairperson of the meeting, or by the holders of a majority of the voting power of the</w:t>
      </w:r>
    </w:p>
    <w:p>
      <w:pPr>
        <w:spacing w:after="0" w:line="1" w:lineRule="exact"/>
        <w:rPr>
          <w:sz w:val="20"/>
          <w:szCs w:val="20"/>
          <w:color w:val="auto"/>
        </w:rPr>
      </w:pPr>
    </w:p>
    <w:p>
      <w:pPr>
        <w:ind w:right="360"/>
        <w:spacing w:after="0" w:line="234" w:lineRule="auto"/>
        <w:rPr>
          <w:sz w:val="20"/>
          <w:szCs w:val="20"/>
          <w:color w:val="auto"/>
        </w:rPr>
      </w:pPr>
      <w:r>
        <w:rPr>
          <w:rFonts w:ascii="Arial" w:cs="Arial" w:eastAsia="Arial" w:hAnsi="Arial"/>
          <w:sz w:val="16"/>
          <w:szCs w:val="16"/>
          <w:color w:val="auto"/>
        </w:rPr>
        <w:t>shares present in person, by remote communication, if applicable, or represented by proxy duly authorized at the meeting and entitled to vote thereon.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w:t>
      </w:r>
    </w:p>
    <w:p>
      <w:pPr>
        <w:spacing w:after="0" w:line="2" w:lineRule="exact"/>
        <w:rPr>
          <w:sz w:val="20"/>
          <w:szCs w:val="20"/>
          <w:color w:val="auto"/>
        </w:rPr>
      </w:pPr>
    </w:p>
    <w:p>
      <w:pPr>
        <w:ind w:right="520"/>
        <w:spacing w:after="0" w:line="234" w:lineRule="auto"/>
        <w:rPr>
          <w:sz w:val="20"/>
          <w:szCs w:val="20"/>
          <w:color w:val="auto"/>
        </w:rPr>
      </w:pPr>
      <w:r>
        <w:rPr>
          <w:rFonts w:ascii="Arial" w:cs="Arial" w:eastAsia="Arial" w:hAnsi="Arial"/>
          <w:sz w:val="16"/>
          <w:szCs w:val="16"/>
          <w:color w:val="auto"/>
        </w:rPr>
        <w:t>communication, if any, by which stockholders and proxy holders may be deemed present in person and vote at such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accordance with Section 7 of these Bylaws.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fix a new record date for notice of such adjourned meeting in accordance with Section 38(a) of these Bylaws and shall give notice of the adjourned meeting to each stockholder of record entitled to vote at such adjourned meeting as of the record date fixed for notice of such adjourned meeting.</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Section 10.  Voting Rights. </w:t>
      </w:r>
      <w:r>
        <w:rPr>
          <w:rFonts w:ascii="Arial" w:cs="Arial" w:eastAsia="Arial" w:hAnsi="Arial"/>
          <w:sz w:val="16"/>
          <w:szCs w:val="16"/>
          <w:color w:val="auto"/>
        </w:rPr>
        <w:t>For the purpose of determining those stockholders entitled to vote at any meeting of the stockholders, except as otherwise</w:t>
      </w:r>
    </w:p>
    <w:p>
      <w:pPr>
        <w:spacing w:after="0" w:line="25"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provided by law, only persons in whose names shares stand on the stock records of the corporation on the record date, as provided in Section 12 of these Bylaws, shall be entitled to vote at any meeting of stockholders. Each stockholder entitled to vote at a meeting of stockholders may authorize another person or persons to act for such stockholder by proxy. No proxy shall be voted after three years from its date of creation unless the proxy provides for a longer period. Any stockholder directly or indirectly soliciting proxies from other stockholders must use a proxy card color other than white, which shall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reserved for the exclusive use by the Board of Directors.</w:t>
      </w:r>
    </w:p>
    <w:p>
      <w:pPr>
        <w:spacing w:after="0" w:line="165" w:lineRule="exact"/>
        <w:rPr>
          <w:sz w:val="20"/>
          <w:szCs w:val="20"/>
          <w:color w:val="auto"/>
        </w:rPr>
      </w:pPr>
    </w:p>
    <w:p>
      <w:pPr>
        <w:ind w:right="180" w:firstLine="324"/>
        <w:spacing w:after="0" w:line="250" w:lineRule="auto"/>
        <w:rPr>
          <w:sz w:val="20"/>
          <w:szCs w:val="20"/>
          <w:color w:val="auto"/>
        </w:rPr>
      </w:pPr>
      <w:r>
        <w:rPr>
          <w:rFonts w:ascii="Arial" w:cs="Arial" w:eastAsia="Arial" w:hAnsi="Arial"/>
          <w:sz w:val="16"/>
          <w:szCs w:val="16"/>
          <w:b w:val="1"/>
          <w:bCs w:val="1"/>
          <w:color w:val="auto"/>
        </w:rPr>
        <w:t xml:space="preserve">Section 11. Joint Owners of Stock. </w:t>
      </w:r>
      <w:r>
        <w:rPr>
          <w:rFonts w:ascii="Arial" w:cs="Arial" w:eastAsia="Arial" w:hAnsi="Arial"/>
          <w:sz w:val="16"/>
          <w:szCs w:val="16"/>
          <w:color w:val="auto"/>
        </w:rPr>
        <w:t>If shares or other securities having voting power stand of record in the names of two or more persons,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fiduciaries, members of a partnership, joint tenants, tenants in common, tenants by the entirety, or otherwise, or if two or more persons have the same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or (c) if more than one votes, but the vote is evenly</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split on any particular matter, each faction may vote the securities in question proportionally, or any person voting the shares, or a beneficiary, if any, may apply to the Delaware Court of Chancery or such other court as may have jurisdiction for relief as provided in DGCL Section 217(b). If the instrument filed with the Secretary shows that any such tenancy is</w:t>
      </w:r>
    </w:p>
    <w:p>
      <w:pPr>
        <w:sectPr>
          <w:pgSz w:w="11900" w:h="16838" w:orient="portrait"/>
          <w:cols w:equalWidth="0" w:num="1">
            <w:col w:w="11220"/>
          </w:cols>
          <w:pgMar w:left="320" w:top="1404"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held in unequal interests, a majority or even split for the purpose of subsection (c) shall be a majority or even split in interest.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Section 12.  List of Stockholders. </w:t>
      </w:r>
      <w:r>
        <w:rPr>
          <w:rFonts w:ascii="Arial" w:cs="Arial" w:eastAsia="Arial" w:hAnsi="Arial"/>
          <w:sz w:val="16"/>
          <w:szCs w:val="16"/>
          <w:color w:val="auto"/>
        </w:rPr>
        <w:t>The corporation shall prepare, no later than the tenth day before each meeting of stockholders, a complete list of</w:t>
      </w:r>
    </w:p>
    <w:p>
      <w:pPr>
        <w:spacing w:after="0" w:line="25" w:lineRule="exact"/>
        <w:rPr>
          <w:sz w:val="20"/>
          <w:szCs w:val="20"/>
          <w:color w:val="auto"/>
        </w:rPr>
      </w:pPr>
    </w:p>
    <w:p>
      <w:pPr>
        <w:ind w:right="240"/>
        <w:spacing w:after="0" w:line="234" w:lineRule="auto"/>
        <w:rPr>
          <w:sz w:val="20"/>
          <w:szCs w:val="20"/>
          <w:color w:val="auto"/>
        </w:rPr>
      </w:pPr>
      <w:r>
        <w:rPr>
          <w:rFonts w:ascii="Arial" w:cs="Arial" w:eastAsia="Arial" w:hAnsi="Arial"/>
          <w:sz w:val="16"/>
          <w:szCs w:val="16"/>
          <w:color w:val="auto"/>
        </w:rPr>
        <w:t xml:space="preserve">the stockholders entitled to vote at said meeting, arranged in alphabetical order, showing the address of each stockholder and the number of shares registered in the name of each stockholder; </w:t>
      </w:r>
      <w:r>
        <w:rPr>
          <w:rFonts w:ascii="Arial" w:cs="Arial" w:eastAsia="Arial" w:hAnsi="Arial"/>
          <w:sz w:val="16"/>
          <w:szCs w:val="16"/>
          <w:i w:val="1"/>
          <w:iCs w:val="1"/>
          <w:color w:val="auto"/>
        </w:rPr>
        <w:t>provided, however</w:t>
      </w:r>
      <w:r>
        <w:rPr>
          <w:rFonts w:ascii="Arial" w:cs="Arial" w:eastAsia="Arial" w:hAnsi="Arial"/>
          <w:sz w:val="16"/>
          <w:szCs w:val="16"/>
          <w:color w:val="auto"/>
        </w:rPr>
        <w:t>, if the record date for determining the stockholders entitled to vote is less than ten days before the meeting date, the list shall reflect all of the stockholders entitled to vote as of the 10th day before the meeting date. Nothing in this Section 12</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 or (b)</w:t>
      </w:r>
    </w:p>
    <w:p>
      <w:pPr>
        <w:spacing w:after="0" w:line="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Section 13.  Action without Meeting. </w:t>
      </w:r>
      <w:r>
        <w:rPr>
          <w:rFonts w:ascii="Arial" w:cs="Arial" w:eastAsia="Arial" w:hAnsi="Arial"/>
          <w:sz w:val="17"/>
          <w:szCs w:val="17"/>
          <w:color w:val="auto"/>
        </w:rPr>
        <w:t>Any action required or permitted to be taken at any annual or special meeting of stockholders of the</w:t>
      </w:r>
    </w:p>
    <w:p>
      <w:pPr>
        <w:spacing w:after="0" w:line="14"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corporation may be taken without a meeting, without prior notice and without a vote only to the extent permitted by and in the manner provided in the Certificate of Incorporation and in accordance with applicable law.</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14.  Organization; Delivery to the Corporation.</w:t>
      </w:r>
    </w:p>
    <w:p>
      <w:pPr>
        <w:spacing w:after="0" w:line="202" w:lineRule="exact"/>
        <w:rPr>
          <w:sz w:val="20"/>
          <w:szCs w:val="20"/>
          <w:color w:val="auto"/>
        </w:rPr>
      </w:pPr>
    </w:p>
    <w:p>
      <w:pPr>
        <w:ind w:right="100" w:firstLine="980"/>
        <w:spacing w:after="0" w:line="244" w:lineRule="auto"/>
        <w:tabs>
          <w:tab w:leader="none" w:pos="1296"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At every meeting of stockholders, the Chairperson of the Board of Directors, or, if a Chairperson has not been appointed, is absent or refuses to act, the Chief Executive Officer, or, if no Chief Executive Officer is then serving, is absent or refuses to act, the President, or, if the President is absent or refuses to act, a Chairperson of the meeting designated by the Board of Directors, or, if the Board of Directors does not designate such Chairperson, a Chairperson chosen by a majority of the voting power of the stockholders entitled to vote, present in person or by proxy duly authorized, shall act as Chairperson. The Chairperson of the Board may appoint the Chief Executive Officer as Chairperson of the meeting. The Secretary, or, in his or her absence, an Assistant Secretary or any other person directed to do so by the Chairperson of the meeting, shall act as secretary of the meeting.</w:t>
      </w:r>
    </w:p>
    <w:p>
      <w:pPr>
        <w:spacing w:after="0" w:line="173" w:lineRule="exact"/>
        <w:rPr>
          <w:rFonts w:ascii="Arial" w:cs="Arial" w:eastAsia="Arial" w:hAnsi="Arial"/>
          <w:sz w:val="16"/>
          <w:szCs w:val="16"/>
          <w:b w:val="1"/>
          <w:bCs w:val="1"/>
          <w:color w:val="auto"/>
        </w:rPr>
      </w:pPr>
    </w:p>
    <w:p>
      <w:pPr>
        <w:ind w:right="20" w:firstLine="980"/>
        <w:spacing w:after="0"/>
        <w:tabs>
          <w:tab w:leader="none" w:pos="1296"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163" w:lineRule="exact"/>
        <w:rPr>
          <w:rFonts w:ascii="Arial" w:cs="Arial" w:eastAsia="Arial" w:hAnsi="Arial"/>
          <w:sz w:val="16"/>
          <w:szCs w:val="16"/>
          <w:b w:val="1"/>
          <w:bCs w:val="1"/>
          <w:color w:val="auto"/>
        </w:rPr>
      </w:pPr>
    </w:p>
    <w:p>
      <w:pPr>
        <w:ind w:firstLine="980"/>
        <w:spacing w:after="0" w:line="219" w:lineRule="auto"/>
        <w:tabs>
          <w:tab w:leader="none" w:pos="1296"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Whenever this Article III requires one or more persons (including a record or beneficial owner of stock) to deliver a document or information (other than a document authorizing another person to act for a stockholder by proxy at a meeting of stockholders pursuant to Section 212 of the DGCL)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15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IV</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198" w:lineRule="exact"/>
        <w:rPr>
          <w:sz w:val="20"/>
          <w:szCs w:val="20"/>
          <w:color w:val="auto"/>
        </w:rPr>
      </w:pPr>
    </w:p>
    <w:p>
      <w:pPr>
        <w:ind w:right="120" w:firstLine="324"/>
        <w:spacing w:after="0" w:line="237" w:lineRule="auto"/>
        <w:rPr>
          <w:sz w:val="20"/>
          <w:szCs w:val="20"/>
          <w:color w:val="auto"/>
        </w:rPr>
      </w:pPr>
      <w:r>
        <w:rPr>
          <w:rFonts w:ascii="Arial" w:cs="Arial" w:eastAsia="Arial" w:hAnsi="Arial"/>
          <w:sz w:val="18"/>
          <w:szCs w:val="18"/>
          <w:b w:val="1"/>
          <w:bCs w:val="1"/>
          <w:color w:val="auto"/>
        </w:rPr>
        <w:t xml:space="preserve">Section 15. Number and Term of Office. </w:t>
      </w:r>
      <w:r>
        <w:rPr>
          <w:rFonts w:ascii="Arial" w:cs="Arial" w:eastAsia="Arial" w:hAnsi="Arial"/>
          <w:sz w:val="18"/>
          <w:szCs w:val="18"/>
          <w:color w:val="auto"/>
        </w:rPr>
        <w:t>The authorized number of directors of the corporation shall be fixed in accordance with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Directors need not be stockholders.</w:t>
      </w:r>
    </w:p>
    <w:p>
      <w:pPr>
        <w:sectPr>
          <w:pgSz w:w="11900" w:h="16838" w:orient="portrait"/>
          <w:cols w:equalWidth="0" w:num="1">
            <w:col w:w="11220"/>
          </w:cols>
          <w:pgMar w:left="320" w:top="1408" w:right="359" w:bottom="1440" w:gutter="0" w:footer="0" w:header="0"/>
        </w:sectPr>
      </w:pPr>
    </w:p>
    <w:bookmarkStart w:id="74" w:name="page75"/>
    <w:bookmarkEnd w:id="74"/>
    <w:p>
      <w:pPr>
        <w:ind w:right="200" w:firstLine="324"/>
        <w:spacing w:after="0" w:line="237" w:lineRule="auto"/>
        <w:rPr>
          <w:sz w:val="20"/>
          <w:szCs w:val="20"/>
          <w:color w:val="auto"/>
        </w:rPr>
      </w:pPr>
      <w:r>
        <w:rPr>
          <w:rFonts w:ascii="Arial" w:cs="Arial" w:eastAsia="Arial" w:hAnsi="Arial"/>
          <w:sz w:val="18"/>
          <w:szCs w:val="18"/>
          <w:b w:val="1"/>
          <w:bCs w:val="1"/>
          <w:color w:val="auto"/>
        </w:rPr>
        <w:t xml:space="preserve">Section 16. Powers. </w:t>
      </w:r>
      <w:r>
        <w:rPr>
          <w:rFonts w:ascii="Arial" w:cs="Arial" w:eastAsia="Arial" w:hAnsi="Arial"/>
          <w:sz w:val="18"/>
          <w:szCs w:val="18"/>
          <w:color w:val="auto"/>
        </w:rPr>
        <w:t>Except as otherwise provided in the Certificate of Incorporation or the DGCL, the business and affairs of the corporation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managed by or under the direction of the Board of Directors.</w:t>
      </w:r>
    </w:p>
    <w:p>
      <w:pPr>
        <w:spacing w:after="0" w:line="172" w:lineRule="exact"/>
        <w:rPr>
          <w:sz w:val="20"/>
          <w:szCs w:val="20"/>
          <w:color w:val="auto"/>
        </w:rPr>
      </w:pPr>
    </w:p>
    <w:p>
      <w:pPr>
        <w:ind w:right="180" w:firstLine="324"/>
        <w:spacing w:after="0" w:line="237" w:lineRule="auto"/>
        <w:rPr>
          <w:sz w:val="20"/>
          <w:szCs w:val="20"/>
          <w:color w:val="auto"/>
        </w:rPr>
      </w:pPr>
      <w:r>
        <w:rPr>
          <w:rFonts w:ascii="Arial" w:cs="Arial" w:eastAsia="Arial" w:hAnsi="Arial"/>
          <w:sz w:val="18"/>
          <w:szCs w:val="18"/>
          <w:b w:val="1"/>
          <w:bCs w:val="1"/>
          <w:color w:val="auto"/>
        </w:rPr>
        <w:t xml:space="preserve">Section 17. Classes of Directors. </w:t>
      </w:r>
      <w:r>
        <w:rPr>
          <w:rFonts w:ascii="Arial" w:cs="Arial" w:eastAsia="Arial" w:hAnsi="Arial"/>
          <w:sz w:val="18"/>
          <w:szCs w:val="18"/>
          <w:color w:val="auto"/>
        </w:rPr>
        <w:t>The directors shall be divided into classes as and to the extent provided in the Certificate of Incorporation,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otherwise required by applicable law.</w:t>
      </w:r>
    </w:p>
    <w:p>
      <w:pPr>
        <w:spacing w:after="0" w:line="158" w:lineRule="exact"/>
        <w:rPr>
          <w:sz w:val="20"/>
          <w:szCs w:val="20"/>
          <w:color w:val="auto"/>
        </w:rPr>
      </w:pPr>
    </w:p>
    <w:p>
      <w:pPr>
        <w:ind w:right="620" w:firstLine="324"/>
        <w:spacing w:after="0" w:line="250" w:lineRule="auto"/>
        <w:rPr>
          <w:sz w:val="20"/>
          <w:szCs w:val="20"/>
          <w:color w:val="auto"/>
        </w:rPr>
      </w:pPr>
      <w:r>
        <w:rPr>
          <w:rFonts w:ascii="Arial" w:cs="Arial" w:eastAsia="Arial" w:hAnsi="Arial"/>
          <w:sz w:val="18"/>
          <w:szCs w:val="18"/>
          <w:b w:val="1"/>
          <w:bCs w:val="1"/>
          <w:color w:val="auto"/>
        </w:rPr>
        <w:t xml:space="preserve">Section 18. Vacancies. </w:t>
      </w:r>
      <w:r>
        <w:rPr>
          <w:rFonts w:ascii="Arial" w:cs="Arial" w:eastAsia="Arial" w:hAnsi="Arial"/>
          <w:sz w:val="18"/>
          <w:szCs w:val="18"/>
          <w:color w:val="auto"/>
        </w:rPr>
        <w:t>Vacancies on the Board of Directors shall be filled as provided in the Certificate of Incorporation, except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law.</w:t>
      </w:r>
    </w:p>
    <w:p>
      <w:pPr>
        <w:spacing w:after="0" w:line="149" w:lineRule="exact"/>
        <w:rPr>
          <w:sz w:val="20"/>
          <w:szCs w:val="20"/>
          <w:color w:val="auto"/>
        </w:rPr>
      </w:pPr>
    </w:p>
    <w:p>
      <w:pPr>
        <w:ind w:right="40" w:firstLine="324"/>
        <w:spacing w:after="0" w:line="250" w:lineRule="auto"/>
        <w:rPr>
          <w:sz w:val="20"/>
          <w:szCs w:val="20"/>
          <w:color w:val="auto"/>
        </w:rPr>
      </w:pPr>
      <w:r>
        <w:rPr>
          <w:rFonts w:ascii="Arial" w:cs="Arial" w:eastAsia="Arial" w:hAnsi="Arial"/>
          <w:sz w:val="16"/>
          <w:szCs w:val="16"/>
          <w:b w:val="1"/>
          <w:bCs w:val="1"/>
          <w:color w:val="auto"/>
        </w:rPr>
        <w:t xml:space="preserve">Section 19. Resignation. </w:t>
      </w:r>
      <w:r>
        <w:rPr>
          <w:rFonts w:ascii="Arial" w:cs="Arial" w:eastAsia="Arial" w:hAnsi="Arial"/>
          <w:sz w:val="16"/>
          <w:szCs w:val="16"/>
          <w:color w:val="auto"/>
        </w:rPr>
        <w:t>Any director may resign at any time by delivering his or her notice in writing or by electronic transmission to the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such resignation to specify whether it will be effective at a particular time. If no such specification is made, the resignation shall be effective at the time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delivery of the resignation to the Secretary.</w:t>
      </w:r>
    </w:p>
    <w:p>
      <w:pPr>
        <w:spacing w:after="0" w:line="165" w:lineRule="exact"/>
        <w:rPr>
          <w:sz w:val="20"/>
          <w:szCs w:val="20"/>
          <w:color w:val="auto"/>
        </w:rPr>
      </w:pPr>
    </w:p>
    <w:p>
      <w:pPr>
        <w:ind w:right="360" w:firstLine="324"/>
        <w:spacing w:after="0" w:line="294" w:lineRule="auto"/>
        <w:rPr>
          <w:sz w:val="20"/>
          <w:szCs w:val="20"/>
          <w:color w:val="auto"/>
        </w:rPr>
      </w:pPr>
      <w:r>
        <w:rPr>
          <w:rFonts w:ascii="Arial" w:cs="Arial" w:eastAsia="Arial" w:hAnsi="Arial"/>
          <w:sz w:val="16"/>
          <w:szCs w:val="16"/>
          <w:b w:val="1"/>
          <w:bCs w:val="1"/>
          <w:color w:val="auto"/>
        </w:rPr>
        <w:t xml:space="preserve">Section 20. Removal. </w:t>
      </w:r>
      <w:r>
        <w:rPr>
          <w:rFonts w:ascii="Arial" w:cs="Arial" w:eastAsia="Arial" w:hAnsi="Arial"/>
          <w:sz w:val="16"/>
          <w:szCs w:val="16"/>
          <w:color w:val="auto"/>
        </w:rPr>
        <w:t>Subject to the rights of holders of any series of Preferred Stock to elect additional directors under specified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Board of Directors nor any individual director may be removed except in the manner specified in Section 141 of the DGCL.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21.  Meetings.</w:t>
      </w:r>
    </w:p>
    <w:p>
      <w:pPr>
        <w:spacing w:after="0" w:line="185" w:lineRule="exact"/>
        <w:rPr>
          <w:sz w:val="20"/>
          <w:szCs w:val="20"/>
          <w:color w:val="auto"/>
        </w:rPr>
      </w:pPr>
    </w:p>
    <w:p>
      <w:pPr>
        <w:ind w:right="120" w:firstLine="980"/>
        <w:spacing w:after="0" w:line="256" w:lineRule="auto"/>
        <w:tabs>
          <w:tab w:leader="none" w:pos="129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Regular Meetings. </w:t>
      </w:r>
      <w:r>
        <w:rPr>
          <w:rFonts w:ascii="Arial" w:cs="Arial" w:eastAsia="Arial" w:hAnsi="Arial"/>
          <w:sz w:val="16"/>
          <w:szCs w:val="16"/>
          <w:color w:val="auto"/>
        </w:rPr>
        <w:t>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if any, within or without the State of Delaware that has been designated by the Board of Directors and publicized among all directors, either orally or in writing, by telephone, including a voice-messaging system or other system designed to record and communicate messages, facsimile, or by electronic mail or other electronic means. No further notice shall be required for regular meetings of the Board of Directors.</w:t>
      </w:r>
    </w:p>
    <w:p>
      <w:pPr>
        <w:spacing w:after="0" w:line="146" w:lineRule="exact"/>
        <w:rPr>
          <w:rFonts w:ascii="Arial" w:cs="Arial" w:eastAsia="Arial" w:hAnsi="Arial"/>
          <w:sz w:val="16"/>
          <w:szCs w:val="16"/>
          <w:b w:val="1"/>
          <w:bCs w:val="1"/>
          <w:color w:val="auto"/>
        </w:rPr>
      </w:pPr>
    </w:p>
    <w:p>
      <w:pPr>
        <w:ind w:right="20" w:firstLine="980"/>
        <w:spacing w:after="0" w:line="231" w:lineRule="auto"/>
        <w:tabs>
          <w:tab w:leader="none" w:pos="129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Unless otherwise restricted by the Certificate of Incorporation, special meetings of the Board of Directors may be held</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and place, if any, within or without the State of Delaware whenever called by the Chairperson of the Board of Directors, the Chief Executive Officer or the Board of Directors.</w:t>
      </w:r>
    </w:p>
    <w:p>
      <w:pPr>
        <w:spacing w:after="0" w:line="158" w:lineRule="exact"/>
        <w:rPr>
          <w:rFonts w:ascii="Arial" w:cs="Arial" w:eastAsia="Arial" w:hAnsi="Arial"/>
          <w:sz w:val="18"/>
          <w:szCs w:val="18"/>
          <w:b w:val="1"/>
          <w:bCs w:val="1"/>
          <w:color w:val="auto"/>
        </w:rPr>
      </w:pPr>
    </w:p>
    <w:p>
      <w:pPr>
        <w:ind w:right="120" w:firstLine="980"/>
        <w:spacing w:after="0" w:line="247" w:lineRule="auto"/>
        <w:tabs>
          <w:tab w:leader="none" w:pos="1296"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by Electronic Communications Equipment. </w:t>
      </w:r>
      <w:r>
        <w:rPr>
          <w:rFonts w:ascii="Arial" w:cs="Arial" w:eastAsia="Arial" w:hAnsi="Arial"/>
          <w:sz w:val="17"/>
          <w:szCs w:val="17"/>
          <w:color w:val="auto"/>
        </w:rPr>
        <w:t>Any member of the Board of Directors, or of any committee thereof, may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52" w:lineRule="exact"/>
        <w:rPr>
          <w:rFonts w:ascii="Arial" w:cs="Arial" w:eastAsia="Arial" w:hAnsi="Arial"/>
          <w:sz w:val="17"/>
          <w:szCs w:val="17"/>
          <w:b w:val="1"/>
          <w:bCs w:val="1"/>
          <w:color w:val="auto"/>
        </w:rPr>
      </w:pPr>
    </w:p>
    <w:p>
      <w:pPr>
        <w:jc w:val="both"/>
        <w:ind w:firstLine="980"/>
        <w:spacing w:after="0" w:line="237" w:lineRule="auto"/>
        <w:tabs>
          <w:tab w:leader="none" w:pos="1296"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Special Meetings. </w:t>
      </w:r>
      <w:r>
        <w:rPr>
          <w:rFonts w:ascii="Arial" w:cs="Arial" w:eastAsia="Arial" w:hAnsi="Arial"/>
          <w:sz w:val="17"/>
          <w:szCs w:val="17"/>
          <w:color w:val="auto"/>
        </w:rPr>
        <w:t>Notice of the time and place, if any, of all special meetings of the Board of Directors shall be given orally or</w:t>
      </w:r>
      <w:r>
        <w:rPr>
          <w:rFonts w:ascii="Arial" w:cs="Arial" w:eastAsia="Arial" w:hAnsi="Arial"/>
          <w:sz w:val="17"/>
          <w:szCs w:val="17"/>
          <w:b w:val="1"/>
          <w:bCs w:val="1"/>
          <w:color w:val="auto"/>
        </w:rPr>
        <w:t xml:space="preserve"> </w:t>
      </w:r>
      <w:r>
        <w:rPr>
          <w:rFonts w:ascii="Arial" w:cs="Arial" w:eastAsia="Arial" w:hAnsi="Arial"/>
          <w:sz w:val="17"/>
          <w:szCs w:val="17"/>
          <w:color w:val="auto"/>
        </w:rPr>
        <w:t>in writing, by telephone, including a voice messaging system or other system or technology designed to record and communicate messages, facsimile, or by electronic mail or other electronic means at least twenty-four (24) hours before the date and time of the meeting. If notice is sent by U.S. mail, it shall be sent by first class mail, postage prepaid, at least three days before the date of the meeting.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22.  Quorum and Voting.</w:t>
      </w:r>
    </w:p>
    <w:p>
      <w:pPr>
        <w:spacing w:after="0" w:line="189" w:lineRule="exact"/>
        <w:rPr>
          <w:sz w:val="20"/>
          <w:szCs w:val="20"/>
          <w:color w:val="auto"/>
        </w:rPr>
      </w:pPr>
    </w:p>
    <w:p>
      <w:pPr>
        <w:ind w:right="280" w:firstLine="980"/>
        <w:spacing w:after="0" w:line="219" w:lineRule="auto"/>
        <w:tabs>
          <w:tab w:leader="none" w:pos="1296"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shall consist of a majority of the directors currently serving on the Board of Directors in accordance with the Certificate of Incorporation (but in no event less than one third of the total authorized number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76" w:lineRule="exact"/>
        <w:rPr>
          <w:rFonts w:ascii="Arial" w:cs="Arial" w:eastAsia="Arial" w:hAnsi="Arial"/>
          <w:sz w:val="18"/>
          <w:szCs w:val="18"/>
          <w:b w:val="1"/>
          <w:bCs w:val="1"/>
          <w:color w:val="auto"/>
        </w:rPr>
      </w:pPr>
    </w:p>
    <w:p>
      <w:pPr>
        <w:ind w:right="40" w:firstLine="980"/>
        <w:spacing w:after="0" w:line="258" w:lineRule="auto"/>
        <w:tabs>
          <w:tab w:leader="none" w:pos="1296"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43" w:lineRule="exact"/>
        <w:rPr>
          <w:sz w:val="20"/>
          <w:szCs w:val="20"/>
          <w:color w:val="auto"/>
        </w:rPr>
      </w:pPr>
    </w:p>
    <w:p>
      <w:pPr>
        <w:ind w:right="80" w:firstLine="324"/>
        <w:spacing w:after="0" w:line="250" w:lineRule="auto"/>
        <w:rPr>
          <w:sz w:val="20"/>
          <w:szCs w:val="20"/>
          <w:color w:val="auto"/>
        </w:rPr>
      </w:pPr>
      <w:r>
        <w:rPr>
          <w:rFonts w:ascii="Arial" w:cs="Arial" w:eastAsia="Arial" w:hAnsi="Arial"/>
          <w:sz w:val="16"/>
          <w:szCs w:val="16"/>
          <w:b w:val="1"/>
          <w:bCs w:val="1"/>
          <w:color w:val="auto"/>
        </w:rPr>
        <w:t xml:space="preserve">Section 23. Action without Meeting. </w:t>
      </w:r>
      <w:r>
        <w:rPr>
          <w:rFonts w:ascii="Arial" w:cs="Arial" w:eastAsia="Arial" w:hAnsi="Arial"/>
          <w:sz w:val="16"/>
          <w:szCs w:val="16"/>
          <w:color w:val="auto"/>
        </w:rPr>
        <w:t>Unless otherwise restricted by the Certificate of Incorporation or these Bylaws, any action required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taken at any meeting of the Board of Directors or of any committee thereof may be taken without a meeting, if all members of the Board of</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Directors or committee, as the case may be, consent thereto in writing or by electronic transmission. After an action is taken, the consent or consents shall be filed with the minutes of proceedings of the Board of Directors or committee.</w:t>
      </w:r>
    </w:p>
    <w:p>
      <w:pPr>
        <w:sectPr>
          <w:pgSz w:w="11900" w:h="16838" w:orient="portrait"/>
          <w:cols w:equalWidth="0" w:num="1">
            <w:col w:w="11240"/>
          </w:cols>
          <w:pgMar w:left="320" w:top="1404" w:right="339" w:bottom="1440" w:gutter="0" w:footer="0" w:header="0"/>
        </w:sectPr>
      </w:pPr>
    </w:p>
    <w:bookmarkStart w:id="75" w:name="page76"/>
    <w:bookmarkEnd w:id="75"/>
    <w:p>
      <w:pPr>
        <w:ind w:right="20" w:firstLine="324"/>
        <w:spacing w:after="0" w:line="250" w:lineRule="auto"/>
        <w:rPr>
          <w:sz w:val="20"/>
          <w:szCs w:val="20"/>
          <w:color w:val="auto"/>
        </w:rPr>
      </w:pPr>
      <w:r>
        <w:rPr>
          <w:rFonts w:ascii="Arial" w:cs="Arial" w:eastAsia="Arial" w:hAnsi="Arial"/>
          <w:sz w:val="16"/>
          <w:szCs w:val="16"/>
          <w:b w:val="1"/>
          <w:bCs w:val="1"/>
          <w:color w:val="auto"/>
        </w:rPr>
        <w:t xml:space="preserve">Section 24. Fees and Compensation. </w:t>
      </w:r>
      <w:r>
        <w:rPr>
          <w:rFonts w:ascii="Arial" w:cs="Arial" w:eastAsia="Arial" w:hAnsi="Arial"/>
          <w:sz w:val="16"/>
          <w:szCs w:val="16"/>
          <w:color w:val="auto"/>
        </w:rPr>
        <w:t>Directors shall be entitled to such compensation for their services as may be approved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or a committee thereof to which the Board of Directors has delegated such responsibility and authority, including, if so approved, by resolution of</w:t>
      </w:r>
    </w:p>
    <w:p>
      <w:pPr>
        <w:spacing w:after="0" w:line="1" w:lineRule="exact"/>
        <w:rPr>
          <w:sz w:val="20"/>
          <w:szCs w:val="20"/>
          <w:color w:val="auto"/>
        </w:rPr>
      </w:pPr>
    </w:p>
    <w:p>
      <w:pPr>
        <w:ind w:right="560"/>
        <w:spacing w:after="0" w:line="234" w:lineRule="auto"/>
        <w:rPr>
          <w:sz w:val="20"/>
          <w:szCs w:val="20"/>
          <w:color w:val="auto"/>
        </w:rPr>
      </w:pPr>
      <w:r>
        <w:rPr>
          <w:rFonts w:ascii="Arial" w:cs="Arial" w:eastAsia="Arial" w:hAnsi="Arial"/>
          <w:sz w:val="16"/>
          <w:szCs w:val="16"/>
          <w:color w:val="auto"/>
        </w:rPr>
        <w:t>the Board of Directors or a committee thereof to which the Board of Directors has delegated such responsibility and authority, a fixed sum and reimbursement of expenses of attendance, if any, for attendance at each regular or special meeting of the Board of Directors and at any meeting of a committee of the Board of Directors. Nothing herein contained shall be construed to preclude any director from serving the corporation in any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capacity as an officer, agent, employee, or otherwise and receiving compensation therefor.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25.  Committees.</w:t>
      </w:r>
    </w:p>
    <w:p>
      <w:pPr>
        <w:spacing w:after="0" w:line="185" w:lineRule="exact"/>
        <w:rPr>
          <w:sz w:val="20"/>
          <w:szCs w:val="20"/>
          <w:color w:val="auto"/>
        </w:rPr>
      </w:pPr>
    </w:p>
    <w:p>
      <w:pPr>
        <w:ind w:right="20" w:firstLine="980"/>
        <w:spacing w:after="0" w:line="233" w:lineRule="auto"/>
        <w:tabs>
          <w:tab w:leader="none" w:pos="1296" w:val="left"/>
        </w:tabs>
        <w:numPr>
          <w:ilvl w:val="1"/>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Executive Committee. </w:t>
      </w:r>
      <w:r>
        <w:rPr>
          <w:rFonts w:ascii="Arial" w:cs="Arial" w:eastAsia="Arial" w:hAnsi="Arial"/>
          <w:sz w:val="17"/>
          <w:szCs w:val="17"/>
          <w:color w:val="auto"/>
        </w:rPr>
        <w:t>The Board of Directors may appoint an Executive Committee to consist of one or more members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57" w:lineRule="exact"/>
        <w:rPr>
          <w:rFonts w:ascii="Arial" w:cs="Arial" w:eastAsia="Arial" w:hAnsi="Arial"/>
          <w:sz w:val="17"/>
          <w:szCs w:val="17"/>
          <w:b w:val="1"/>
          <w:bCs w:val="1"/>
          <w:color w:val="auto"/>
        </w:rPr>
      </w:pPr>
    </w:p>
    <w:p>
      <w:pPr>
        <w:ind w:right="280" w:firstLine="980"/>
        <w:spacing w:after="0" w:line="224" w:lineRule="auto"/>
        <w:tabs>
          <w:tab w:leader="none" w:pos="1296"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Committees. </w:t>
      </w:r>
      <w:r>
        <w:rPr>
          <w:rFonts w:ascii="Arial" w:cs="Arial" w:eastAsia="Arial" w:hAnsi="Arial"/>
          <w:sz w:val="18"/>
          <w:szCs w:val="18"/>
          <w:color w:val="auto"/>
        </w:rPr>
        <w:t>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2" w:lineRule="exact"/>
        <w:rPr>
          <w:rFonts w:ascii="Arial" w:cs="Arial" w:eastAsia="Arial" w:hAnsi="Arial"/>
          <w:sz w:val="18"/>
          <w:szCs w:val="18"/>
          <w:b w:val="1"/>
          <w:bCs w:val="1"/>
          <w:color w:val="auto"/>
        </w:rPr>
      </w:pPr>
    </w:p>
    <w:p>
      <w:pPr>
        <w:ind w:left="1300" w:hanging="320"/>
        <w:spacing w:after="0"/>
        <w:tabs>
          <w:tab w:leader="none" w:pos="1300" w:val="left"/>
        </w:tabs>
        <w:numPr>
          <w:ilvl w:val="1"/>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Board of Directors, subject to any requirements of any outstanding series of Preferred Stock and the provisions of subsections</w:t>
      </w:r>
    </w:p>
    <w:p>
      <w:pPr>
        <w:spacing w:after="0" w:line="11" w:lineRule="exact"/>
        <w:rPr>
          <w:rFonts w:ascii="Arial" w:cs="Arial" w:eastAsia="Arial" w:hAnsi="Arial"/>
          <w:sz w:val="16"/>
          <w:szCs w:val="16"/>
          <w:b w:val="1"/>
          <w:bCs w:val="1"/>
          <w:color w:val="auto"/>
        </w:rPr>
      </w:pPr>
    </w:p>
    <w:p>
      <w:pPr>
        <w:ind w:firstLine="8"/>
        <w:spacing w:after="0" w:line="225" w:lineRule="auto"/>
        <w:tabs>
          <w:tab w:leader="none" w:pos="24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4" w:lineRule="exact"/>
        <w:rPr>
          <w:rFonts w:ascii="Arial" w:cs="Arial" w:eastAsia="Arial" w:hAnsi="Arial"/>
          <w:sz w:val="17"/>
          <w:szCs w:val="17"/>
          <w:color w:val="auto"/>
        </w:rPr>
      </w:pPr>
    </w:p>
    <w:p>
      <w:pPr>
        <w:ind w:right="20" w:firstLine="980"/>
        <w:spacing w:after="0" w:line="227" w:lineRule="auto"/>
        <w:tabs>
          <w:tab w:leader="none" w:pos="1296"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Unless the Board of Directors shall otherwise provide, regular meetings of the Executive Committee or any other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pursuant to this Section 25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any place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Section 26.  Duties of Chairperson of the Board of Directors. </w:t>
      </w:r>
      <w:r>
        <w:rPr>
          <w:rFonts w:ascii="Arial" w:cs="Arial" w:eastAsia="Arial" w:hAnsi="Arial"/>
          <w:sz w:val="16"/>
          <w:szCs w:val="16"/>
          <w:color w:val="auto"/>
        </w:rPr>
        <w:t>The Chairperson of the Board of Directors, if appointed and when present, shall</w:t>
      </w:r>
    </w:p>
    <w:p>
      <w:pPr>
        <w:spacing w:after="0" w:line="25" w:lineRule="exact"/>
        <w:rPr>
          <w:sz w:val="20"/>
          <w:szCs w:val="20"/>
          <w:color w:val="auto"/>
        </w:rPr>
      </w:pPr>
    </w:p>
    <w:p>
      <w:pPr>
        <w:jc w:val="both"/>
        <w:ind w:right="360"/>
        <w:spacing w:after="0" w:line="268" w:lineRule="auto"/>
        <w:rPr>
          <w:sz w:val="20"/>
          <w:szCs w:val="20"/>
          <w:color w:val="auto"/>
        </w:rPr>
      </w:pPr>
      <w:r>
        <w:rPr>
          <w:rFonts w:ascii="Arial" w:cs="Arial" w:eastAsia="Arial" w:hAnsi="Arial"/>
          <w:sz w:val="16"/>
          <w:szCs w:val="16"/>
          <w:color w:val="auto"/>
        </w:rPr>
        <w:t>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Section 27.  Organization. </w:t>
      </w:r>
      <w:r>
        <w:rPr>
          <w:rFonts w:ascii="Arial" w:cs="Arial" w:eastAsia="Arial" w:hAnsi="Arial"/>
          <w:sz w:val="16"/>
          <w:szCs w:val="16"/>
          <w:color w:val="auto"/>
        </w:rPr>
        <w:t>At every meeting of the directors, the Chairperson of the Board of Directors, or, if a Chairperson has not been appointed</w:t>
      </w:r>
    </w:p>
    <w:p>
      <w:pPr>
        <w:spacing w:after="0" w:line="25"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or is absent, the Chief Executive Officer (if a director), or, if the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w:t>
      </w:r>
    </w:p>
    <w:p>
      <w:pPr>
        <w:sectPr>
          <w:pgSz w:w="11900" w:h="16838" w:orient="portrait"/>
          <w:cols w:equalWidth="0" w:num="1">
            <w:col w:w="11220"/>
          </w:cols>
          <w:pgMar w:left="320" w:top="1404"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other officer, director or other person directed to do so by the person presiding over the meeting, shall act as secretary of the meeting.</w:t>
      </w:r>
    </w:p>
    <w:p>
      <w:pPr>
        <w:spacing w:after="0" w:line="18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185"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b w:val="1"/>
          <w:bCs w:val="1"/>
          <w:color w:val="auto"/>
        </w:rPr>
        <w:t xml:space="preserve">Section 28. Officers Designated. </w:t>
      </w:r>
      <w:r>
        <w:rPr>
          <w:rFonts w:ascii="Arial" w:cs="Arial" w:eastAsia="Arial" w:hAnsi="Arial"/>
          <w:sz w:val="16"/>
          <w:szCs w:val="16"/>
          <w:color w:val="auto"/>
        </w:rPr>
        <w:t>The officers of the corporation shall include, if and when designated by the Board of Directors, the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the President, one or more Vice Presidents, the Secretary, the Chief Financial Officer and the Treasurer. The Board of Directors may also appoint</w:t>
      </w:r>
    </w:p>
    <w:p>
      <w:pPr>
        <w:spacing w:after="0" w:line="1" w:lineRule="exact"/>
        <w:rPr>
          <w:sz w:val="20"/>
          <w:szCs w:val="20"/>
          <w:color w:val="auto"/>
        </w:rPr>
      </w:pPr>
    </w:p>
    <w:p>
      <w:pPr>
        <w:jc w:val="both"/>
        <w:ind w:right="220"/>
        <w:spacing w:after="0" w:line="234" w:lineRule="auto"/>
        <w:rPr>
          <w:sz w:val="20"/>
          <w:szCs w:val="20"/>
          <w:color w:val="auto"/>
        </w:rPr>
      </w:pPr>
      <w:r>
        <w:rPr>
          <w:rFonts w:ascii="Arial" w:cs="Arial" w:eastAsia="Arial" w:hAnsi="Arial"/>
          <w:sz w:val="16"/>
          <w:szCs w:val="16"/>
          <w:color w:val="auto"/>
        </w:rPr>
        <w:t>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officers of the corporation shall be fixed by or in the manner designated by the Board of Directors or a committee thereof to which the Board of Directors has delegated such responsibility.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29.  Tenure and Duties of Officers.</w:t>
      </w:r>
    </w:p>
    <w:p>
      <w:pPr>
        <w:spacing w:after="0" w:line="198" w:lineRule="exact"/>
        <w:rPr>
          <w:sz w:val="20"/>
          <w:szCs w:val="20"/>
          <w:color w:val="auto"/>
        </w:rPr>
      </w:pPr>
    </w:p>
    <w:p>
      <w:pPr>
        <w:ind w:firstLine="980"/>
        <w:spacing w:after="0" w:line="294" w:lineRule="auto"/>
        <w:tabs>
          <w:tab w:leader="none" w:pos="129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All officers shall hold office at the pleasure of the Board of Directors and until their successors shall have been duly elected and</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unless sooner removed. If the office of any officer becomes vacant for any reason, the vacancy may be filled by the Board of Directors.</w:t>
      </w:r>
    </w:p>
    <w:p>
      <w:pPr>
        <w:spacing w:after="0" w:line="116" w:lineRule="exact"/>
        <w:rPr>
          <w:rFonts w:ascii="Arial" w:cs="Arial" w:eastAsia="Arial" w:hAnsi="Arial"/>
          <w:sz w:val="16"/>
          <w:szCs w:val="16"/>
          <w:b w:val="1"/>
          <w:bCs w:val="1"/>
          <w:color w:val="auto"/>
        </w:rPr>
      </w:pPr>
    </w:p>
    <w:p>
      <w:pPr>
        <w:ind w:right="20" w:firstLine="980"/>
        <w:spacing w:after="0" w:line="230" w:lineRule="auto"/>
        <w:tabs>
          <w:tab w:leader="none" w:pos="1296"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Executive Officer. </w:t>
      </w:r>
      <w:r>
        <w:rPr>
          <w:rFonts w:ascii="Arial" w:cs="Arial" w:eastAsia="Arial" w:hAnsi="Arial"/>
          <w:sz w:val="17"/>
          <w:szCs w:val="17"/>
          <w:color w:val="auto"/>
        </w:rPr>
        <w:t>The Chief Executive Officer shall preside at all meetings of the stockholders and at all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(if a director), unless the Chairperson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73" w:lineRule="exact"/>
        <w:rPr>
          <w:rFonts w:ascii="Arial" w:cs="Arial" w:eastAsia="Arial" w:hAnsi="Arial"/>
          <w:sz w:val="17"/>
          <w:szCs w:val="17"/>
          <w:b w:val="1"/>
          <w:bCs w:val="1"/>
          <w:color w:val="auto"/>
        </w:rPr>
      </w:pPr>
    </w:p>
    <w:p>
      <w:pPr>
        <w:ind w:right="20" w:firstLine="980"/>
        <w:spacing w:after="0" w:line="230" w:lineRule="auto"/>
        <w:tabs>
          <w:tab w:leader="none" w:pos="1296"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President. </w:t>
      </w:r>
      <w:r>
        <w:rPr>
          <w:rFonts w:ascii="Arial" w:cs="Arial" w:eastAsia="Arial" w:hAnsi="Arial"/>
          <w:sz w:val="17"/>
          <w:szCs w:val="17"/>
          <w:color w:val="auto"/>
        </w:rPr>
        <w:t>The President shall preside at all meetings of the stockholders and at all meetings of the Board of Directors (if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unless the Chairperson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60" w:lineRule="exact"/>
        <w:rPr>
          <w:rFonts w:ascii="Arial" w:cs="Arial" w:eastAsia="Arial" w:hAnsi="Arial"/>
          <w:sz w:val="17"/>
          <w:szCs w:val="17"/>
          <w:b w:val="1"/>
          <w:bCs w:val="1"/>
          <w:color w:val="auto"/>
        </w:rPr>
      </w:pPr>
    </w:p>
    <w:p>
      <w:pPr>
        <w:ind w:right="80" w:firstLine="980"/>
        <w:spacing w:after="0" w:line="256" w:lineRule="auto"/>
        <w:tabs>
          <w:tab w:leader="none" w:pos="129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Vice Presidents. </w:t>
      </w:r>
      <w:r>
        <w:rPr>
          <w:rFonts w:ascii="Arial" w:cs="Arial" w:eastAsia="Arial" w:hAnsi="Arial"/>
          <w:sz w:val="16"/>
          <w:szCs w:val="16"/>
          <w:color w:val="auto"/>
        </w:rPr>
        <w:t>A Vice President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46" w:lineRule="exact"/>
        <w:rPr>
          <w:rFonts w:ascii="Arial" w:cs="Arial" w:eastAsia="Arial" w:hAnsi="Arial"/>
          <w:sz w:val="16"/>
          <w:szCs w:val="16"/>
          <w:b w:val="1"/>
          <w:bCs w:val="1"/>
          <w:color w:val="auto"/>
        </w:rPr>
      </w:pPr>
    </w:p>
    <w:p>
      <w:pPr>
        <w:ind w:firstLine="980"/>
        <w:spacing w:after="0" w:line="243" w:lineRule="auto"/>
        <w:tabs>
          <w:tab w:leader="none" w:pos="129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Secretary. </w:t>
      </w:r>
      <w:r>
        <w:rPr>
          <w:rFonts w:ascii="Arial" w:cs="Arial" w:eastAsia="Arial" w:hAnsi="Arial"/>
          <w:sz w:val="16"/>
          <w:szCs w:val="16"/>
          <w:color w:val="auto"/>
        </w:rPr>
        <w:t>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ectPr>
          <w:pgSz w:w="11900" w:h="16838" w:orient="portrait"/>
          <w:cols w:equalWidth="0" w:num="1">
            <w:col w:w="11220"/>
          </w:cols>
          <w:pgMar w:left="320" w:top="1408" w:right="359" w:bottom="1440" w:gutter="0" w:footer="0" w:header="0"/>
        </w:sectPr>
      </w:pPr>
    </w:p>
    <w:bookmarkStart w:id="77" w:name="page78"/>
    <w:bookmarkEnd w:id="77"/>
    <w:p>
      <w:pPr>
        <w:ind w:firstLine="980"/>
        <w:spacing w:after="0" w:line="227" w:lineRule="auto"/>
        <w:tabs>
          <w:tab w:leader="none" w:pos="1296"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Chief Financial Officer. </w:t>
      </w:r>
      <w:r>
        <w:rPr>
          <w:rFonts w:ascii="Arial" w:cs="Arial" w:eastAsia="Arial" w:hAnsi="Arial"/>
          <w:sz w:val="17"/>
          <w:szCs w:val="17"/>
          <w:color w:val="auto"/>
        </w:rPr>
        <w:t>The Chief Financial Officer shall keep or cause to be kept the books of account of the corporation in a</w:t>
      </w:r>
      <w:r>
        <w:rPr>
          <w:rFonts w:ascii="Arial" w:cs="Arial" w:eastAsia="Arial" w:hAnsi="Arial"/>
          <w:sz w:val="17"/>
          <w:szCs w:val="17"/>
          <w:b w:val="1"/>
          <w:bCs w:val="1"/>
          <w:color w:val="auto"/>
        </w:rPr>
        <w:t xml:space="preserve"> </w:t>
      </w:r>
      <w:r>
        <w:rPr>
          <w:rFonts w:ascii="Arial" w:cs="Arial" w:eastAsia="Arial" w:hAnsi="Arial"/>
          <w:sz w:val="17"/>
          <w:szCs w:val="17"/>
          <w:color w:val="auto"/>
        </w:rPr>
        <w:t>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57" w:lineRule="exact"/>
        <w:rPr>
          <w:rFonts w:ascii="Arial" w:cs="Arial" w:eastAsia="Arial" w:hAnsi="Arial"/>
          <w:sz w:val="17"/>
          <w:szCs w:val="17"/>
          <w:b w:val="1"/>
          <w:bCs w:val="1"/>
          <w:color w:val="auto"/>
        </w:rPr>
      </w:pPr>
    </w:p>
    <w:p>
      <w:pPr>
        <w:ind w:right="200" w:firstLine="980"/>
        <w:spacing w:after="0" w:line="230" w:lineRule="auto"/>
        <w:tabs>
          <w:tab w:leader="none" w:pos="1296"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Duties of Treasurer. </w:t>
      </w:r>
      <w:r>
        <w:rPr>
          <w:rFonts w:ascii="Arial" w:cs="Arial" w:eastAsia="Arial" w:hAnsi="Arial"/>
          <w:sz w:val="17"/>
          <w:szCs w:val="17"/>
          <w:color w:val="auto"/>
        </w:rPr>
        <w:t>Unless another officer has been appointed Chief Financial Officer of the corporation, the Treasurer shall be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60"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b w:val="1"/>
          <w:bCs w:val="1"/>
          <w:color w:val="auto"/>
        </w:rPr>
        <w:t xml:space="preserve">Section 30. Delegation of Authority. </w:t>
      </w:r>
      <w:r>
        <w:rPr>
          <w:rFonts w:ascii="Arial" w:cs="Arial" w:eastAsia="Arial" w:hAnsi="Arial"/>
          <w:sz w:val="18"/>
          <w:szCs w:val="18"/>
          <w:color w:val="auto"/>
        </w:rPr>
        <w:t>The Board of Directors may from time to time delegate the powers or duties of any officer to any other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or agent, notwithstanding any provision hereof.</w:t>
      </w:r>
    </w:p>
    <w:p>
      <w:pPr>
        <w:spacing w:after="0" w:line="149"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b w:val="1"/>
          <w:bCs w:val="1"/>
          <w:color w:val="auto"/>
        </w:rPr>
        <w:t xml:space="preserve">Section 31. Resignations. </w:t>
      </w:r>
      <w:r>
        <w:rPr>
          <w:rFonts w:ascii="Arial" w:cs="Arial" w:eastAsia="Arial" w:hAnsi="Arial"/>
          <w:sz w:val="16"/>
          <w:szCs w:val="16"/>
          <w:color w:val="auto"/>
        </w:rPr>
        <w:t>Any officer may resign at any time by giving notice in writing or by electronic transmission to the Board of Directors 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or if no Chief Executive Officer is then serving, to the President or to the Secretary. Any such resignation shall be effective</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color w:val="auto"/>
        </w:rPr>
        <w:t>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2" w:lineRule="exact"/>
        <w:rPr>
          <w:sz w:val="20"/>
          <w:szCs w:val="20"/>
          <w:color w:val="auto"/>
        </w:rPr>
      </w:pPr>
    </w:p>
    <w:p>
      <w:pPr>
        <w:ind w:right="580" w:firstLine="324"/>
        <w:spacing w:after="0" w:line="263" w:lineRule="auto"/>
        <w:rPr>
          <w:sz w:val="20"/>
          <w:szCs w:val="20"/>
          <w:color w:val="auto"/>
        </w:rPr>
      </w:pPr>
      <w:r>
        <w:rPr>
          <w:rFonts w:ascii="Arial" w:cs="Arial" w:eastAsia="Arial" w:hAnsi="Arial"/>
          <w:sz w:val="17"/>
          <w:szCs w:val="17"/>
          <w:b w:val="1"/>
          <w:bCs w:val="1"/>
          <w:color w:val="auto"/>
        </w:rPr>
        <w:t xml:space="preserve">Section 32. Removal. </w:t>
      </w:r>
      <w:r>
        <w:rPr>
          <w:rFonts w:ascii="Arial" w:cs="Arial" w:eastAsia="Arial" w:hAnsi="Arial"/>
          <w:sz w:val="17"/>
          <w:szCs w:val="17"/>
          <w:color w:val="auto"/>
        </w:rPr>
        <w:t>Any officer may be removed from office at any time, either with or without cause, by the Board of Directors, or by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thereof or officer upon whom such power of removal may have been conferred by the Board of Directors.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w:t>
      </w:r>
    </w:p>
    <w:p>
      <w:pPr>
        <w:jc w:val="center"/>
        <w:ind w:right="-1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Section 33.  Execution of Corporate Instruments. </w:t>
      </w:r>
      <w:r>
        <w:rPr>
          <w:rFonts w:ascii="Arial" w:cs="Arial" w:eastAsia="Arial" w:hAnsi="Arial"/>
          <w:sz w:val="16"/>
          <w:szCs w:val="16"/>
          <w:color w:val="auto"/>
        </w:rPr>
        <w:t>The Board of Directors may, in its discretion, determine the method and designate the signatory</w:t>
      </w:r>
    </w:p>
    <w:p>
      <w:pPr>
        <w:spacing w:after="0" w:line="25"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ectPr>
          <w:pgSz w:w="11900" w:h="16838" w:orient="portrait"/>
          <w:cols w:equalWidth="0" w:num="1">
            <w:col w:w="11220"/>
          </w:cols>
          <w:pgMar w:left="320" w:top="1404" w:right="359" w:bottom="1440" w:gutter="0" w:footer="0" w:header="0"/>
        </w:sectPr>
      </w:pPr>
    </w:p>
    <w:bookmarkStart w:id="78" w:name="page79"/>
    <w:bookmarkEnd w:id="78"/>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Section 34. Voting of Securities Owned by the Corporation. </w:t>
      </w:r>
      <w:r>
        <w:rPr>
          <w:rFonts w:ascii="Arial" w:cs="Arial" w:eastAsia="Arial" w:hAnsi="Arial"/>
          <w:sz w:val="18"/>
          <w:szCs w:val="18"/>
          <w:color w:val="auto"/>
        </w:rPr>
        <w:t>All stock and other securities and interests of other corporations and entities owned or</w:t>
      </w:r>
      <w:r>
        <w:rPr>
          <w:rFonts w:ascii="Arial" w:cs="Arial" w:eastAsia="Arial" w:hAnsi="Arial"/>
          <w:sz w:val="18"/>
          <w:szCs w:val="18"/>
          <w:b w:val="1"/>
          <w:bCs w:val="1"/>
          <w:color w:val="auto"/>
        </w:rPr>
        <w:t xml:space="preserve"> </w:t>
      </w:r>
      <w:r>
        <w:rPr>
          <w:rFonts w:ascii="Arial" w:cs="Arial" w:eastAsia="Arial" w:hAnsi="Arial"/>
          <w:sz w:val="18"/>
          <w:szCs w:val="18"/>
          <w:color w:val="auto"/>
        </w:rPr>
        <w:t>held by the corporation for itself, or for other parties in any capacity, shall be voted, and all proxies and consents with respect thereto shall be executed, by the person authorized so to do by resolution of the Board of Directors, or, in the absence of such authorization, by the Chairperson of the Board of Directors, the Chief Executive Officer, the President, or any other officer.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color w:val="auto"/>
        </w:rPr>
        <w:t xml:space="preserve">Section 35. Form and Execution of Certificates. </w:t>
      </w:r>
      <w:r>
        <w:rPr>
          <w:rFonts w:ascii="Arial" w:cs="Arial" w:eastAsia="Arial" w:hAnsi="Arial"/>
          <w:sz w:val="18"/>
          <w:szCs w:val="18"/>
          <w:color w:val="auto"/>
        </w:rPr>
        <w:t>The shares of the corporation shall be represented by certificates, or shall be uncertificated if so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including, without limitation, the Chairperson of the Board of Directors, the Chief Executive Officer, the President, any Vice President, the Treasurer, an Assistant Treasurer, the Secretary or an Assistant Secretary, certifying the number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8"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b w:val="1"/>
          <w:bCs w:val="1"/>
          <w:color w:val="auto"/>
        </w:rPr>
        <w:t xml:space="preserve">Section 36. Lost Certificates. </w:t>
      </w:r>
      <w:r>
        <w:rPr>
          <w:rFonts w:ascii="Arial" w:cs="Arial" w:eastAsia="Arial" w:hAnsi="Arial"/>
          <w:sz w:val="17"/>
          <w:szCs w:val="17"/>
          <w:color w:val="auto"/>
        </w:rPr>
        <w:t>The corporation may issue a new certificate or certificates or uncertificated shares in place of any certificate or</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give the corporation a bond (or other adequate security) sufficient to indemnify it against any claim that may be made against the corporation with respect to the certificate alleged to have been lost, stolen, or destroyed or the issuance of such new certificate or uncertificated shares.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37.  Transfers.</w:t>
      </w:r>
    </w:p>
    <w:p>
      <w:pPr>
        <w:spacing w:after="0" w:line="229" w:lineRule="exact"/>
        <w:rPr>
          <w:sz w:val="20"/>
          <w:szCs w:val="20"/>
          <w:color w:val="auto"/>
        </w:rPr>
      </w:pPr>
    </w:p>
    <w:p>
      <w:pPr>
        <w:ind w:right="200" w:firstLine="980"/>
        <w:spacing w:after="0" w:line="263" w:lineRule="auto"/>
        <w:tabs>
          <w:tab w:leader="none" w:pos="1296"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3" w:lineRule="exact"/>
        <w:rPr>
          <w:rFonts w:ascii="Arial" w:cs="Arial" w:eastAsia="Arial" w:hAnsi="Arial"/>
          <w:sz w:val="18"/>
          <w:szCs w:val="18"/>
          <w:b w:val="1"/>
          <w:bCs w:val="1"/>
          <w:color w:val="auto"/>
        </w:rPr>
      </w:pPr>
    </w:p>
    <w:p>
      <w:pPr>
        <w:ind w:firstLine="980"/>
        <w:spacing w:after="0" w:line="263" w:lineRule="auto"/>
        <w:tabs>
          <w:tab w:leader="none" w:pos="1296"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38.  Fixed Record Dates.</w:t>
      </w:r>
    </w:p>
    <w:p>
      <w:pPr>
        <w:spacing w:after="0" w:line="229" w:lineRule="exact"/>
        <w:rPr>
          <w:sz w:val="20"/>
          <w:szCs w:val="20"/>
          <w:color w:val="auto"/>
        </w:rPr>
      </w:pPr>
    </w:p>
    <w:p>
      <w:pPr>
        <w:ind w:right="160" w:firstLine="980"/>
        <w:spacing w:after="0" w:line="270" w:lineRule="auto"/>
        <w:tabs>
          <w:tab w:leader="none" w:pos="1296"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fewer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such record date, that a later date on or before the date of the meeting shall be the record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w:t>
      </w:r>
    </w:p>
    <w:p>
      <w:pPr>
        <w:sectPr>
          <w:pgSz w:w="11900" w:h="16838" w:orient="portrait"/>
          <w:cols w:equalWidth="0" w:num="1">
            <w:col w:w="11240"/>
          </w:cols>
          <w:pgMar w:left="320" w:top="1417" w:right="339" w:bottom="1440" w:gutter="0" w:footer="0" w:header="0"/>
        </w:sectPr>
      </w:pPr>
    </w:p>
    <w:bookmarkStart w:id="79" w:name="page80"/>
    <w:bookmarkEnd w:id="79"/>
    <w:p>
      <w:pPr>
        <w:ind w:right="20"/>
        <w:spacing w:after="0" w:line="279" w:lineRule="auto"/>
        <w:rPr>
          <w:sz w:val="20"/>
          <w:szCs w:val="20"/>
          <w:color w:val="auto"/>
        </w:rPr>
      </w:pPr>
      <w:r>
        <w:rPr>
          <w:rFonts w:ascii="Arial" w:cs="Arial" w:eastAsia="Arial" w:hAnsi="Arial"/>
          <w:sz w:val="17"/>
          <w:szCs w:val="17"/>
          <w:color w:val="auto"/>
        </w:rPr>
        <w:t xml:space="preserve">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of Directors may fix a new record date for determining the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38(a) at the adjourned meeting.</w:t>
      </w:r>
    </w:p>
    <w:p>
      <w:pPr>
        <w:spacing w:after="0" w:line="171" w:lineRule="exact"/>
        <w:rPr>
          <w:sz w:val="20"/>
          <w:szCs w:val="20"/>
          <w:color w:val="auto"/>
        </w:rPr>
      </w:pPr>
    </w:p>
    <w:p>
      <w:pPr>
        <w:ind w:right="220" w:firstLine="980"/>
        <w:spacing w:after="0" w:line="255" w:lineRule="auto"/>
        <w:tabs>
          <w:tab w:leader="none" w:pos="1296"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8"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b w:val="1"/>
          <w:bCs w:val="1"/>
          <w:color w:val="auto"/>
        </w:rPr>
        <w:t xml:space="preserve">Section 39. Registered Stockholders. </w:t>
      </w:r>
      <w:r>
        <w:rPr>
          <w:rFonts w:ascii="Arial" w:cs="Arial" w:eastAsia="Arial" w:hAnsi="Arial"/>
          <w:sz w:val="16"/>
          <w:szCs w:val="16"/>
          <w:color w:val="auto"/>
        </w:rPr>
        <w:t>The corporation shall be entitled to recognize the exclusive right of a person registered on its books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7"/>
          <w:szCs w:val="17"/>
          <w:b w:val="1"/>
          <w:bCs w:val="1"/>
          <w:color w:val="auto"/>
        </w:rPr>
        <w:t xml:space="preserve">Section 40. Execution of Other Securities. </w:t>
      </w:r>
      <w:r>
        <w:rPr>
          <w:rFonts w:ascii="Arial" w:cs="Arial" w:eastAsia="Arial" w:hAnsi="Arial"/>
          <w:sz w:val="17"/>
          <w:szCs w:val="17"/>
          <w:color w:val="auto"/>
        </w:rPr>
        <w:t>All bonds, debentures and other corporate securities of the corporation,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(covered in Section 35), may be signed by the Chairperson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where any such bond, debenture or other corporate security shall be authenticated by the manual signature, or where permissible facsimile</w:t>
      </w:r>
      <w:r>
        <w:rPr>
          <w:rFonts w:ascii="Arial" w:cs="Arial" w:eastAsia="Arial" w:hAnsi="Arial"/>
          <w:sz w:val="17"/>
          <w:szCs w:val="17"/>
          <w:i w:val="1"/>
          <w:iCs w:val="1"/>
          <w:color w:val="auto"/>
        </w:rPr>
        <w:t xml:space="preserve"> </w:t>
      </w:r>
      <w:r>
        <w:rPr>
          <w:rFonts w:ascii="Arial" w:cs="Arial" w:eastAsia="Arial" w:hAnsi="Arial"/>
          <w:sz w:val="17"/>
          <w:szCs w:val="17"/>
          <w:color w:val="auto"/>
        </w:rPr>
        <w:t>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660" w:firstLine="324"/>
        <w:spacing w:after="0" w:line="289" w:lineRule="auto"/>
        <w:rPr>
          <w:sz w:val="20"/>
          <w:szCs w:val="20"/>
          <w:color w:val="auto"/>
        </w:rPr>
      </w:pPr>
      <w:r>
        <w:rPr>
          <w:rFonts w:ascii="Arial" w:cs="Arial" w:eastAsia="Arial" w:hAnsi="Arial"/>
          <w:sz w:val="17"/>
          <w:szCs w:val="17"/>
          <w:b w:val="1"/>
          <w:bCs w:val="1"/>
          <w:color w:val="auto"/>
        </w:rPr>
        <w:t xml:space="preserve">Section 41. Declaration of Dividends. </w:t>
      </w:r>
      <w:r>
        <w:rPr>
          <w:rFonts w:ascii="Arial" w:cs="Arial" w:eastAsia="Arial" w:hAnsi="Arial"/>
          <w:sz w:val="17"/>
          <w:szCs w:val="17"/>
          <w:color w:val="auto"/>
        </w:rPr>
        <w:t>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Dividends may be paid in cash, in property, or in shares of the corporation’s capital stock, subject to the provisions of the Certificate of Incorporation and applicable law.</w:t>
      </w:r>
    </w:p>
    <w:p>
      <w:pPr>
        <w:sectPr>
          <w:pgSz w:w="11900" w:h="16838" w:orient="portrait"/>
          <w:cols w:equalWidth="0" w:num="1">
            <w:col w:w="11240"/>
          </w:cols>
          <w:pgMar w:left="320" w:top="1421" w:right="339" w:bottom="1440" w:gutter="0" w:footer="0" w:header="0"/>
        </w:sectPr>
      </w:pPr>
    </w:p>
    <w:bookmarkStart w:id="80" w:name="page81"/>
    <w:bookmarkEnd w:id="80"/>
    <w:p>
      <w:pPr>
        <w:ind w:right="80" w:firstLine="324"/>
        <w:spacing w:after="0" w:line="303" w:lineRule="auto"/>
        <w:rPr>
          <w:sz w:val="20"/>
          <w:szCs w:val="20"/>
          <w:color w:val="auto"/>
        </w:rPr>
      </w:pPr>
      <w:r>
        <w:rPr>
          <w:rFonts w:ascii="Arial" w:cs="Arial" w:eastAsia="Arial" w:hAnsi="Arial"/>
          <w:sz w:val="16"/>
          <w:szCs w:val="16"/>
          <w:b w:val="1"/>
          <w:bCs w:val="1"/>
          <w:color w:val="auto"/>
        </w:rPr>
        <w:t xml:space="preserve">Section 42. Dividend Reserve. </w:t>
      </w:r>
      <w:r>
        <w:rPr>
          <w:rFonts w:ascii="Arial" w:cs="Arial" w:eastAsia="Arial" w:hAnsi="Arial"/>
          <w:sz w:val="16"/>
          <w:szCs w:val="16"/>
          <w:color w:val="auto"/>
        </w:rPr>
        <w:t>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43. Fiscal Year. </w:t>
      </w:r>
      <w:r>
        <w:rPr>
          <w:rFonts w:ascii="Arial" w:cs="Arial" w:eastAsia="Arial" w:hAnsi="Arial"/>
          <w:sz w:val="18"/>
          <w:szCs w:val="18"/>
          <w:color w:val="auto"/>
        </w:rPr>
        <w:t>The fiscal year of the corporation shall end on December 31 or on such other date as may otherwise be fixed by resolution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44.  Indemnification of Directors, Executive Officers, Employees and Other Agents.</w:t>
      </w:r>
    </w:p>
    <w:p>
      <w:pPr>
        <w:spacing w:after="0" w:line="225" w:lineRule="exact"/>
        <w:rPr>
          <w:sz w:val="20"/>
          <w:szCs w:val="20"/>
          <w:color w:val="auto"/>
        </w:rPr>
      </w:pPr>
    </w:p>
    <w:p>
      <w:pPr>
        <w:ind w:firstLine="980"/>
        <w:spacing w:after="0" w:line="288" w:lineRule="auto"/>
        <w:tabs>
          <w:tab w:leader="none" w:pos="1296"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Directors and Executive Officers. </w:t>
      </w:r>
      <w:r>
        <w:rPr>
          <w:rFonts w:ascii="Arial" w:cs="Arial" w:eastAsia="Arial" w:hAnsi="Arial"/>
          <w:sz w:val="16"/>
          <w:szCs w:val="16"/>
          <w:color w:val="auto"/>
        </w:rPr>
        <w:t>The corporation shall indemnify to the fullest extent permitted by the DGCL as it presently exists or</w:t>
      </w:r>
      <w:r>
        <w:rPr>
          <w:rFonts w:ascii="Arial" w:cs="Arial" w:eastAsia="Arial" w:hAnsi="Arial"/>
          <w:sz w:val="16"/>
          <w:szCs w:val="16"/>
          <w:b w:val="1"/>
          <w:bCs w:val="1"/>
          <w:color w:val="auto"/>
        </w:rPr>
        <w:t xml:space="preserve"> </w:t>
      </w:r>
      <w:r>
        <w:rPr>
          <w:rFonts w:ascii="Arial" w:cs="Arial" w:eastAsia="Arial" w:hAnsi="Arial"/>
          <w:sz w:val="16"/>
          <w:szCs w:val="16"/>
          <w:color w:val="auto"/>
        </w:rPr>
        <w:t>may hereafter be amended, any person who was or is made or is threatened to be made a party or is otherwise involved in proceeding, by reason of the fact that he or she, or a person for whom he or she is the legal representative, is or was a director or executive officer (for the purposes of this Article XI, “</w:t>
      </w:r>
      <w:r>
        <w:rPr>
          <w:rFonts w:ascii="Arial" w:cs="Arial" w:eastAsia="Arial" w:hAnsi="Arial"/>
          <w:sz w:val="16"/>
          <w:szCs w:val="16"/>
          <w:b w:val="1"/>
          <w:bCs w:val="1"/>
          <w:color w:val="auto"/>
        </w:rPr>
        <w:t>executive officers</w:t>
      </w:r>
      <w:r>
        <w:rPr>
          <w:rFonts w:ascii="Arial" w:cs="Arial" w:eastAsia="Arial" w:hAnsi="Arial"/>
          <w:sz w:val="16"/>
          <w:szCs w:val="16"/>
          <w:color w:val="auto"/>
        </w:rPr>
        <w:t xml:space="preserve">” shall have the meaning defined in Rule 3b-7 promulgated under the 1934 Act) of the corporation, or while serving as a director or executive officer of the corporation, is or was serving at the request of the corporation as a director or executive officer of another corporation, partnership, joint venture, trust, or other enterprise, whether the basis of such proceeding is alleged action in an official capacity as a director or executive officer or in any other capacity while serving as a director or executive officer, against all liability and loss suffered and expenses (including attorneys’ fees) reasonably incurred by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corporation shall not be required to indemnify any such person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(iv) such indemnification is required to be made under subsection (d) of this Section 44.</w:t>
      </w:r>
    </w:p>
    <w:p>
      <w:pPr>
        <w:spacing w:after="0" w:line="163" w:lineRule="exact"/>
        <w:rPr>
          <w:rFonts w:ascii="Arial" w:cs="Arial" w:eastAsia="Arial" w:hAnsi="Arial"/>
          <w:sz w:val="16"/>
          <w:szCs w:val="16"/>
          <w:b w:val="1"/>
          <w:bCs w:val="1"/>
          <w:color w:val="auto"/>
        </w:rPr>
      </w:pPr>
    </w:p>
    <w:p>
      <w:pPr>
        <w:ind w:right="160" w:firstLine="980"/>
        <w:spacing w:after="0" w:line="261" w:lineRule="auto"/>
        <w:tabs>
          <w:tab w:leader="none" w:pos="129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Officers, Employees and Other Agents. </w:t>
      </w:r>
      <w:r>
        <w:rPr>
          <w:rFonts w:ascii="Arial" w:cs="Arial" w:eastAsia="Arial" w:hAnsi="Arial"/>
          <w:sz w:val="18"/>
          <w:szCs w:val="18"/>
          <w:color w:val="auto"/>
        </w:rPr>
        <w:t>The corporation shall have the power to indemnify (including the power to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 a manner consistent with subsection (c) of this Section 44) its other officers, employees and other agents as set forth in the DGCL. The Board of Directors shall have the power to delegate the determination of whether indemnification shall be given to any such person except executive officers to such officers or other persons as the Board of Directors shall determine.</w:t>
      </w:r>
    </w:p>
    <w:p>
      <w:pPr>
        <w:spacing w:after="0" w:line="179" w:lineRule="exact"/>
        <w:rPr>
          <w:rFonts w:ascii="Arial" w:cs="Arial" w:eastAsia="Arial" w:hAnsi="Arial"/>
          <w:sz w:val="18"/>
          <w:szCs w:val="18"/>
          <w:b w:val="1"/>
          <w:bCs w:val="1"/>
          <w:color w:val="auto"/>
        </w:rPr>
      </w:pPr>
    </w:p>
    <w:p>
      <w:pPr>
        <w:ind w:right="20" w:firstLine="980"/>
        <w:spacing w:after="0" w:line="254" w:lineRule="auto"/>
        <w:tabs>
          <w:tab w:leader="none" w:pos="1296"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corporation shall advance to any current or former director or executive officer of the corporation, or to any person, who</w:t>
      </w:r>
      <w:r>
        <w:rPr>
          <w:rFonts w:ascii="Arial" w:cs="Arial" w:eastAsia="Arial" w:hAnsi="Arial"/>
          <w:sz w:val="18"/>
          <w:szCs w:val="18"/>
          <w:b w:val="1"/>
          <w:bCs w:val="1"/>
          <w:color w:val="auto"/>
        </w:rPr>
        <w:t xml:space="preserve"> </w:t>
      </w:r>
      <w:r>
        <w:rPr>
          <w:rFonts w:ascii="Arial" w:cs="Arial" w:eastAsia="Arial" w:hAnsi="Arial"/>
          <w:sz w:val="18"/>
          <w:szCs w:val="18"/>
          <w:color w:val="auto"/>
        </w:rPr>
        <w:t>while serving as a director or executive officer of the corporation, is or was serving at the request of the corporation as a director or executive officer of another corporation, partnership, joint venture, trust or other enterprise, prior to the final disposition of the proceeding, promptly following request therefor, all expenses incurred by such person in defending (or participating as a witness in) any proceeding referred to in paragraph (a) of this section, provided, however, that if the DGCL requires, an advancement of expenses incurred by a current or former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18"/>
          <w:szCs w:val="18"/>
          <w:b w:val="1"/>
          <w:bCs w:val="1"/>
          <w:color w:val="auto"/>
        </w:rPr>
        <w:t>undertaking</w:t>
      </w:r>
      <w:r>
        <w:rPr>
          <w:rFonts w:ascii="Arial" w:cs="Arial" w:eastAsia="Arial" w:hAnsi="Arial"/>
          <w:sz w:val="18"/>
          <w:szCs w:val="18"/>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18"/>
          <w:szCs w:val="18"/>
          <w:b w:val="1"/>
          <w:bCs w:val="1"/>
          <w:color w:val="auto"/>
        </w:rPr>
        <w:t>final</w:t>
      </w:r>
    </w:p>
    <w:p>
      <w:pPr>
        <w:sectPr>
          <w:pgSz w:w="11900" w:h="16838" w:orient="portrait"/>
          <w:cols w:equalWidth="0" w:num="1">
            <w:col w:w="11240"/>
          </w:cols>
          <w:pgMar w:left="320" w:top="141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adjudication</w:t>
      </w:r>
      <w:r>
        <w:rPr>
          <w:rFonts w:ascii="Arial" w:cs="Arial" w:eastAsia="Arial" w:hAnsi="Arial"/>
          <w:sz w:val="18"/>
          <w:szCs w:val="18"/>
          <w:color w:val="auto"/>
        </w:rPr>
        <w:t>”) that such indemnitee is not entitled to be indemnified for such expenses under this section or otherwise.</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Notwithstanding the foregoing, unless otherwise determined pursuant to paragraph (d) of this section 44, no advance shall be made by the corporation to a current or former executive officer of the corporation (except by reason of the fact that such executive officer is or was a director of the corporation in which event this paragraph shall not apply) in any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 or with respect to a criminal action or proceeding, that such person had reasonable cause to believe that his or her conduct was unlawful.</w:t>
      </w:r>
    </w:p>
    <w:p>
      <w:pPr>
        <w:spacing w:after="0" w:line="192" w:lineRule="exact"/>
        <w:rPr>
          <w:sz w:val="20"/>
          <w:szCs w:val="20"/>
          <w:color w:val="auto"/>
        </w:rPr>
      </w:pPr>
    </w:p>
    <w:p>
      <w:pPr>
        <w:ind w:firstLine="980"/>
        <w:spacing w:after="0" w:line="285" w:lineRule="auto"/>
        <w:tabs>
          <w:tab w:leader="none" w:pos="129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current or former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extent permitted by law, the claimant in such enforcement action, if successful in whole or in part, shall be entitled to be paid also the expense of prosecuting the claim to the fullest extent permitted by law. In connection with any claim for indemnification, the corporation shall be entitled to raise as a defense to any such action that the claimant has not met the standards of conduct that make it permissible under the DGCL for the corporation to indemnify the claimant for the amount claimed. In connection with any claim by a current or former executive officer of the corporation (except in any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had reasonable cause to believe that his or her conduct was unlawful.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current or former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168" w:lineRule="exact"/>
        <w:rPr>
          <w:rFonts w:ascii="Arial" w:cs="Arial" w:eastAsia="Arial" w:hAnsi="Arial"/>
          <w:sz w:val="16"/>
          <w:szCs w:val="16"/>
          <w:b w:val="1"/>
          <w:bCs w:val="1"/>
          <w:color w:val="auto"/>
        </w:rPr>
      </w:pPr>
    </w:p>
    <w:p>
      <w:pPr>
        <w:ind w:right="140" w:firstLine="980"/>
        <w:spacing w:after="0" w:line="258" w:lineRule="auto"/>
        <w:tabs>
          <w:tab w:leader="none" w:pos="129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Non-Exclusivity of Rights. </w:t>
      </w:r>
      <w:r>
        <w:rPr>
          <w:rFonts w:ascii="Arial" w:cs="Arial" w:eastAsia="Arial" w:hAnsi="Arial"/>
          <w:sz w:val="18"/>
          <w:szCs w:val="18"/>
          <w:color w:val="auto"/>
        </w:rPr>
        <w:t>The rights conferred on any person by this Bylaw shall not be exclusive of any other right that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w:t>
      </w:r>
    </w:p>
    <w:p>
      <w:pPr>
        <w:spacing w:after="0" w:line="183" w:lineRule="exact"/>
        <w:rPr>
          <w:rFonts w:ascii="Arial" w:cs="Arial" w:eastAsia="Arial" w:hAnsi="Arial"/>
          <w:sz w:val="18"/>
          <w:szCs w:val="18"/>
          <w:b w:val="1"/>
          <w:bCs w:val="1"/>
          <w:color w:val="auto"/>
        </w:rPr>
      </w:pPr>
    </w:p>
    <w:p>
      <w:pPr>
        <w:ind w:right="260" w:firstLine="980"/>
        <w:spacing w:after="0" w:line="347" w:lineRule="auto"/>
        <w:tabs>
          <w:tab w:leader="none" w:pos="129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Survival of Rights. </w:t>
      </w:r>
      <w:r>
        <w:rPr>
          <w:rFonts w:ascii="Arial" w:cs="Arial" w:eastAsia="Arial" w:hAnsi="Arial"/>
          <w:sz w:val="16"/>
          <w:szCs w:val="16"/>
          <w:color w:val="auto"/>
        </w:rPr>
        <w:t>The rights conferred on any person by this Bylaw shall continue as to a person who has ceased to be a director 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or officer, employee or other agent and shall inure to the benefit of the heirs, executors and administrators of such a person.</w:t>
      </w:r>
    </w:p>
    <w:p>
      <w:pPr>
        <w:sectPr>
          <w:pgSz w:w="11900" w:h="16838" w:orient="portrait"/>
          <w:cols w:equalWidth="0" w:num="1">
            <w:col w:w="11180"/>
          </w:cols>
          <w:pgMar w:left="320" w:top="1417" w:right="399" w:bottom="1440" w:gutter="0" w:footer="0" w:header="0"/>
        </w:sectPr>
      </w:pPr>
    </w:p>
    <w:bookmarkStart w:id="82" w:name="page83"/>
    <w:bookmarkEnd w:id="82"/>
    <w:p>
      <w:pPr>
        <w:ind w:left="-40" w:right="280" w:firstLine="980"/>
        <w:spacing w:after="0" w:line="282" w:lineRule="auto"/>
        <w:tabs>
          <w:tab w:leader="none" w:pos="125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the corporation, may purchase insurance on behalf of any person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indemnified pursuant to this section.</w:t>
      </w:r>
    </w:p>
    <w:p>
      <w:pPr>
        <w:spacing w:after="0" w:line="161" w:lineRule="exact"/>
        <w:rPr>
          <w:rFonts w:ascii="Arial" w:cs="Arial" w:eastAsia="Arial" w:hAnsi="Arial"/>
          <w:sz w:val="18"/>
          <w:szCs w:val="18"/>
          <w:b w:val="1"/>
          <w:bCs w:val="1"/>
          <w:color w:val="auto"/>
        </w:rPr>
      </w:pPr>
    </w:p>
    <w:p>
      <w:pPr>
        <w:jc w:val="both"/>
        <w:ind w:left="-40" w:right="360" w:firstLine="980"/>
        <w:spacing w:after="0" w:line="266" w:lineRule="auto"/>
        <w:tabs>
          <w:tab w:leader="none" w:pos="125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Any repeal or modification of this section shall only be prospective and shall not affect the rights under this Bylaw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at the time of the alleged occurrence of any action or omission to act that is the cause of any proceeding against any current or former director or executive officer of the corporation.</w:t>
      </w:r>
    </w:p>
    <w:p>
      <w:pPr>
        <w:spacing w:after="0" w:line="175" w:lineRule="exact"/>
        <w:rPr>
          <w:rFonts w:ascii="Arial" w:cs="Arial" w:eastAsia="Arial" w:hAnsi="Arial"/>
          <w:sz w:val="18"/>
          <w:szCs w:val="18"/>
          <w:b w:val="1"/>
          <w:bCs w:val="1"/>
          <w:color w:val="auto"/>
        </w:rPr>
      </w:pPr>
    </w:p>
    <w:p>
      <w:pPr>
        <w:jc w:val="both"/>
        <w:ind w:left="-40" w:right="200" w:firstLine="980"/>
        <w:spacing w:after="0" w:line="281" w:lineRule="auto"/>
        <w:tabs>
          <w:tab w:leader="none" w:pos="1256"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Saving Clause. </w:t>
      </w:r>
      <w:r>
        <w:rPr>
          <w:rFonts w:ascii="Arial" w:cs="Arial" w:eastAsia="Arial" w:hAnsi="Arial"/>
          <w:sz w:val="17"/>
          <w:szCs w:val="17"/>
          <w:color w:val="auto"/>
        </w:rPr>
        <w:t>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and executive officer to the full extent not prohibited by any applicable portion of this section that shall not have been invalidated. If this section shall be invalid due to the application of the indemnification provisions of another jurisdiction, then the corporation shall indemnify each director and executive officer to the full extent under any other applicable law.</w:t>
      </w:r>
    </w:p>
    <w:p>
      <w:pPr>
        <w:spacing w:after="0" w:line="164" w:lineRule="exact"/>
        <w:rPr>
          <w:rFonts w:ascii="Arial" w:cs="Arial" w:eastAsia="Arial" w:hAnsi="Arial"/>
          <w:sz w:val="17"/>
          <w:szCs w:val="17"/>
          <w:b w:val="1"/>
          <w:bCs w:val="1"/>
          <w:color w:val="auto"/>
        </w:rPr>
      </w:pPr>
    </w:p>
    <w:p>
      <w:pPr>
        <w:ind w:left="1260" w:hanging="320"/>
        <w:spacing w:after="0"/>
        <w:tabs>
          <w:tab w:leader="none" w:pos="1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For the purposes of this Bylaw, the following definitions shall apply:</w:t>
      </w:r>
    </w:p>
    <w:p>
      <w:pPr>
        <w:spacing w:after="0" w:line="225" w:lineRule="exact"/>
        <w:rPr>
          <w:rFonts w:ascii="Arial" w:cs="Arial" w:eastAsia="Arial" w:hAnsi="Arial"/>
          <w:sz w:val="18"/>
          <w:szCs w:val="18"/>
          <w:b w:val="1"/>
          <w:bCs w:val="1"/>
          <w:color w:val="auto"/>
        </w:rPr>
      </w:pPr>
    </w:p>
    <w:p>
      <w:pPr>
        <w:ind w:left="-40" w:right="80" w:firstLine="1458"/>
        <w:spacing w:after="0" w:line="266" w:lineRule="auto"/>
        <w:tabs>
          <w:tab w:leader="none" w:pos="1904"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proceeding</w:t>
      </w:r>
      <w:r>
        <w:rPr>
          <w:rFonts w:ascii="Arial" w:cs="Arial" w:eastAsia="Arial" w:hAnsi="Arial"/>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5" w:lineRule="exact"/>
        <w:rPr>
          <w:rFonts w:ascii="Arial" w:cs="Arial" w:eastAsia="Arial" w:hAnsi="Arial"/>
          <w:sz w:val="18"/>
          <w:szCs w:val="18"/>
          <w:b w:val="1"/>
          <w:bCs w:val="1"/>
          <w:color w:val="auto"/>
        </w:rPr>
      </w:pPr>
    </w:p>
    <w:p>
      <w:pPr>
        <w:ind w:left="-40" w:right="140" w:firstLine="1408"/>
        <w:spacing w:after="0" w:line="347" w:lineRule="auto"/>
        <w:tabs>
          <w:tab w:leader="none" w:pos="1904"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expenses</w:t>
      </w:r>
      <w:r>
        <w:rPr>
          <w:rFonts w:ascii="Arial" w:cs="Arial" w:eastAsia="Arial" w:hAnsi="Arial"/>
          <w:sz w:val="16"/>
          <w:szCs w:val="16"/>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15" w:lineRule="exact"/>
        <w:rPr>
          <w:rFonts w:ascii="Arial" w:cs="Arial" w:eastAsia="Arial" w:hAnsi="Arial"/>
          <w:sz w:val="16"/>
          <w:szCs w:val="16"/>
          <w:b w:val="1"/>
          <w:bCs w:val="1"/>
          <w:color w:val="auto"/>
        </w:rPr>
      </w:pPr>
    </w:p>
    <w:p>
      <w:pPr>
        <w:ind w:left="-40" w:right="100" w:firstLine="1358"/>
        <w:spacing w:after="0" w:line="274" w:lineRule="auto"/>
        <w:tabs>
          <w:tab w:leader="none" w:pos="1904" w:val="left"/>
        </w:tabs>
        <w:numPr>
          <w:ilvl w:val="1"/>
          <w:numId w:val="44"/>
        </w:numPr>
        <w:rPr>
          <w:rFonts w:ascii="Arial" w:cs="Arial" w:eastAsia="Arial" w:hAnsi="Arial"/>
          <w:sz w:val="17"/>
          <w:szCs w:val="17"/>
          <w:b w:val="1"/>
          <w:bCs w:val="1"/>
          <w:color w:val="auto"/>
        </w:rPr>
      </w:pPr>
      <w:r>
        <w:rPr>
          <w:rFonts w:ascii="Arial" w:cs="Arial" w:eastAsia="Arial" w:hAnsi="Arial"/>
          <w:sz w:val="17"/>
          <w:szCs w:val="17"/>
          <w:color w:val="auto"/>
        </w:rPr>
        <w:t>The term the “</w:t>
      </w:r>
      <w:r>
        <w:rPr>
          <w:rFonts w:ascii="Arial" w:cs="Arial" w:eastAsia="Arial" w:hAnsi="Arial"/>
          <w:sz w:val="17"/>
          <w:szCs w:val="17"/>
          <w:b w:val="1"/>
          <w:bCs w:val="1"/>
          <w:color w:val="auto"/>
        </w:rPr>
        <w:t>corporation</w:t>
      </w:r>
      <w:r>
        <w:rPr>
          <w:rFonts w:ascii="Arial" w:cs="Arial" w:eastAsia="Arial" w:hAnsi="Arial"/>
          <w:sz w:val="17"/>
          <w:szCs w:val="17"/>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73" w:lineRule="exact"/>
        <w:rPr>
          <w:rFonts w:ascii="Arial" w:cs="Arial" w:eastAsia="Arial" w:hAnsi="Arial"/>
          <w:sz w:val="17"/>
          <w:szCs w:val="17"/>
          <w:b w:val="1"/>
          <w:bCs w:val="1"/>
          <w:color w:val="auto"/>
        </w:rPr>
      </w:pPr>
    </w:p>
    <w:p>
      <w:pPr>
        <w:ind w:left="-40" w:right="180" w:firstLine="1368"/>
        <w:spacing w:after="0" w:line="314" w:lineRule="auto"/>
        <w:tabs>
          <w:tab w:leader="none" w:pos="1904"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References to a “</w:t>
      </w:r>
      <w:r>
        <w:rPr>
          <w:rFonts w:ascii="Arial" w:cs="Arial" w:eastAsia="Arial" w:hAnsi="Arial"/>
          <w:sz w:val="16"/>
          <w:szCs w:val="16"/>
          <w:b w:val="1"/>
          <w:bCs w:val="1"/>
          <w:color w:val="auto"/>
        </w:rPr>
        <w:t>director</w:t>
      </w:r>
      <w:r>
        <w:rPr>
          <w:rFonts w:ascii="Arial" w:cs="Arial" w:eastAsia="Arial" w:hAnsi="Arial"/>
          <w:sz w:val="16"/>
          <w:szCs w:val="16"/>
          <w:color w:val="auto"/>
        </w:rPr>
        <w:t>,” “</w:t>
      </w:r>
      <w:r>
        <w:rPr>
          <w:rFonts w:ascii="Arial" w:cs="Arial" w:eastAsia="Arial" w:hAnsi="Arial"/>
          <w:sz w:val="16"/>
          <w:szCs w:val="16"/>
          <w:b w:val="1"/>
          <w:bCs w:val="1"/>
          <w:color w:val="auto"/>
        </w:rPr>
        <w:t>executive officer</w:t>
      </w:r>
      <w:r>
        <w:rPr>
          <w:rFonts w:ascii="Arial" w:cs="Arial" w:eastAsia="Arial" w:hAnsi="Arial"/>
          <w:sz w:val="16"/>
          <w:szCs w:val="16"/>
          <w:color w:val="auto"/>
        </w:rPr>
        <w:t>,” “</w:t>
      </w:r>
      <w:r>
        <w:rPr>
          <w:rFonts w:ascii="Arial" w:cs="Arial" w:eastAsia="Arial" w:hAnsi="Arial"/>
          <w:sz w:val="16"/>
          <w:szCs w:val="16"/>
          <w:b w:val="1"/>
          <w:bCs w:val="1"/>
          <w:color w:val="auto"/>
        </w:rPr>
        <w:t>officer</w:t>
      </w:r>
      <w:r>
        <w:rPr>
          <w:rFonts w:ascii="Arial" w:cs="Arial" w:eastAsia="Arial" w:hAnsi="Arial"/>
          <w:sz w:val="16"/>
          <w:szCs w:val="16"/>
          <w:color w:val="auto"/>
        </w:rPr>
        <w:t>,” “</w:t>
      </w:r>
      <w:r>
        <w:rPr>
          <w:rFonts w:ascii="Arial" w:cs="Arial" w:eastAsia="Arial" w:hAnsi="Arial"/>
          <w:sz w:val="16"/>
          <w:szCs w:val="16"/>
          <w:b w:val="1"/>
          <w:bCs w:val="1"/>
          <w:color w:val="auto"/>
        </w:rPr>
        <w:t>employee</w:t>
      </w:r>
      <w:r>
        <w:rPr>
          <w:rFonts w:ascii="Arial" w:cs="Arial" w:eastAsia="Arial" w:hAnsi="Arial"/>
          <w:sz w:val="16"/>
          <w:szCs w:val="16"/>
          <w:color w:val="auto"/>
        </w:rPr>
        <w:t>,” or “</w:t>
      </w:r>
      <w:r>
        <w:rPr>
          <w:rFonts w:ascii="Arial" w:cs="Arial" w:eastAsia="Arial" w:hAnsi="Arial"/>
          <w:sz w:val="16"/>
          <w:szCs w:val="16"/>
          <w:b w:val="1"/>
          <w:bCs w:val="1"/>
          <w:color w:val="auto"/>
        </w:rPr>
        <w:t>agent</w:t>
      </w:r>
      <w:r>
        <w:rPr>
          <w:rFonts w:ascii="Arial" w:cs="Arial" w:eastAsia="Arial" w:hAnsi="Arial"/>
          <w:sz w:val="16"/>
          <w:szCs w:val="16"/>
          <w:color w:val="auto"/>
        </w:rPr>
        <w:t>” of the corporation shall include, without limitation, situations where such person, while serving the corporation in such capacity, is also serving at the request of the corporation as, respectively, a director, executive officer, officer, employee, trustee or agent of another corporation, partnership, joint venture, trust or other enterprise.</w:t>
      </w:r>
    </w:p>
    <w:p>
      <w:pPr>
        <w:spacing w:after="0" w:line="141" w:lineRule="exact"/>
        <w:rPr>
          <w:rFonts w:ascii="Arial" w:cs="Arial" w:eastAsia="Arial" w:hAnsi="Arial"/>
          <w:sz w:val="16"/>
          <w:szCs w:val="16"/>
          <w:b w:val="1"/>
          <w:bCs w:val="1"/>
          <w:color w:val="auto"/>
        </w:rPr>
      </w:pPr>
    </w:p>
    <w:p>
      <w:pPr>
        <w:ind w:left="-40" w:firstLine="1418"/>
        <w:spacing w:after="0" w:line="256" w:lineRule="auto"/>
        <w:tabs>
          <w:tab w:leader="none" w:pos="1904"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color w:val="auto"/>
        </w:rPr>
        <w:t>fines</w:t>
      </w:r>
      <w:r>
        <w:rPr>
          <w:rFonts w:ascii="Arial" w:cs="Arial" w:eastAsia="Arial" w:hAnsi="Arial"/>
          <w:sz w:val="18"/>
          <w:szCs w:val="18"/>
          <w:color w:val="auto"/>
        </w:rPr>
        <w:t>” shall include any excise taxes assessed on a person with respect to an employee benefit plan; and references to “</w:t>
      </w:r>
      <w:r>
        <w:rPr>
          <w:rFonts w:ascii="Arial" w:cs="Arial" w:eastAsia="Arial" w:hAnsi="Arial"/>
          <w:sz w:val="18"/>
          <w:szCs w:val="18"/>
          <w:b w:val="1"/>
          <w:bCs w:val="1"/>
          <w:color w:val="auto"/>
        </w:rPr>
        <w:t>serving at the request of the corporation</w:t>
      </w:r>
      <w:r>
        <w:rPr>
          <w:rFonts w:ascii="Arial" w:cs="Arial" w:eastAsia="Arial" w:hAnsi="Arial"/>
          <w:sz w:val="18"/>
          <w:szCs w:val="18"/>
          <w:color w:val="auto"/>
        </w:rPr>
        <w:t>”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8"/>
          <w:szCs w:val="18"/>
          <w:b w:val="1"/>
          <w:bCs w:val="1"/>
          <w:color w:val="auto"/>
        </w:rPr>
        <w:t>not opposed to the best</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 of the corporation</w:t>
      </w:r>
      <w:r>
        <w:rPr>
          <w:rFonts w:ascii="Arial" w:cs="Arial" w:eastAsia="Arial" w:hAnsi="Arial"/>
          <w:sz w:val="18"/>
          <w:szCs w:val="18"/>
          <w:color w:val="auto"/>
        </w:rPr>
        <w:t>” as referred to in this section.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Section 45.  Notices.</w:t>
      </w:r>
    </w:p>
    <w:p>
      <w:pPr>
        <w:sectPr>
          <w:pgSz w:w="11900" w:h="16838" w:orient="portrait"/>
          <w:cols w:equalWidth="0" w:num="1">
            <w:col w:w="11180"/>
          </w:cols>
          <w:pgMar w:left="360" w:top="1417" w:right="359" w:bottom="1440" w:gutter="0" w:footer="0" w:header="0"/>
        </w:sectPr>
      </w:pPr>
    </w:p>
    <w:bookmarkStart w:id="83" w:name="page84"/>
    <w:bookmarkEnd w:id="83"/>
    <w:p>
      <w:pPr>
        <w:ind w:left="-40" w:right="100" w:firstLine="980"/>
        <w:spacing w:after="0" w:line="261" w:lineRule="auto"/>
        <w:tabs>
          <w:tab w:leader="none" w:pos="125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w:t>
      </w:r>
      <w:r>
        <w:rPr>
          <w:rFonts w:ascii="Arial" w:cs="Arial" w:eastAsia="Arial" w:hAnsi="Arial"/>
          <w:sz w:val="18"/>
          <w:szCs w:val="18"/>
          <w:color w:val="auto"/>
        </w:rPr>
        <w:t>Notice to stockholders of stockholder meetings shall be given as provided in Section 7 herein. Without limiting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manner by which notice may otherwise be given effectively to stockholders under any agreement or contract with such stockholder, and except as otherwise required by law, written notice to stockholders for purposes other than stockholder meetings may be sent by U.S. mail or courier service, or by facsimile, electronic mail or other means of electronic transmission.</w:t>
      </w:r>
    </w:p>
    <w:p>
      <w:pPr>
        <w:spacing w:after="0" w:line="179" w:lineRule="exact"/>
        <w:rPr>
          <w:rFonts w:ascii="Arial" w:cs="Arial" w:eastAsia="Arial" w:hAnsi="Arial"/>
          <w:sz w:val="18"/>
          <w:szCs w:val="18"/>
          <w:b w:val="1"/>
          <w:bCs w:val="1"/>
          <w:color w:val="auto"/>
        </w:rPr>
      </w:pPr>
    </w:p>
    <w:p>
      <w:pPr>
        <w:jc w:val="both"/>
        <w:ind w:left="-40" w:right="100" w:firstLine="980"/>
        <w:spacing w:after="0" w:line="314" w:lineRule="auto"/>
        <w:tabs>
          <w:tab w:leader="none" w:pos="1256"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to Directors. </w:t>
      </w:r>
      <w:r>
        <w:rPr>
          <w:rFonts w:ascii="Arial" w:cs="Arial" w:eastAsia="Arial" w:hAnsi="Arial"/>
          <w:sz w:val="16"/>
          <w:szCs w:val="16"/>
          <w:color w:val="auto"/>
        </w:rPr>
        <w:t>Any notice required to be given to any director may be given by the method stated in subsection (a) or as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these Bylaws, with notice other than one that is delivered personally to be sent to such address or electronic mail address as such director shall have filed in writing with the Secretary, or, in the absence of such filing, to the last known address or electronic mail address of such director.</w:t>
      </w:r>
    </w:p>
    <w:p>
      <w:pPr>
        <w:spacing w:after="0" w:line="141" w:lineRule="exact"/>
        <w:rPr>
          <w:rFonts w:ascii="Arial" w:cs="Arial" w:eastAsia="Arial" w:hAnsi="Arial"/>
          <w:sz w:val="16"/>
          <w:szCs w:val="16"/>
          <w:b w:val="1"/>
          <w:bCs w:val="1"/>
          <w:color w:val="auto"/>
        </w:rPr>
      </w:pPr>
    </w:p>
    <w:p>
      <w:pPr>
        <w:ind w:left="-40" w:firstLine="980"/>
        <w:spacing w:after="0" w:line="261" w:lineRule="auto"/>
        <w:tabs>
          <w:tab w:leader="none" w:pos="125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notice,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jc w:val="both"/>
        <w:ind w:left="-40" w:right="60" w:firstLine="980"/>
        <w:spacing w:after="0" w:line="266" w:lineRule="auto"/>
        <w:tabs>
          <w:tab w:leader="none" w:pos="125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Methods of Notice. </w:t>
      </w:r>
      <w:r>
        <w:rPr>
          <w:rFonts w:ascii="Arial" w:cs="Arial" w:eastAsia="Arial" w:hAnsi="Arial"/>
          <w:sz w:val="18"/>
          <w:szCs w:val="18"/>
          <w:color w:val="auto"/>
        </w:rPr>
        <w:t>It shall not be necessary that the same method of giving notice be employed in respect of all recipients of notice, but</w:t>
      </w:r>
      <w:r>
        <w:rPr>
          <w:rFonts w:ascii="Arial" w:cs="Arial" w:eastAsia="Arial" w:hAnsi="Arial"/>
          <w:sz w:val="18"/>
          <w:szCs w:val="18"/>
          <w:b w:val="1"/>
          <w:bCs w:val="1"/>
          <w:color w:val="auto"/>
        </w:rPr>
        <w:t xml:space="preserve"> </w:t>
      </w:r>
      <w:r>
        <w:rPr>
          <w:rFonts w:ascii="Arial" w:cs="Arial" w:eastAsia="Arial" w:hAnsi="Arial"/>
          <w:sz w:val="18"/>
          <w:szCs w:val="18"/>
          <w:color w:val="auto"/>
        </w:rPr>
        <w:t>one 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ind w:left="-40" w:right="60" w:firstLine="980"/>
        <w:spacing w:after="0" w:line="273" w:lineRule="auto"/>
        <w:tabs>
          <w:tab w:leader="none" w:pos="125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to Person with Whom Communication is Unlawful. </w:t>
      </w:r>
      <w:r>
        <w:rPr>
          <w:rFonts w:ascii="Arial" w:cs="Arial" w:eastAsia="Arial" w:hAnsi="Arial"/>
          <w:sz w:val="17"/>
          <w:szCs w:val="17"/>
          <w:color w:val="auto"/>
        </w:rPr>
        <w:t>Whenever notice is required to be given, under any provision of law 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that is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71" w:lineRule="exact"/>
        <w:rPr>
          <w:rFonts w:ascii="Arial" w:cs="Arial" w:eastAsia="Arial" w:hAnsi="Arial"/>
          <w:sz w:val="17"/>
          <w:szCs w:val="17"/>
          <w:b w:val="1"/>
          <w:bCs w:val="1"/>
          <w:color w:val="auto"/>
        </w:rPr>
      </w:pPr>
    </w:p>
    <w:p>
      <w:pPr>
        <w:ind w:left="-40" w:right="20" w:firstLine="980"/>
        <w:spacing w:after="0" w:line="258" w:lineRule="auto"/>
        <w:tabs>
          <w:tab w:leader="none" w:pos="125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Sharing an Address. </w:t>
      </w:r>
      <w:r>
        <w:rPr>
          <w:rFonts w:ascii="Arial" w:cs="Arial" w:eastAsia="Arial" w:hAnsi="Arial"/>
          <w:sz w:val="18"/>
          <w:szCs w:val="18"/>
          <w:color w:val="auto"/>
        </w:rPr>
        <w:t>Except as otherwise prohibited under the DGCL, any notice given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83" w:lineRule="exact"/>
        <w:rPr>
          <w:rFonts w:ascii="Arial" w:cs="Arial" w:eastAsia="Arial" w:hAnsi="Arial"/>
          <w:sz w:val="18"/>
          <w:szCs w:val="18"/>
          <w:b w:val="1"/>
          <w:bCs w:val="1"/>
          <w:color w:val="auto"/>
        </w:rPr>
      </w:pPr>
    </w:p>
    <w:p>
      <w:pPr>
        <w:ind w:left="-40" w:right="120" w:firstLine="980"/>
        <w:spacing w:after="0" w:line="273" w:lineRule="auto"/>
        <w:tabs>
          <w:tab w:leader="none" w:pos="1256"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w:t>
      </w:r>
      <w:r>
        <w:rPr>
          <w:rFonts w:ascii="Arial" w:cs="Arial" w:eastAsia="Arial" w:hAnsi="Arial"/>
          <w:sz w:val="17"/>
          <w:szCs w:val="17"/>
          <w:color w:val="auto"/>
        </w:rPr>
        <w:t>Whenever notice is required to be given under any provision of the DGCL, the Certificate of Incorporation or these Bylaws, a</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 Bylaws.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ectPr>
          <w:pgSz w:w="11900" w:h="16838" w:orient="portrait"/>
          <w:cols w:equalWidth="0" w:num="1">
            <w:col w:w="11180"/>
          </w:cols>
          <w:pgMar w:left="360" w:top="1417" w:right="359" w:bottom="1440" w:gutter="0" w:footer="0" w:header="0"/>
        </w:sectPr>
      </w:pPr>
    </w:p>
    <w:bookmarkStart w:id="84" w:name="page85"/>
    <w:bookmarkEnd w:id="84"/>
    <w:p>
      <w:pPr>
        <w:ind w:firstLine="324"/>
        <w:spacing w:after="0" w:line="256" w:lineRule="auto"/>
        <w:rPr>
          <w:sz w:val="20"/>
          <w:szCs w:val="20"/>
          <w:color w:val="auto"/>
        </w:rPr>
      </w:pPr>
      <w:r>
        <w:rPr>
          <w:rFonts w:ascii="Arial" w:cs="Arial" w:eastAsia="Arial" w:hAnsi="Arial"/>
          <w:sz w:val="18"/>
          <w:szCs w:val="18"/>
          <w:b w:val="1"/>
          <w:bCs w:val="1"/>
          <w:color w:val="auto"/>
        </w:rPr>
        <w:t xml:space="preserve">Section 46. Amendments. </w:t>
      </w:r>
      <w:r>
        <w:rPr>
          <w:rFonts w:ascii="Arial" w:cs="Arial" w:eastAsia="Arial" w:hAnsi="Arial"/>
          <w:sz w:val="18"/>
          <w:szCs w:val="18"/>
          <w:color w:val="auto"/>
        </w:rPr>
        <w:t>Subject to the limitations set forth in Section 44(h) of these Bylaws or the provisions of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Board of Directors is expressly empowered to adopt, amend or repeal the Bylaws of the corporation. The stockholders also shall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b w:val="1"/>
          <w:bCs w:val="1"/>
          <w:color w:val="auto"/>
        </w:rPr>
        <w:t xml:space="preserve">Section 47. Loans to Officers. </w:t>
      </w:r>
      <w:r>
        <w:rPr>
          <w:rFonts w:ascii="Arial" w:cs="Arial" w:eastAsia="Arial" w:hAnsi="Arial"/>
          <w:sz w:val="16"/>
          <w:szCs w:val="16"/>
          <w:color w:val="auto"/>
        </w:rPr>
        <w:t>Except as otherwise prohibited by applicable law, the corporation may lend money to, or guarantee any obligation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ectPr>
          <w:pgSz w:w="11900" w:h="16838" w:orient="portrait"/>
          <w:cols w:equalWidth="0" w:num="1">
            <w:col w:w="11200"/>
          </w:cols>
          <w:pgMar w:left="320" w:top="1417" w:right="37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DATADOG,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jc w:val="center"/>
        <w:spacing w:after="0"/>
        <w:rPr>
          <w:sz w:val="20"/>
          <w:szCs w:val="20"/>
          <w:color w:val="auto"/>
        </w:rPr>
      </w:pPr>
      <w:r>
        <w:rPr>
          <w:rFonts w:ascii="Arial" w:cs="Arial" w:eastAsia="Arial" w:hAnsi="Arial"/>
          <w:sz w:val="20"/>
          <w:szCs w:val="20"/>
          <w:b w:val="1"/>
          <w:bCs w:val="1"/>
          <w:color w:val="auto"/>
        </w:rPr>
        <w:t>ADOPTED: May 9, 2023</w:t>
      </w:r>
    </w:p>
    <w:p>
      <w:pPr>
        <w:spacing w:after="0" w:line="200" w:lineRule="exact"/>
        <w:rPr>
          <w:sz w:val="20"/>
          <w:szCs w:val="20"/>
          <w:color w:val="auto"/>
        </w:rPr>
      </w:pPr>
    </w:p>
    <w:p>
      <w:pPr>
        <w:spacing w:after="0" w:line="229" w:lineRule="exact"/>
        <w:rPr>
          <w:sz w:val="20"/>
          <w:szCs w:val="20"/>
          <w:color w:val="auto"/>
        </w:rPr>
      </w:pPr>
    </w:p>
    <w:p>
      <w:pPr>
        <w:ind w:hanging="1"/>
        <w:spacing w:after="0" w:line="236" w:lineRule="auto"/>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Datadog,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who is a non-employee director of the Company (each such member, a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will be eligible to receive the compensation described in this Non-Employee Director</w:t>
      </w:r>
    </w:p>
    <w:p>
      <w:pPr>
        <w:spacing w:after="0" w:line="235" w:lineRule="auto"/>
        <w:rPr>
          <w:sz w:val="20"/>
          <w:szCs w:val="20"/>
          <w:color w:val="auto"/>
        </w:rPr>
      </w:pPr>
      <w:r>
        <w:rPr>
          <w:rFonts w:ascii="Arial" w:cs="Arial" w:eastAsia="Arial" w:hAnsi="Arial"/>
          <w:sz w:val="18"/>
          <w:szCs w:val="18"/>
          <w:color w:val="auto"/>
        </w:rPr>
        <w:t>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for his or her Board service. Unless otherwise defined herein, capitalized terms used in this Policy will</w:t>
      </w:r>
    </w:p>
    <w:p>
      <w:pPr>
        <w:spacing w:after="0" w:line="220" w:lineRule="auto"/>
        <w:rPr>
          <w:sz w:val="20"/>
          <w:szCs w:val="20"/>
          <w:color w:val="auto"/>
        </w:rPr>
      </w:pPr>
      <w:r>
        <w:rPr>
          <w:rFonts w:ascii="Arial" w:cs="Arial" w:eastAsia="Arial" w:hAnsi="Arial"/>
          <w:sz w:val="20"/>
          <w:szCs w:val="20"/>
          <w:color w:val="auto"/>
        </w:rPr>
        <w:t>have the meaning given to such terms in the Company’s 2019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or any successor equity incentive plan. The Policy may be amended at any time in the sole discretion of the Board or the Compensation Committee.</w:t>
      </w:r>
    </w:p>
    <w:p>
      <w:pPr>
        <w:spacing w:after="0" w:line="200" w:lineRule="exact"/>
        <w:rPr>
          <w:sz w:val="20"/>
          <w:szCs w:val="20"/>
          <w:color w:val="auto"/>
        </w:rPr>
      </w:pP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Annual Cash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Each Non-Employee Director will be eligible to receive the following annual cash retainers for service on the Board:</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Annual Board Service Retainer</w:t>
      </w:r>
      <w:r>
        <w:rPr>
          <w:rFonts w:ascii="Arial" w:cs="Arial" w:eastAsia="Arial" w:hAnsi="Arial"/>
          <w:sz w:val="20"/>
          <w:szCs w:val="20"/>
          <w:color w:val="auto"/>
        </w:rPr>
        <w:t>:</w:t>
      </w:r>
    </w:p>
    <w:p>
      <w:pPr>
        <w:spacing w:after="0" w:line="15" w:lineRule="exact"/>
        <w:rPr>
          <w:sz w:val="20"/>
          <w:szCs w:val="20"/>
          <w:color w:val="auto"/>
        </w:rPr>
      </w:pPr>
    </w:p>
    <w:p>
      <w:pPr>
        <w:ind w:left="660" w:hanging="654"/>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All Non-Employee Directors: $50,000</w:t>
      </w:r>
    </w:p>
    <w:p>
      <w:pPr>
        <w:ind w:left="660" w:hanging="654"/>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Lead Non-Employee Director (as applicable): $74,000 (in lieu of above)</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Annual Committee Member Service Retainer</w:t>
      </w:r>
      <w:r>
        <w:rPr>
          <w:rFonts w:ascii="Arial" w:cs="Arial" w:eastAsia="Arial" w:hAnsi="Arial"/>
          <w:sz w:val="20"/>
          <w:szCs w:val="20"/>
          <w:color w:val="auto"/>
        </w:rPr>
        <w:t>:</w:t>
      </w:r>
    </w:p>
    <w:p>
      <w:pPr>
        <w:ind w:left="660" w:hanging="654"/>
        <w:spacing w:after="0" w:line="227"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Member of the Audit Committee: $12,500</w:t>
      </w:r>
    </w:p>
    <w:p>
      <w:pPr>
        <w:ind w:left="660" w:hanging="654"/>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Member of the Compensation Committee: $10,000</w:t>
      </w:r>
    </w:p>
    <w:p>
      <w:pPr>
        <w:ind w:left="660" w:hanging="654"/>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Member of the Nominating and Corporate Governance Committee: $6,000</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Annual Committee Chair Service Retainer (in lieu of Committee Member Service Retainer)</w:t>
      </w:r>
      <w:r>
        <w:rPr>
          <w:rFonts w:ascii="Arial" w:cs="Arial" w:eastAsia="Arial" w:hAnsi="Arial"/>
          <w:sz w:val="20"/>
          <w:szCs w:val="20"/>
          <w:color w:val="auto"/>
        </w:rPr>
        <w:t>:</w:t>
      </w:r>
    </w:p>
    <w:p>
      <w:pPr>
        <w:spacing w:after="0" w:line="15" w:lineRule="exact"/>
        <w:rPr>
          <w:sz w:val="20"/>
          <w:szCs w:val="20"/>
          <w:color w:val="auto"/>
        </w:rPr>
      </w:pPr>
    </w:p>
    <w:p>
      <w:pPr>
        <w:ind w:left="660" w:hanging="654"/>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Chair of the Audit Committee: $25,000</w:t>
      </w:r>
    </w:p>
    <w:p>
      <w:pPr>
        <w:ind w:left="660" w:hanging="654"/>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Chair of the Compensation Committee: $20,000</w:t>
      </w:r>
    </w:p>
    <w:p>
      <w:pPr>
        <w:ind w:left="660" w:hanging="654"/>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Chair of the Nominating and Corporate Governance Committee: $12,000</w:t>
      </w:r>
    </w:p>
    <w:p>
      <w:pPr>
        <w:spacing w:after="0" w:line="227" w:lineRule="exact"/>
        <w:rPr>
          <w:sz w:val="20"/>
          <w:szCs w:val="20"/>
          <w:color w:val="auto"/>
        </w:rPr>
      </w:pPr>
    </w:p>
    <w:p>
      <w:pPr>
        <w:jc w:val="both"/>
        <w:ind w:hanging="1"/>
        <w:spacing w:after="0" w:line="241" w:lineRule="auto"/>
        <w:rPr>
          <w:sz w:val="20"/>
          <w:szCs w:val="20"/>
          <w:color w:val="auto"/>
        </w:rPr>
      </w:pPr>
      <w:r>
        <w:rPr>
          <w:rFonts w:ascii="Arial" w:cs="Arial" w:eastAsia="Arial" w:hAnsi="Arial"/>
          <w:sz w:val="20"/>
          <w:szCs w:val="20"/>
          <w:color w:val="auto"/>
        </w:rPr>
        <w:t>The annual cash retainers above will be payable in equal quarterly installments in arrears on the last day of each calendar quarter (each such date, a “</w:t>
      </w:r>
      <w:r>
        <w:rPr>
          <w:rFonts w:ascii="Arial" w:cs="Arial" w:eastAsia="Arial" w:hAnsi="Arial"/>
          <w:sz w:val="20"/>
          <w:szCs w:val="20"/>
          <w:b w:val="1"/>
          <w:bCs w:val="1"/>
          <w:i w:val="1"/>
          <w:iCs w:val="1"/>
          <w:color w:val="auto"/>
        </w:rPr>
        <w:t>Retainer Accrual Date</w:t>
      </w:r>
      <w:r>
        <w:rPr>
          <w:rFonts w:ascii="Arial" w:cs="Arial" w:eastAsia="Arial" w:hAnsi="Arial"/>
          <w:sz w:val="20"/>
          <w:szCs w:val="20"/>
          <w:color w:val="auto"/>
        </w:rPr>
        <w:t>”) in which the service occurred, prorated for any partial calendar quarter of service (based on the number of days served in the applicable position divided by the total number of days in the quarter). All annual cash retainers will be vested upon payment.</w:t>
      </w:r>
    </w:p>
    <w:p>
      <w:pPr>
        <w:spacing w:after="0" w:line="20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Equity Compensation</w:t>
      </w:r>
    </w:p>
    <w:p>
      <w:pPr>
        <w:spacing w:after="0" w:line="195" w:lineRule="exact"/>
        <w:rPr>
          <w:sz w:val="20"/>
          <w:szCs w:val="20"/>
          <w:color w:val="auto"/>
        </w:rPr>
      </w:pPr>
    </w:p>
    <w:p>
      <w:pPr>
        <w:jc w:val="both"/>
        <w:ind w:firstLine="358"/>
        <w:spacing w:after="0" w:line="229" w:lineRule="auto"/>
        <w:rPr>
          <w:sz w:val="20"/>
          <w:szCs w:val="20"/>
          <w:color w:val="auto"/>
        </w:rPr>
      </w:pPr>
      <w:r>
        <w:rPr>
          <w:rFonts w:ascii="Arial" w:cs="Arial" w:eastAsia="Arial" w:hAnsi="Arial"/>
          <w:sz w:val="20"/>
          <w:szCs w:val="20"/>
          <w:color w:val="auto"/>
        </w:rPr>
        <w:t>Each Non-Employee Director will be eligible to receive the equity compensation set forth below (as applicable). All such equity compensation will be granted under the Plan or any successor equity incentive plan.</w:t>
      </w:r>
    </w:p>
    <w:p>
      <w:pPr>
        <w:spacing w:after="0" w:line="176" w:lineRule="exact"/>
        <w:rPr>
          <w:sz w:val="20"/>
          <w:szCs w:val="20"/>
          <w:color w:val="auto"/>
        </w:rPr>
      </w:pPr>
    </w:p>
    <w:p>
      <w:pPr>
        <w:ind w:left="660" w:hanging="654"/>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0"/>
          <w:szCs w:val="20"/>
          <w:b w:val="1"/>
          <w:bCs w:val="1"/>
          <w:color w:val="auto"/>
        </w:rPr>
        <w:t>Elections to Receive an Equity Grant in lieu of Quarterly Cash Retainer.</w:t>
      </w:r>
    </w:p>
    <w:p>
      <w:pPr>
        <w:spacing w:after="0" w:line="165" w:lineRule="exact"/>
        <w:rPr>
          <w:rFonts w:ascii="Arial" w:cs="Arial" w:eastAsia="Arial" w:hAnsi="Arial"/>
          <w:sz w:val="22"/>
          <w:szCs w:val="22"/>
          <w:b w:val="1"/>
          <w:bCs w:val="1"/>
          <w:color w:val="auto"/>
        </w:rPr>
      </w:pPr>
    </w:p>
    <w:p>
      <w:pPr>
        <w:jc w:val="both"/>
        <w:ind w:firstLine="278"/>
        <w:spacing w:after="0" w:line="226" w:lineRule="auto"/>
        <w:tabs>
          <w:tab w:leader="none" w:pos="729" w:val="left"/>
        </w:tabs>
        <w:numPr>
          <w:ilvl w:val="1"/>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Retainer Grant</w:t>
      </w:r>
      <w:r>
        <w:rPr>
          <w:rFonts w:ascii="Arial" w:cs="Arial" w:eastAsia="Arial" w:hAnsi="Arial"/>
          <w:sz w:val="19"/>
          <w:szCs w:val="19"/>
          <w:color w:val="auto"/>
        </w:rPr>
        <w:t>. Each Non-Employee Director may elect to convert all of his or her cash compensation under Section 1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calendar quarter into an RSU Award (each, a “</w:t>
      </w:r>
      <w:r>
        <w:rPr>
          <w:rFonts w:ascii="Arial" w:cs="Arial" w:eastAsia="Arial" w:hAnsi="Arial"/>
          <w:sz w:val="19"/>
          <w:szCs w:val="19"/>
          <w:b w:val="1"/>
          <w:bCs w:val="1"/>
          <w:i w:val="1"/>
          <w:iCs w:val="1"/>
          <w:color w:val="auto"/>
        </w:rPr>
        <w:t>Retainer Grant</w:t>
      </w:r>
      <w:r>
        <w:rPr>
          <w:rFonts w:ascii="Arial" w:cs="Arial" w:eastAsia="Arial" w:hAnsi="Arial"/>
          <w:sz w:val="19"/>
          <w:szCs w:val="19"/>
          <w:color w:val="auto"/>
        </w:rPr>
        <w:t>”) in accordance with this Section 2(a) (such election, a “</w:t>
      </w:r>
      <w:r>
        <w:rPr>
          <w:rFonts w:ascii="Arial" w:cs="Arial" w:eastAsia="Arial" w:hAnsi="Arial"/>
          <w:sz w:val="19"/>
          <w:szCs w:val="19"/>
          <w:b w:val="1"/>
          <w:bCs w:val="1"/>
          <w:i w:val="1"/>
          <w:iCs w:val="1"/>
          <w:color w:val="auto"/>
        </w:rPr>
        <w:t>Retainer Grant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Election</w:t>
      </w:r>
      <w:r>
        <w:rPr>
          <w:rFonts w:ascii="Arial" w:cs="Arial" w:eastAsia="Arial" w:hAnsi="Arial"/>
          <w:sz w:val="19"/>
          <w:szCs w:val="19"/>
          <w:color w:val="auto"/>
        </w:rPr>
        <w:t>”). If a Non-Employee Director timely makes a Retainer Grant Election pursuant to Section 2(a)(ii), on the first business day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the applicable Retainer Accrual Date to which the Retainer Grant Election applies, and without any further action by the Board or Compensation Committee, such Non-Employee Director automatically will be granted an RSU Award covering a number of shares of the Company’s Class A Common Stock equal to (A) the aggregate amount of cash compensation otherwise payable to such Non-Employee Director under Section 1 on the Retainer Accrual Date to which the Retainer Grant Election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divided by (B) the closing sales price per share of the Company’s Class A Common Stock on the applicable Retainer Accrual Date (or, if such</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date is not a business day, on the first business day thereafter), rounded down to the nearest whole share. Each Retainer Grant will be fully vested on the applicable grant date.</w:t>
      </w:r>
    </w:p>
    <w:p>
      <w:pPr>
        <w:spacing w:after="0" w:line="164" w:lineRule="exact"/>
        <w:rPr>
          <w:sz w:val="20"/>
          <w:szCs w:val="20"/>
          <w:color w:val="auto"/>
        </w:rPr>
      </w:pPr>
    </w:p>
    <w:p>
      <w:pPr>
        <w:jc w:val="both"/>
        <w:ind w:firstLine="286"/>
        <w:spacing w:after="0" w:line="214" w:lineRule="auto"/>
        <w:tabs>
          <w:tab w:leader="none" w:pos="8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Election Mechanics</w:t>
      </w:r>
      <w:r>
        <w:rPr>
          <w:rFonts w:ascii="Arial" w:cs="Arial" w:eastAsia="Arial" w:hAnsi="Arial"/>
          <w:sz w:val="20"/>
          <w:szCs w:val="20"/>
          <w:color w:val="auto"/>
        </w:rPr>
        <w:t>. Each Retainer Grant Election must be submitted to the Company’s General Counsel in writing at least 10</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days in advance of the applicable Retainer Accrual Date, and subject to any other conditions specified by the Board or Compensation Committee.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be in effect for the next Retainer Accrual Date and will remain in effect for successive Retainer Accrual Dates unless and until the Non-Employee Director revokes it in accordance with Section 2(a)(iii) below. A Non-Employee Director who fails to make a timely Retainer Grant Election will not receive a Retainer Grant and instead will receive the cash compensation under Section 1.</w:t>
      </w:r>
    </w:p>
    <w:p>
      <w:pPr>
        <w:spacing w:after="0" w:line="155" w:lineRule="exact"/>
        <w:rPr>
          <w:sz w:val="20"/>
          <w:szCs w:val="20"/>
          <w:color w:val="auto"/>
        </w:rPr>
      </w:pPr>
    </w:p>
    <w:p>
      <w:pPr>
        <w:jc w:val="both"/>
        <w:ind w:firstLine="261"/>
        <w:spacing w:after="0" w:line="215" w:lineRule="auto"/>
        <w:tabs>
          <w:tab w:leader="none" w:pos="805" w:val="left"/>
        </w:tabs>
        <w:numPr>
          <w:ilvl w:val="1"/>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Revocation Mechanics</w:t>
      </w:r>
      <w:r>
        <w:rPr>
          <w:rFonts w:ascii="Arial" w:cs="Arial" w:eastAsia="Arial" w:hAnsi="Arial"/>
          <w:sz w:val="20"/>
          <w:szCs w:val="20"/>
          <w:color w:val="auto"/>
        </w:rPr>
        <w:t>. The revocation of any Retainer Grant Election must be submitted to the Company’s General Counsel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at least 10 business days in advance of the applicable Retainer Accrual Date, and subject to any other conditions specified by the Board or Compensation Committee.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for the next Retainer Accrual Date and will remain in effect for successive Retainer Accrual Dates unless and until the Non-Employee Director makes a new Retainer Grant Election in accordance with Section 2(a)(ii).</w:t>
      </w:r>
    </w:p>
    <w:p>
      <w:pPr>
        <w:spacing w:after="0" w:line="177" w:lineRule="exact"/>
        <w:rPr>
          <w:rFonts w:ascii="Arial" w:cs="Arial" w:eastAsia="Arial" w:hAnsi="Arial"/>
          <w:sz w:val="20"/>
          <w:szCs w:val="20"/>
          <w:b w:val="1"/>
          <w:bCs w:val="1"/>
          <w:color w:val="auto"/>
        </w:rPr>
      </w:pPr>
    </w:p>
    <w:p>
      <w:pPr>
        <w:ind w:left="660" w:hanging="654"/>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0"/>
          <w:szCs w:val="20"/>
          <w:b w:val="1"/>
          <w:bCs w:val="1"/>
          <w:color w:val="auto"/>
        </w:rPr>
        <w:t>Automatic Equity Grants.</w:t>
      </w:r>
    </w:p>
    <w:p>
      <w:pPr>
        <w:spacing w:after="0" w:line="179" w:lineRule="exact"/>
        <w:rPr>
          <w:sz w:val="20"/>
          <w:szCs w:val="20"/>
          <w:color w:val="auto"/>
        </w:rPr>
      </w:pPr>
    </w:p>
    <w:p>
      <w:pPr>
        <w:jc w:val="both"/>
        <w:ind w:firstLine="6"/>
        <w:spacing w:after="0" w:line="237" w:lineRule="auto"/>
        <w:tabs>
          <w:tab w:leader="none" w:pos="648" w:val="left"/>
        </w:tabs>
        <w:numPr>
          <w:ilvl w:val="0"/>
          <w:numId w:val="53"/>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Initial Grant for New Directors. </w:t>
      </w:r>
      <w:r>
        <w:rPr>
          <w:rFonts w:ascii="Arial" w:cs="Arial" w:eastAsia="Arial" w:hAnsi="Arial"/>
          <w:sz w:val="18"/>
          <w:szCs w:val="18"/>
          <w:color w:val="auto"/>
        </w:rPr>
        <w:t>Without any further action by the Board or Compensation Committee, each person who is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or appointed for the first time to be a Non-Employee Director will automatically, upon the date of his or her initial election or appointment to be a Non-Employee Director (or, if such date is not a business day, the first business day thereafter), be granted an RSU Award covering a number of shares of the Company’s Class A Common Stock equal to (A) $400,000 divided by (B) the closing sales price per share of the Company’s Class A Common Stock on the applicable grant date, rounded down to the nearest whole share (each, an “</w:t>
      </w:r>
      <w:r>
        <w:rPr>
          <w:rFonts w:ascii="Arial" w:cs="Arial" w:eastAsia="Arial" w:hAnsi="Arial"/>
          <w:sz w:val="18"/>
          <w:szCs w:val="18"/>
          <w:b w:val="1"/>
          <w:bCs w:val="1"/>
          <w:i w:val="1"/>
          <w:iCs w:val="1"/>
          <w:color w:val="auto"/>
        </w:rPr>
        <w:t>Initial Grant</w:t>
      </w:r>
      <w:r>
        <w:rPr>
          <w:rFonts w:ascii="Arial" w:cs="Arial" w:eastAsia="Arial" w:hAnsi="Arial"/>
          <w:sz w:val="18"/>
          <w:szCs w:val="18"/>
          <w:color w:val="auto"/>
        </w:rPr>
        <w:t>”). Each Initial Grant will vest in a series of three successive equal annual installments over the three-year period measured from the applicable grant date, subject to the Non-Employee Director’s Continuous Service through each applicable vesting date.</w:t>
      </w:r>
    </w:p>
    <w:p>
      <w:pPr>
        <w:spacing w:after="0" w:line="177" w:lineRule="exact"/>
        <w:rPr>
          <w:rFonts w:ascii="Arial" w:cs="Arial" w:eastAsia="Arial" w:hAnsi="Arial"/>
          <w:sz w:val="19"/>
          <w:szCs w:val="19"/>
          <w:b w:val="1"/>
          <w:bCs w:val="1"/>
          <w:color w:val="auto"/>
        </w:rPr>
      </w:pPr>
    </w:p>
    <w:p>
      <w:pPr>
        <w:jc w:val="both"/>
        <w:ind w:firstLine="6"/>
        <w:spacing w:after="0" w:line="237" w:lineRule="auto"/>
        <w:tabs>
          <w:tab w:leader="none" w:pos="648" w:val="left"/>
        </w:tabs>
        <w:numPr>
          <w:ilvl w:val="0"/>
          <w:numId w:val="53"/>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Annual Grant. </w:t>
      </w:r>
      <w:r>
        <w:rPr>
          <w:rFonts w:ascii="Arial" w:cs="Arial" w:eastAsia="Arial" w:hAnsi="Arial"/>
          <w:sz w:val="18"/>
          <w:szCs w:val="18"/>
          <w:color w:val="auto"/>
        </w:rPr>
        <w:t>Without any further action by the Board or Compensation Committee, at the close of business on the date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the stockholders of the Company (each, an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each person who is then a Non-Employee Director will automatically be granted an RSU Award (each, an “</w:t>
      </w:r>
      <w:r>
        <w:rPr>
          <w:rFonts w:ascii="Arial" w:cs="Arial" w:eastAsia="Arial" w:hAnsi="Arial"/>
          <w:sz w:val="18"/>
          <w:szCs w:val="18"/>
          <w:b w:val="1"/>
          <w:bCs w:val="1"/>
          <w:i w:val="1"/>
          <w:iCs w:val="1"/>
          <w:color w:val="auto"/>
        </w:rPr>
        <w:t>Annual Grant</w:t>
      </w:r>
      <w:r>
        <w:rPr>
          <w:rFonts w:ascii="Arial" w:cs="Arial" w:eastAsia="Arial" w:hAnsi="Arial"/>
          <w:sz w:val="18"/>
          <w:szCs w:val="18"/>
          <w:color w:val="auto"/>
        </w:rPr>
        <w:t>”) covering a number of shares of the Company’s Class A Common Stock equal to (A) $250,000 divided by (B) the closing sales price per share of the Company’s Class A Common Stock on the date of the applicable Annual Meeting (or, if such date is not a business day, the first business day thereafter), rounded down to the nearest whole share. Each Annual Grant will fully vest on the earlier of (1) the first anniversary of the applicable grant date and (2) the date of the first Annual Meeting following the applicable grant date, subject to the Non-Employee Director’s Continuous Service through the vesting date.</w:t>
      </w:r>
    </w:p>
    <w:p>
      <w:pPr>
        <w:spacing w:after="0" w:line="178" w:lineRule="exact"/>
        <w:rPr>
          <w:sz w:val="20"/>
          <w:szCs w:val="20"/>
          <w:color w:val="auto"/>
        </w:rPr>
      </w:pPr>
    </w:p>
    <w:p>
      <w:pPr>
        <w:jc w:val="both"/>
        <w:ind w:firstLine="6"/>
        <w:spacing w:after="0" w:line="216" w:lineRule="auto"/>
        <w:tabs>
          <w:tab w:leader="none" w:pos="648" w:val="left"/>
        </w:tabs>
        <w:numPr>
          <w:ilvl w:val="0"/>
          <w:numId w:val="54"/>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Notwithstanding the foregoing, for each Non-Employee Director who remains in Continuous Service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until immediately prior to the closing of a Change in Control, the shares subject to his or her then-outstanding equity awards that were granted pursuant to the Policy (and any Existing Equity Awards) will become fully vested immediately prior to the closing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5" w:right="339" w:bottom="1440" w:gutter="0" w:footer="0" w:header="0"/>
        </w:sectPr>
      </w:pPr>
    </w:p>
    <w:bookmarkStart w:id="87" w:name="page88"/>
    <w:bookmarkEnd w:id="87"/>
    <w:p>
      <w:pPr>
        <w:jc w:val="both"/>
        <w:ind w:firstLine="6"/>
        <w:spacing w:after="0" w:line="222" w:lineRule="auto"/>
        <w:tabs>
          <w:tab w:leader="none" w:pos="648" w:val="left"/>
        </w:tabs>
        <w:numPr>
          <w:ilvl w:val="0"/>
          <w:numId w:val="5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Remaining Terms. </w:t>
      </w:r>
      <w:r>
        <w:rPr>
          <w:rFonts w:ascii="Arial" w:cs="Arial" w:eastAsia="Arial" w:hAnsi="Arial"/>
          <w:sz w:val="20"/>
          <w:szCs w:val="20"/>
          <w:color w:val="auto"/>
        </w:rPr>
        <w:t>The remaining terms and conditions of each RSU Award will be as set forth in the Plan and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standard RSU Award Grant Notice and RSU Award Agreement, in the form adopted from time to time by the Board or Compensation Committee.</w:t>
      </w:r>
    </w:p>
    <w:p>
      <w:pPr>
        <w:spacing w:after="0" w:line="16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8"/>
          <w:szCs w:val="18"/>
          <w:b w:val="1"/>
          <w:bCs w:val="1"/>
          <w:color w:val="auto"/>
        </w:rPr>
        <w:t>Non-Employee Director Compensation Limit</w:t>
      </w:r>
    </w:p>
    <w:p>
      <w:pPr>
        <w:spacing w:after="0" w:line="249" w:lineRule="exact"/>
        <w:rPr>
          <w:sz w:val="20"/>
          <w:szCs w:val="20"/>
          <w:color w:val="auto"/>
        </w:rPr>
      </w:pPr>
    </w:p>
    <w:p>
      <w:pPr>
        <w:jc w:val="both"/>
        <w:ind w:firstLine="279"/>
        <w:spacing w:after="0" w:line="260" w:lineRule="auto"/>
        <w:rPr>
          <w:sz w:val="20"/>
          <w:szCs w:val="20"/>
          <w:color w:val="auto"/>
        </w:rPr>
      </w:pPr>
      <w:r>
        <w:rPr>
          <w:rFonts w:ascii="Arial" w:cs="Arial" w:eastAsia="Arial" w:hAnsi="Arial"/>
          <w:sz w:val="20"/>
          <w:szCs w:val="20"/>
          <w:color w:val="auto"/>
        </w:rPr>
        <w:t>Notwithstanding anything herein to the contrary, the cash compensation and equity compensation that each Non-Employee Director is eligible to receive under this Policy shall be subject to the limits set forth in Section 3(d) of the Plan.</w:t>
      </w:r>
    </w:p>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Ability to Decline Compensation</w:t>
      </w:r>
    </w:p>
    <w:p>
      <w:pPr>
        <w:spacing w:after="0" w:line="249" w:lineRule="exact"/>
        <w:rPr>
          <w:sz w:val="20"/>
          <w:szCs w:val="20"/>
          <w:color w:val="auto"/>
        </w:rPr>
      </w:pPr>
    </w:p>
    <w:p>
      <w:pPr>
        <w:jc w:val="both"/>
        <w:ind w:hanging="1"/>
        <w:spacing w:after="0" w:line="260" w:lineRule="auto"/>
        <w:rPr>
          <w:sz w:val="20"/>
          <w:szCs w:val="20"/>
          <w:color w:val="auto"/>
        </w:rPr>
      </w:pPr>
      <w:r>
        <w:rPr>
          <w:rFonts w:ascii="Arial" w:cs="Arial" w:eastAsia="Arial" w:hAnsi="Arial"/>
          <w:sz w:val="20"/>
          <w:szCs w:val="20"/>
          <w:color w:val="auto"/>
        </w:rPr>
        <w:t>A Non-Employee Director may decline all or any portion of his or her compensation under the Policy by giving notice to the Company prior to the date cash is to be paid or equity awards are to be granted, as the case may be.</w:t>
      </w:r>
    </w:p>
    <w:p>
      <w:pPr>
        <w:spacing w:after="0" w:line="18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Expenses</w:t>
      </w:r>
    </w:p>
    <w:p>
      <w:pPr>
        <w:spacing w:after="0" w:line="249" w:lineRule="exact"/>
        <w:rPr>
          <w:sz w:val="20"/>
          <w:szCs w:val="20"/>
          <w:color w:val="auto"/>
        </w:rPr>
      </w:pPr>
    </w:p>
    <w:p>
      <w:pPr>
        <w:jc w:val="both"/>
        <w:ind w:hanging="1"/>
        <w:spacing w:after="0" w:line="246" w:lineRule="auto"/>
        <w:rPr>
          <w:sz w:val="20"/>
          <w:szCs w:val="20"/>
          <w:color w:val="auto"/>
        </w:rPr>
      </w:pPr>
      <w:r>
        <w:rPr>
          <w:rFonts w:ascii="Arial" w:cs="Arial" w:eastAsia="Arial" w:hAnsi="Arial"/>
          <w:sz w:val="20"/>
          <w:szCs w:val="20"/>
          <w:color w:val="auto"/>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June 30, 2023;</w:t>
      </w:r>
    </w:p>
    <w:p>
      <w:pPr>
        <w:spacing w:after="0" w:line="225"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20" w:hanging="565"/>
        <w:spacing w:after="0" w:line="277"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820" w:val="left"/>
          <w:tab w:leader="none" w:pos="71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3111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Executive Officer and Director</w:t>
      </w:r>
    </w:p>
    <w:p>
      <w:pPr>
        <w:spacing w:after="0" w:line="6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Datadog, Inc. (the “registrant”) for the fiscal quarter ended June 30, 2023;</w:t>
      </w:r>
    </w:p>
    <w:p>
      <w:pPr>
        <w:spacing w:after="0" w:line="225" w:lineRule="exact"/>
        <w:rPr>
          <w:rFonts w:ascii="Arial" w:cs="Arial" w:eastAsia="Arial" w:hAnsi="Arial"/>
          <w:sz w:val="18"/>
          <w:szCs w:val="18"/>
          <w:color w:val="auto"/>
        </w:rPr>
      </w:pPr>
    </w:p>
    <w:p>
      <w:pPr>
        <w:jc w:val="both"/>
        <w:ind w:left="580" w:right="200" w:hanging="572"/>
        <w:spacing w:after="0" w:line="263"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20" w:hanging="565"/>
        <w:spacing w:after="0" w:line="277"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9, 2023</w:t>
            </w:r>
          </w:p>
        </w:tc>
        <w:tc>
          <w:tcPr>
            <w:tcW w:w="328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4"/>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43"/>
        </w:trPr>
        <w:tc>
          <w:tcPr>
            <w:tcW w:w="36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June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9, 2023</w:t>
            </w:r>
          </w:p>
        </w:tc>
        <w:tc>
          <w:tcPr>
            <w:tcW w:w="328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Olivier Pomel</w:t>
            </w:r>
          </w:p>
        </w:tc>
      </w:tr>
      <w:tr>
        <w:trPr>
          <w:trHeight w:val="228"/>
        </w:trPr>
        <w:tc>
          <w:tcPr>
            <w:tcW w:w="36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Olivier Pomel</w:t>
            </w:r>
          </w:p>
        </w:tc>
      </w:tr>
      <w:tr>
        <w:trPr>
          <w:trHeight w:val="237"/>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31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June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9, 2023</w:t>
            </w:r>
          </w:p>
        </w:tc>
        <w:tc>
          <w:tcPr>
            <w:tcW w:w="328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4"/>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43"/>
        </w:trPr>
        <w:tc>
          <w:tcPr>
            <w:tcW w:w="36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9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2"/>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lvl w:ilvl="1">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lowerLetter"/>
      <w:start w:val="1"/>
    </w:lvl>
    <w:lvl w:ilvl="1">
      <w:lvlJc w:val="left"/>
      <w:lvlText w:val="(%2)"/>
      <w:numFmt w:val="lowerLetter"/>
      <w:start w:val="9"/>
    </w:lvl>
  </w:abstractNum>
  <w:abstractNum w:abstractNumId="25">
    <w:nsid w:val="3855585C"/>
    <w:multiLevelType w:val="hybridMultilevel"/>
    <w:lvl w:ilvl="0">
      <w:lvlJc w:val="left"/>
      <w:lvlText w:val="(%1)"/>
      <w:numFmt w:val="lowerRoman"/>
      <w:start w:val="2"/>
    </w:lvl>
  </w:abstractNum>
  <w:abstractNum w:abstractNumId="26">
    <w:nsid w:val="70A64E2A"/>
    <w:multiLevelType w:val="hybridMultilevel"/>
    <w:lvl w:ilvl="0">
      <w:lvlJc w:val="left"/>
      <w:lvlText w:val="(%1)"/>
      <w:numFmt w:val="lowerLetter"/>
      <w:start w:val="3"/>
    </w:lvl>
  </w:abstractNum>
  <w:abstractNum w:abstractNumId="27">
    <w:nsid w:val="6A2342EC"/>
    <w:multiLevelType w:val="hybridMultilevel"/>
    <w:lvl w:ilvl="0">
      <w:lvlJc w:val="left"/>
      <w:lvlText w:val="(%1)"/>
      <w:numFmt w:val="lowerLetter"/>
      <w:start w:val="35"/>
    </w:lvl>
    <w:lvl w:ilvl="1">
      <w:lvlJc w:val="left"/>
      <w:lvlText w:val="(%2)"/>
      <w:numFmt w:val="lowerLetter"/>
      <w:start w:val="6"/>
    </w:lvl>
  </w:abstractNum>
  <w:abstractNum w:abstractNumId="28">
    <w:nsid w:val="2A487CB0"/>
    <w:multiLevelType w:val="hybridMultilevel"/>
    <w:lvl w:ilvl="0">
      <w:lvlJc w:val="left"/>
      <w:lvlText w:val="(%1)"/>
      <w:numFmt w:val="lowerLetter"/>
      <w:start w:val="7"/>
    </w:lvl>
    <w:lvl w:ilvl="1">
      <w:lvlJc w:val="left"/>
      <w:lvlText w:val="(%2)"/>
      <w:numFmt w:val="lowerRoman"/>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3"/>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lvl w:ilvl="1">
      <w:lvlJc w:val="left"/>
      <w:lvlText w:val="(%2)"/>
      <w:numFmt w:val="lowerLetter"/>
      <w:start w:val="1"/>
    </w:lvl>
  </w:abstractNum>
  <w:abstractNum w:abstractNumId="35">
    <w:nsid w:val="542289EC"/>
    <w:multiLevelType w:val="hybridMultilevel"/>
    <w:lvl w:ilvl="0">
      <w:lvlJc w:val="left"/>
      <w:lvlText w:val="(%1)"/>
      <w:numFmt w:val="lowerLetter"/>
      <w:start w:val="1"/>
    </w:lvl>
    <w:lvl w:ilvl="1">
      <w:lvlJc w:val="left"/>
      <w:lvlText w:val="(%2)"/>
      <w:numFmt w:val="lowerLetter"/>
      <w:start w:val="4"/>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6"/>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2"/>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4"/>
    </w:lvl>
  </w:abstractNum>
  <w:abstractNum w:abstractNumId="43">
    <w:nsid w:val="3DC240FB"/>
    <w:multiLevelType w:val="hybridMultilevel"/>
    <w:lvl w:ilvl="0">
      <w:lvlJc w:val="left"/>
      <w:lvlText w:val="(%1)"/>
      <w:numFmt w:val="lowerLetter"/>
      <w:start w:val="7"/>
    </w:lvl>
    <w:lvl w:ilvl="1">
      <w:lvlJc w:val="left"/>
      <w:lvlText w:val="(%2)"/>
      <w:numFmt w:val="lowerRoman"/>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Letter"/>
      <w:start w:val="1"/>
    </w:lvl>
    <w:lvl w:ilvl="1">
      <w:lvlJc w:val="left"/>
      <w:lvlText w:val="(%2)"/>
      <w:numFmt w:val="lowerLetter"/>
      <w:start w:val="9"/>
    </w:lvl>
  </w:abstractNum>
  <w:abstractNum w:abstractNumId="49">
    <w:nsid w:val="520EEDD1"/>
    <w:multiLevelType w:val="hybridMultilevel"/>
    <w:lvl w:ilvl="0">
      <w:lvlJc w:val="left"/>
      <w:lvlText w:val="(%1)"/>
      <w:numFmt w:val="lowerRoman"/>
      <w:start w:val="2"/>
    </w:lvl>
  </w:abstractNum>
  <w:abstractNum w:abstractNumId="50">
    <w:nsid w:val="374A3FE6"/>
    <w:multiLevelType w:val="hybridMultilevel"/>
    <w:lvl w:ilvl="0">
      <w:lvlJc w:val="left"/>
      <w:lvlText w:val="%1"/>
      <w:numFmt w:val="lowerLetter"/>
      <w:start w:val="1"/>
    </w:lvl>
    <w:lvl w:ilvl="1">
      <w:lvlJc w:val="left"/>
      <w:lvlText w:val="(%2)"/>
      <w:numFmt w:val="lowerLetter"/>
      <w:start w:val="61"/>
    </w:lvl>
  </w:abstractNum>
  <w:abstractNum w:abstractNumId="51">
    <w:nsid w:val="4F4EF005"/>
    <w:multiLevelType w:val="hybridMultilevel"/>
    <w:lvl w:ilvl="0">
      <w:lvlJc w:val="left"/>
      <w:lvlText w:val="(%1)"/>
      <w:numFmt w:val="lowerLetter"/>
      <w:start w:val="2"/>
    </w:lvl>
    <w:lvl w:ilvl="1">
      <w:lvlJc w:val="left"/>
      <w:lvlText w:val="%2"/>
      <w:numFmt w:val="lowerLetter"/>
      <w:start w:val="1"/>
    </w:lvl>
  </w:abstractNum>
  <w:abstractNum w:abstractNumId="52">
    <w:nsid w:val="23F9C13C"/>
    <w:multiLevelType w:val="hybridMultilevel"/>
    <w:lvl w:ilvl="0">
      <w:lvlJc w:val="left"/>
      <w:lvlText w:val="(%1)"/>
      <w:numFmt w:val="lowerRoman"/>
      <w:start w:val="1"/>
    </w:lvl>
  </w:abstractNum>
  <w:abstractNum w:abstractNumId="53">
    <w:nsid w:val="649BB77C"/>
    <w:multiLevelType w:val="hybridMultilevel"/>
    <w:lvl w:ilvl="0">
      <w:lvlJc w:val="left"/>
      <w:lvlText w:val="(%1)"/>
      <w:numFmt w:val="lowerLetter"/>
      <w:start w:val="3"/>
    </w:lvl>
  </w:abstractNum>
  <w:abstractNum w:abstractNumId="54">
    <w:nsid w:val="275AC794"/>
    <w:multiLevelType w:val="hybridMultilevel"/>
    <w:lvl w:ilvl="0">
      <w:lvlJc w:val="left"/>
      <w:lvlText w:val="(%1)"/>
      <w:numFmt w:val="lowerLetter"/>
      <w:start w:val="4"/>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3" Type="http://schemas.openxmlformats.org/officeDocument/2006/relationships/hyperlink" Target="https://www.sec.gov/Archives/edgar/data/0001561550/000119312519252279/d80383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2023-08-09T05:58:06Z</dcterms:created>
  <dcterms:modified xsi:type="dcterms:W3CDTF">2023-08-09T05:58:06Z</dcterms:modified>
</cp:coreProperties>
</file>