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100330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740" w:right="1740" w:hanging="3732"/>
        <w:spacing w:after="0" w:line="376" w:lineRule="auto"/>
        <w:tabs>
          <w:tab w:leader="none" w:pos="51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spacing w:after="0" w:line="25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39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5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00" w:type="dxa"/>
            <w:vAlign w:val="bottom"/>
            <w:tcBorders>
              <w:bottom w:val="single" w:sz="8" w:color="auto"/>
            </w:tcBorders>
          </w:tcPr>
          <w:p>
            <w:pPr>
              <w:spacing w:after="0"/>
              <w:rPr>
                <w:sz w:val="17"/>
                <w:szCs w:val="17"/>
                <w:color w:val="auto"/>
              </w:rPr>
            </w:pPr>
          </w:p>
        </w:tc>
      </w:tr>
      <w:tr>
        <w:trPr>
          <w:trHeight w:val="331"/>
        </w:trPr>
        <w:tc>
          <w:tcPr>
            <w:tcW w:w="3600" w:type="dxa"/>
            <w:vAlign w:val="bottom"/>
            <w:gridSpan w:val="4"/>
          </w:tcPr>
          <w:p>
            <w:pPr>
              <w:ind w:left="360"/>
              <w:spacing w:after="0"/>
              <w:rPr>
                <w:sz w:val="20"/>
                <w:szCs w:val="20"/>
                <w:color w:val="auto"/>
              </w:rPr>
            </w:pPr>
            <w:r>
              <w:rPr>
                <w:rFonts w:ascii="Arial" w:cs="Arial" w:eastAsia="Arial" w:hAnsi="Arial"/>
                <w:sz w:val="18"/>
                <w:szCs w:val="18"/>
                <w:b w:val="1"/>
                <w:bCs w:val="1"/>
                <w:color w:val="auto"/>
              </w:rPr>
              <w:t>Commission File Number: 001-39051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68580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435"/>
        </w:trPr>
        <w:tc>
          <w:tcPr>
            <w:tcW w:w="3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gridSpan w:val="2"/>
          </w:tcPr>
          <w:p>
            <w:pPr>
              <w:jc w:val="center"/>
              <w:ind w:right="780"/>
              <w:spacing w:after="0"/>
              <w:rPr>
                <w:sz w:val="20"/>
                <w:szCs w:val="20"/>
                <w:color w:val="auto"/>
              </w:rPr>
            </w:pPr>
            <w:r>
              <w:rPr>
                <w:rFonts w:ascii="Arial" w:cs="Arial" w:eastAsia="Arial" w:hAnsi="Arial"/>
                <w:sz w:val="36"/>
                <w:szCs w:val="36"/>
                <w:b w:val="1"/>
                <w:bCs w:val="1"/>
                <w:color w:val="auto"/>
                <w:w w:val="91"/>
              </w:rPr>
              <w:t>Datadog, Inc.</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38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580" w:type="dxa"/>
            <w:vAlign w:val="bottom"/>
            <w:gridSpan w:val="2"/>
            <w:vMerge w:val="restart"/>
          </w:tcPr>
          <w:p>
            <w:pPr>
              <w:jc w:val="center"/>
              <w:ind w:left="999"/>
              <w:spacing w:after="0"/>
              <w:rPr>
                <w:sz w:val="20"/>
                <w:szCs w:val="20"/>
                <w:color w:val="auto"/>
              </w:rPr>
            </w:pPr>
            <w:r>
              <w:rPr>
                <w:rFonts w:ascii="Arial" w:cs="Arial" w:eastAsia="Arial" w:hAnsi="Arial"/>
                <w:sz w:val="18"/>
                <w:szCs w:val="18"/>
                <w:b w:val="1"/>
                <w:bCs w:val="1"/>
                <w:color w:val="auto"/>
                <w:w w:val="93"/>
              </w:rPr>
              <w:t>Delaware</w:t>
            </w:r>
          </w:p>
        </w:tc>
        <w:tc>
          <w:tcPr>
            <w:tcW w:w="22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3800" w:type="dxa"/>
            <w:vAlign w:val="bottom"/>
            <w:vMerge w:val="restart"/>
          </w:tcPr>
          <w:p>
            <w:pPr>
              <w:jc w:val="right"/>
              <w:ind w:right="2324"/>
              <w:spacing w:after="0"/>
              <w:rPr>
                <w:sz w:val="20"/>
                <w:szCs w:val="20"/>
                <w:color w:val="auto"/>
              </w:rPr>
            </w:pPr>
            <w:r>
              <w:rPr>
                <w:rFonts w:ascii="Arial" w:cs="Arial" w:eastAsia="Arial" w:hAnsi="Arial"/>
                <w:sz w:val="18"/>
                <w:szCs w:val="18"/>
                <w:b w:val="1"/>
                <w:bCs w:val="1"/>
                <w:color w:val="auto"/>
              </w:rPr>
              <w:t>27-2825503</w:t>
            </w:r>
          </w:p>
        </w:tc>
        <w:tc>
          <w:tcPr>
            <w:tcW w:w="0" w:type="dxa"/>
            <w:vAlign w:val="bottom"/>
          </w:tcPr>
          <w:p>
            <w:pPr>
              <w:spacing w:after="0"/>
              <w:rPr>
                <w:sz w:val="1"/>
                <w:szCs w:val="1"/>
                <w:color w:val="auto"/>
              </w:rPr>
            </w:pPr>
          </w:p>
        </w:tc>
      </w:tr>
      <w:tr>
        <w:trPr>
          <w:trHeight w:val="376"/>
        </w:trPr>
        <w:tc>
          <w:tcPr>
            <w:tcW w:w="4580" w:type="dxa"/>
            <w:vAlign w:val="bottom"/>
            <w:gridSpan w:val="2"/>
            <w:vMerge w:val="continue"/>
          </w:tcPr>
          <w:p>
            <w:pPr>
              <w:spacing w:after="0"/>
              <w:rPr>
                <w:sz w:val="24"/>
                <w:szCs w:val="24"/>
                <w:color w:val="auto"/>
              </w:rPr>
            </w:pPr>
          </w:p>
        </w:tc>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80" w:type="dxa"/>
            <w:vAlign w:val="bottom"/>
            <w:gridSpan w:val="2"/>
          </w:tcPr>
          <w:p>
            <w:pPr>
              <w:jc w:val="center"/>
              <w:ind w:left="99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2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0" w:type="dxa"/>
            <w:vAlign w:val="bottom"/>
          </w:tcPr>
          <w:p>
            <w:pPr>
              <w:jc w:val="center"/>
              <w:ind w:right="176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80" w:type="dxa"/>
            <w:vAlign w:val="bottom"/>
            <w:gridSpan w:val="2"/>
          </w:tcPr>
          <w:p>
            <w:pPr>
              <w:jc w:val="center"/>
              <w:ind w:left="1019"/>
              <w:spacing w:after="0"/>
              <w:rPr>
                <w:sz w:val="20"/>
                <w:szCs w:val="20"/>
                <w:color w:val="auto"/>
              </w:rPr>
            </w:pPr>
            <w:r>
              <w:rPr>
                <w:rFonts w:ascii="Arial" w:cs="Arial" w:eastAsia="Arial" w:hAnsi="Arial"/>
                <w:sz w:val="14"/>
                <w:szCs w:val="14"/>
                <w:b w:val="1"/>
                <w:bCs w:val="1"/>
                <w:color w:val="auto"/>
                <w:w w:val="94"/>
              </w:rPr>
              <w:t>incorporation or organization)</w:t>
            </w:r>
          </w:p>
        </w:tc>
        <w:tc>
          <w:tcPr>
            <w:tcW w:w="2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0" w:type="dxa"/>
            <w:vAlign w:val="bottom"/>
          </w:tcPr>
          <w:p>
            <w:pPr>
              <w:jc w:val="center"/>
              <w:ind w:right="178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04"/>
        </w:trPr>
        <w:tc>
          <w:tcPr>
            <w:tcW w:w="4580" w:type="dxa"/>
            <w:vAlign w:val="bottom"/>
            <w:gridSpan w:val="2"/>
          </w:tcPr>
          <w:p>
            <w:pPr>
              <w:jc w:val="center"/>
              <w:ind w:left="999"/>
              <w:spacing w:after="0"/>
              <w:rPr>
                <w:sz w:val="20"/>
                <w:szCs w:val="20"/>
                <w:color w:val="auto"/>
              </w:rPr>
            </w:pPr>
            <w:r>
              <w:rPr>
                <w:rFonts w:ascii="Arial" w:cs="Arial" w:eastAsia="Arial" w:hAnsi="Arial"/>
                <w:sz w:val="18"/>
                <w:szCs w:val="18"/>
                <w:b w:val="1"/>
                <w:bCs w:val="1"/>
                <w:color w:val="auto"/>
                <w:w w:val="89"/>
              </w:rPr>
              <w:t>620 8th Avenue, 45th Floor</w:t>
            </w:r>
          </w:p>
        </w:tc>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580" w:type="dxa"/>
            <w:vAlign w:val="bottom"/>
            <w:gridSpan w:val="2"/>
          </w:tcPr>
          <w:p>
            <w:pPr>
              <w:jc w:val="center"/>
              <w:ind w:left="999"/>
              <w:spacing w:after="0"/>
              <w:rPr>
                <w:sz w:val="20"/>
                <w:szCs w:val="20"/>
                <w:color w:val="auto"/>
              </w:rPr>
            </w:pPr>
            <w:r>
              <w:rPr>
                <w:rFonts w:ascii="Arial" w:cs="Arial" w:eastAsia="Arial" w:hAnsi="Arial"/>
                <w:sz w:val="18"/>
                <w:szCs w:val="18"/>
                <w:b w:val="1"/>
                <w:bCs w:val="1"/>
                <w:color w:val="auto"/>
                <w:w w:val="93"/>
              </w:rPr>
              <w:t>New York, NY</w:t>
            </w:r>
          </w:p>
        </w:tc>
        <w:tc>
          <w:tcPr>
            <w:tcW w:w="2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0" w:type="dxa"/>
            <w:vAlign w:val="bottom"/>
          </w:tcPr>
          <w:p>
            <w:pPr>
              <w:jc w:val="right"/>
              <w:ind w:right="2524"/>
              <w:spacing w:after="0"/>
              <w:rPr>
                <w:sz w:val="20"/>
                <w:szCs w:val="20"/>
                <w:color w:val="auto"/>
              </w:rPr>
            </w:pPr>
            <w:r>
              <w:rPr>
                <w:rFonts w:ascii="Arial" w:cs="Arial" w:eastAsia="Arial" w:hAnsi="Arial"/>
                <w:sz w:val="18"/>
                <w:szCs w:val="18"/>
                <w:b w:val="1"/>
                <w:bCs w:val="1"/>
                <w:color w:val="auto"/>
              </w:rPr>
              <w:t>10018</w:t>
            </w:r>
          </w:p>
        </w:tc>
        <w:tc>
          <w:tcPr>
            <w:tcW w:w="0" w:type="dxa"/>
            <w:vAlign w:val="bottom"/>
          </w:tcPr>
          <w:p>
            <w:pPr>
              <w:spacing w:after="0"/>
              <w:rPr>
                <w:sz w:val="1"/>
                <w:szCs w:val="1"/>
                <w:color w:val="auto"/>
              </w:rPr>
            </w:pPr>
          </w:p>
        </w:tc>
      </w:tr>
      <w:tr>
        <w:trPr>
          <w:trHeight w:val="186"/>
        </w:trPr>
        <w:tc>
          <w:tcPr>
            <w:tcW w:w="4580" w:type="dxa"/>
            <w:vAlign w:val="bottom"/>
            <w:gridSpan w:val="2"/>
          </w:tcPr>
          <w:p>
            <w:pPr>
              <w:jc w:val="center"/>
              <w:ind w:left="9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0" w:type="dxa"/>
            <w:vAlign w:val="bottom"/>
          </w:tcPr>
          <w:p>
            <w:pPr>
              <w:jc w:val="center"/>
              <w:ind w:right="178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96"/>
        </w:trPr>
        <w:tc>
          <w:tcPr>
            <w:tcW w:w="114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(866) 329-4466</w:t>
            </w:r>
          </w:p>
        </w:tc>
        <w:tc>
          <w:tcPr>
            <w:tcW w:w="0" w:type="dxa"/>
            <w:vAlign w:val="bottom"/>
          </w:tcPr>
          <w:p>
            <w:pPr>
              <w:spacing w:after="0"/>
              <w:rPr>
                <w:sz w:val="1"/>
                <w:szCs w:val="1"/>
                <w:color w:val="auto"/>
              </w:rPr>
            </w:pPr>
          </w:p>
        </w:tc>
      </w:tr>
      <w:tr>
        <w:trPr>
          <w:trHeight w:val="108"/>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2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580" w:type="dxa"/>
            <w:vAlign w:val="bottom"/>
            <w:gridSpan w:val="2"/>
            <w:vMerge w:val="continue"/>
          </w:tcPr>
          <w:p>
            <w:pPr>
              <w:spacing w:after="0"/>
              <w:rPr>
                <w:sz w:val="24"/>
                <w:szCs w:val="24"/>
                <w:color w:val="auto"/>
              </w:rPr>
            </w:pPr>
          </w:p>
        </w:tc>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8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gridSpan w:val="2"/>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760" w:type="dxa"/>
            <w:vAlign w:val="bottom"/>
          </w:tcPr>
          <w:p>
            <w:pPr>
              <w:spacing w:after="0"/>
              <w:rPr>
                <w:sz w:val="16"/>
                <w:szCs w:val="16"/>
                <w:color w:val="auto"/>
              </w:rPr>
            </w:pPr>
          </w:p>
        </w:tc>
        <w:tc>
          <w:tcPr>
            <w:tcW w:w="304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14"/>
                <w:szCs w:val="14"/>
                <w:color w:val="auto"/>
                <w:w w:val="96"/>
              </w:rPr>
              <w:t>Trading Symbol(s)</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26"/>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Class A common stock, par value $0.00001 per share</w:t>
            </w:r>
          </w:p>
        </w:tc>
        <w:tc>
          <w:tcPr>
            <w:tcW w:w="760" w:type="dxa"/>
            <w:vAlign w:val="bottom"/>
          </w:tcPr>
          <w:p>
            <w:pPr>
              <w:spacing w:after="0"/>
              <w:rPr>
                <w:sz w:val="13"/>
                <w:szCs w:val="13"/>
                <w:color w:val="auto"/>
              </w:rPr>
            </w:pPr>
          </w:p>
        </w:tc>
        <w:tc>
          <w:tcPr>
            <w:tcW w:w="3040" w:type="dxa"/>
            <w:vAlign w:val="bottom"/>
            <w:tcBorders>
              <w:right w:val="single" w:sz="8" w:color="auto"/>
            </w:tcBorders>
            <w:gridSpan w:val="2"/>
            <w:vMerge w:val="restart"/>
          </w:tcPr>
          <w:p>
            <w:pPr>
              <w:jc w:val="center"/>
              <w:ind w:right="780"/>
              <w:spacing w:after="0"/>
              <w:rPr>
                <w:sz w:val="20"/>
                <w:szCs w:val="20"/>
                <w:color w:val="auto"/>
              </w:rPr>
            </w:pPr>
            <w:r>
              <w:rPr>
                <w:rFonts w:ascii="Arial" w:cs="Arial" w:eastAsia="Arial" w:hAnsi="Arial"/>
                <w:sz w:val="14"/>
                <w:szCs w:val="14"/>
                <w:color w:val="auto"/>
                <w:w w:val="99"/>
              </w:rPr>
              <w:t>DDOG</w:t>
            </w:r>
          </w:p>
        </w:tc>
        <w:tc>
          <w:tcPr>
            <w:tcW w:w="38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15"/>
        </w:trPr>
        <w:tc>
          <w:tcPr>
            <w:tcW w:w="3820" w:type="dxa"/>
            <w:vAlign w:val="bottom"/>
            <w:tcBorders>
              <w:left w:val="single" w:sz="8" w:color="auto"/>
              <w:right w:val="single" w:sz="8" w:color="auto"/>
            </w:tcBorders>
            <w:vMerge w:val="continue"/>
          </w:tcPr>
          <w:p>
            <w:pPr>
              <w:spacing w:after="0"/>
              <w:rPr>
                <w:sz w:val="9"/>
                <w:szCs w:val="9"/>
                <w:color w:val="auto"/>
              </w:rPr>
            </w:pPr>
          </w:p>
        </w:tc>
        <w:tc>
          <w:tcPr>
            <w:tcW w:w="760" w:type="dxa"/>
            <w:vAlign w:val="bottom"/>
          </w:tcPr>
          <w:p>
            <w:pPr>
              <w:spacing w:after="0"/>
              <w:rPr>
                <w:sz w:val="9"/>
                <w:szCs w:val="9"/>
                <w:color w:val="auto"/>
              </w:rPr>
            </w:pPr>
          </w:p>
        </w:tc>
        <w:tc>
          <w:tcPr>
            <w:tcW w:w="3040" w:type="dxa"/>
            <w:vAlign w:val="bottom"/>
            <w:tcBorders>
              <w:right w:val="single" w:sz="8" w:color="auto"/>
            </w:tcBorders>
            <w:gridSpan w:val="2"/>
            <w:vMerge w:val="continue"/>
          </w:tcPr>
          <w:p>
            <w:pPr>
              <w:spacing w:after="0"/>
              <w:rPr>
                <w:sz w:val="9"/>
                <w:szCs w:val="9"/>
                <w:color w:val="auto"/>
              </w:rPr>
            </w:pPr>
          </w:p>
        </w:tc>
        <w:tc>
          <w:tcPr>
            <w:tcW w:w="3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(Nasdaq Global Select Market)</w:t>
            </w:r>
          </w:p>
        </w:tc>
        <w:tc>
          <w:tcPr>
            <w:tcW w:w="0" w:type="dxa"/>
            <w:vAlign w:val="bottom"/>
          </w:tcPr>
          <w:p>
            <w:pPr>
              <w:spacing w:after="0"/>
              <w:rPr>
                <w:sz w:val="1"/>
                <w:szCs w:val="1"/>
                <w:color w:val="auto"/>
              </w:rPr>
            </w:pPr>
          </w:p>
        </w:tc>
      </w:tr>
      <w:tr>
        <w:trPr>
          <w:trHeight w:val="68"/>
        </w:trPr>
        <w:tc>
          <w:tcPr>
            <w:tcW w:w="3820" w:type="dxa"/>
            <w:vAlign w:val="bottom"/>
            <w:tcBorders>
              <w:left w:val="single" w:sz="8" w:color="auto"/>
              <w:right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38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2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20"/>
              <w:spacing w:after="0"/>
              <w:rPr>
                <w:sz w:val="20"/>
                <w:szCs w:val="20"/>
                <w:color w:val="auto"/>
              </w:rPr>
            </w:pPr>
            <w:r>
              <w:rPr>
                <w:rFonts w:ascii="Arial" w:cs="Arial" w:eastAsia="Arial" w:hAnsi="Arial"/>
                <w:sz w:val="18"/>
                <w:szCs w:val="18"/>
                <w:color w:val="auto"/>
              </w:rPr>
              <w:t>Small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6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3"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As of November 6, 2019, there were 27,600,000 shares of the registrant’s Class A common stock and 268,230,402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190500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0" w:type="dxa"/>
            <w:vAlign w:val="bottom"/>
            <w:gridSpan w:val="10"/>
          </w:tcPr>
          <w:p>
            <w:pPr>
              <w:ind w:left="66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10"/>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6740" w:type="dxa"/>
            <w:vAlign w:val="bottom"/>
            <w:gridSpan w:val="12"/>
            <w:vMerge w:val="restart"/>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1280" w:type="dxa"/>
            <w:vAlign w:val="bottom"/>
            <w:gridSpan w:val="2"/>
            <w:vMerge w:val="continue"/>
          </w:tcPr>
          <w:p>
            <w:pPr>
              <w:spacing w:after="0"/>
              <w:rPr>
                <w:sz w:val="14"/>
                <w:szCs w:val="14"/>
                <w:color w:val="auto"/>
              </w:rPr>
            </w:pPr>
          </w:p>
        </w:tc>
        <w:tc>
          <w:tcPr>
            <w:tcW w:w="2260" w:type="dxa"/>
            <w:vAlign w:val="bottom"/>
            <w:tcBorders>
              <w:bottom w:val="single" w:sz="8" w:color="0000EE"/>
            </w:tcBorders>
            <w:gridSpan w:val="10"/>
            <w:vMerge w:val="continue"/>
          </w:tcPr>
          <w:p>
            <w:pPr>
              <w:spacing w:after="0"/>
              <w:rPr>
                <w:sz w:val="14"/>
                <w:szCs w:val="14"/>
                <w:color w:val="auto"/>
              </w:rPr>
            </w:pPr>
          </w:p>
        </w:tc>
        <w:tc>
          <w:tcPr>
            <w:tcW w:w="6740" w:type="dxa"/>
            <w:vAlign w:val="bottom"/>
            <w:gridSpan w:val="12"/>
            <w:vMerge w:val="continue"/>
          </w:tcPr>
          <w:p>
            <w:pPr>
              <w:spacing w:after="0"/>
              <w:rPr>
                <w:sz w:val="14"/>
                <w:szCs w:val="14"/>
                <w:color w:val="auto"/>
              </w:rPr>
            </w:pPr>
          </w:p>
        </w:tc>
        <w:tc>
          <w:tcPr>
            <w:tcW w:w="11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00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September 30, 2019 and December 31, 2018 (unaudited)</w:t>
              </w:r>
            </w:hyperlink>
          </w:p>
        </w:tc>
        <w:tc>
          <w:tcPr>
            <w:tcW w:w="1540" w:type="dxa"/>
            <w:vAlign w:val="bottom"/>
            <w:gridSpan w:val="4"/>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0" w:type="dxa"/>
            <w:vAlign w:val="bottom"/>
            <w:gridSpan w:val="22"/>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Operations and Comprehensive (Loss) Income for the three and nine months ended</w:t>
              </w:r>
            </w:hyperlink>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September 30, 2019 and September 30, 2018 (unaudited)</w:t>
              </w:r>
            </w:hyperlink>
          </w:p>
        </w:tc>
        <w:tc>
          <w:tcPr>
            <w:tcW w:w="4740" w:type="dxa"/>
            <w:vAlign w:val="bottom"/>
            <w:tcBorders>
              <w:top w:val="single" w:sz="8" w:color="0000EE"/>
            </w:tcBorders>
            <w:gridSpan w:val="8"/>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0" w:type="dxa"/>
            <w:vAlign w:val="bottom"/>
            <w:gridSpan w:val="22"/>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 of Convertible Preferred Stock and Stockholders’ Equity (Deficit) for the nine months</w:t>
              </w:r>
            </w:hyperlink>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ended September 30, 2019 (unaudited)</w:t>
              </w:r>
            </w:hyperlink>
          </w:p>
        </w:tc>
        <w:tc>
          <w:tcPr>
            <w:tcW w:w="6000" w:type="dxa"/>
            <w:vAlign w:val="bottom"/>
            <w:tcBorders>
              <w:top w:val="single" w:sz="8" w:color="0000EE"/>
            </w:tcBorders>
            <w:gridSpan w:val="8"/>
          </w:tcPr>
          <w:p>
            <w:pPr>
              <w:spacing w:after="0"/>
              <w:rPr>
                <w:sz w:val="17"/>
                <w:szCs w:val="17"/>
                <w:color w:val="auto"/>
              </w:rPr>
            </w:pPr>
          </w:p>
        </w:tc>
        <w:tc>
          <w:tcPr>
            <w:tcW w:w="200" w:type="dxa"/>
            <w:vAlign w:val="bottom"/>
            <w:gridSpan w:val="2"/>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5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 for the nine months ended September 30, 2019 and September 30,</w:t>
              </w:r>
            </w:hyperlink>
          </w:p>
        </w:tc>
        <w:tc>
          <w:tcPr>
            <w:tcW w:w="48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2018 (unaudited)</w:t>
              </w:r>
            </w:hyperlink>
          </w:p>
        </w:tc>
        <w:tc>
          <w:tcPr>
            <w:tcW w:w="7760" w:type="dxa"/>
            <w:vAlign w:val="bottom"/>
            <w:gridSpan w:val="19"/>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2540" w:type="dxa"/>
            <w:vAlign w:val="bottom"/>
            <w:gridSpan w:val="5"/>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4640" w:type="dxa"/>
            <w:vAlign w:val="bottom"/>
            <w:gridSpan w:val="7"/>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Controls and Procedures</w:t>
              </w:r>
            </w:hyperlink>
          </w:p>
        </w:tc>
        <w:tc>
          <w:tcPr>
            <w:tcW w:w="7220" w:type="dxa"/>
            <w:vAlign w:val="bottom"/>
            <w:gridSpan w:val="14"/>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000" w:type="dxa"/>
            <w:vAlign w:val="bottom"/>
            <w:gridSpan w:val="2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4"/>
          </w:tcPr>
          <w:p>
            <w:pPr>
              <w:spacing w:after="0"/>
              <w:rPr>
                <w:sz w:val="17"/>
                <w:szCs w:val="17"/>
                <w:color w:val="auto"/>
              </w:rPr>
            </w:pPr>
          </w:p>
        </w:tc>
        <w:tc>
          <w:tcPr>
            <w:tcW w:w="7120" w:type="dxa"/>
            <w:vAlign w:val="bottom"/>
            <w:gridSpan w:val="13"/>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0" w:type="dxa"/>
            <w:vAlign w:val="bottom"/>
            <w:gridSpan w:val="2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660" w:type="dxa"/>
            <w:vAlign w:val="bottom"/>
            <w:gridSpan w:val="8"/>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000" w:type="dxa"/>
            <w:vAlign w:val="bottom"/>
            <w:gridSpan w:val="2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Unregistered Sales of Equity Securities and Use of Proceeds</w:t>
              </w:r>
            </w:hyperlink>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Defaults Upon Senior Securities</w:t>
              </w:r>
            </w:hyperlink>
          </w:p>
        </w:tc>
        <w:tc>
          <w:tcPr>
            <w:tcW w:w="4660" w:type="dxa"/>
            <w:vAlign w:val="bottom"/>
            <w:gridSpan w:val="8"/>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Mine Safety Disclosures</w:t>
              </w:r>
            </w:hyperlink>
          </w:p>
        </w:tc>
        <w:tc>
          <w:tcPr>
            <w:tcW w:w="6680" w:type="dxa"/>
            <w:vAlign w:val="bottom"/>
            <w:gridSpan w:val="11"/>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7240" w:type="dxa"/>
            <w:vAlign w:val="bottom"/>
            <w:gridSpan w:val="15"/>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000" w:type="dxa"/>
            <w:vAlign w:val="bottom"/>
            <w:gridSpan w:val="2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682"/>
        </w:trPr>
        <w:tc>
          <w:tcPr>
            <w:tcW w:w="7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4860" w:type="dxa"/>
            <w:vAlign w:val="bottom"/>
            <w:gridSpan w:val="16"/>
          </w:tcPr>
          <w:p>
            <w:pPr>
              <w:ind w:left="4380"/>
              <w:spacing w:after="0"/>
              <w:rPr>
                <w:sz w:val="20"/>
                <w:szCs w:val="20"/>
                <w:color w:val="auto"/>
              </w:rPr>
            </w:pPr>
            <w:r>
              <w:rPr>
                <w:rFonts w:ascii="Arial" w:cs="Arial" w:eastAsia="Arial" w:hAnsi="Arial"/>
                <w:sz w:val="18"/>
                <w:szCs w:val="18"/>
                <w:color w:val="auto"/>
              </w:rPr>
              <w:t>1</w:t>
            </w: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7" w:lineRule="exact"/>
        <w:rPr>
          <w:sz w:val="20"/>
          <w:szCs w:val="20"/>
          <w:color w:val="auto"/>
        </w:rPr>
      </w:pPr>
    </w:p>
    <w:p>
      <w:pPr>
        <w:ind w:firstLine="761"/>
        <w:spacing w:after="0" w:line="290" w:lineRule="auto"/>
        <w:rPr>
          <w:sz w:val="20"/>
          <w:szCs w:val="20"/>
          <w:color w:val="auto"/>
        </w:rPr>
      </w:pPr>
      <w:r>
        <w:rPr>
          <w:rFonts w:ascii="Arial" w:cs="Arial" w:eastAsia="Arial" w:hAnsi="Arial"/>
          <w:sz w:val="16"/>
          <w:szCs w:val="16"/>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0" w:lineRule="exact"/>
        <w:rPr>
          <w:sz w:val="20"/>
          <w:szCs w:val="20"/>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usage of our platform and upsell and cross sell additional products;</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2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in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22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2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context otherwise indicates, references in this report to the terms “Datadog”, “the Company,” “we,” “our” and “us” refer to Datadog, Inc. and its subsidiaries.</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webcasts, press releases and conference calls.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DATADOG,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52"/>
        </w:trPr>
        <w:tc>
          <w:tcPr>
            <w:tcW w:w="7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08"/>
              <w:spacing w:after="0" w:line="153" w:lineRule="exact"/>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28"/>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56"/>
        </w:trPr>
        <w:tc>
          <w:tcPr>
            <w:tcW w:w="78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ASSETS</w:t>
            </w: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8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760,945</w:t>
            </w:r>
          </w:p>
        </w:tc>
        <w:tc>
          <w:tcPr>
            <w:tcW w:w="400" w:type="dxa"/>
            <w:vAlign w:val="bottom"/>
            <w:gridSpan w:val="2"/>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53,639</w:t>
            </w:r>
          </w:p>
        </w:tc>
        <w:tc>
          <w:tcPr>
            <w:tcW w:w="0" w:type="dxa"/>
            <w:vAlign w:val="bottom"/>
          </w:tcPr>
          <w:p>
            <w:pPr>
              <w:spacing w:after="0"/>
              <w:rPr>
                <w:sz w:val="1"/>
                <w:szCs w:val="1"/>
                <w:color w:val="auto"/>
              </w:rPr>
            </w:pPr>
          </w:p>
        </w:tc>
      </w:tr>
      <w:tr>
        <w:trPr>
          <w:trHeight w:val="143"/>
        </w:trPr>
        <w:tc>
          <w:tcPr>
            <w:tcW w:w="7880" w:type="dxa"/>
            <w:vAlign w:val="bottom"/>
          </w:tcPr>
          <w:p>
            <w:pPr>
              <w:ind w:left="260"/>
              <w:spacing w:after="0" w:line="143" w:lineRule="exact"/>
              <w:rPr>
                <w:sz w:val="20"/>
                <w:szCs w:val="20"/>
                <w:color w:val="auto"/>
              </w:rPr>
            </w:pPr>
            <w:r>
              <w:rPr>
                <w:rFonts w:ascii="Arial" w:cs="Arial" w:eastAsia="Arial" w:hAnsi="Arial"/>
                <w:sz w:val="14"/>
                <w:szCs w:val="14"/>
                <w:color w:val="auto"/>
              </w:rPr>
              <w:t>Accounts receivable, net of allowance for doubtful accounts of $516 and $477 as of</w:t>
            </w: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80" w:type="dxa"/>
            <w:vAlign w:val="bottom"/>
          </w:tcPr>
          <w:p>
            <w:pPr>
              <w:ind w:left="360"/>
              <w:spacing w:after="0"/>
              <w:rPr>
                <w:sz w:val="20"/>
                <w:szCs w:val="20"/>
                <w:color w:val="auto"/>
              </w:rPr>
            </w:pPr>
            <w:r>
              <w:rPr>
                <w:rFonts w:ascii="Arial" w:cs="Arial" w:eastAsia="Arial" w:hAnsi="Arial"/>
                <w:sz w:val="14"/>
                <w:szCs w:val="14"/>
                <w:color w:val="auto"/>
              </w:rPr>
              <w:t>September 30, 2019 and December 31, 2018, respectively</w:t>
            </w: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87,208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55,822</w:t>
            </w: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contract costs, current</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6,151</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3,717</w:t>
            </w:r>
          </w:p>
        </w:tc>
        <w:tc>
          <w:tcPr>
            <w:tcW w:w="0" w:type="dxa"/>
            <w:vAlign w:val="bottom"/>
          </w:tcPr>
          <w:p>
            <w:pPr>
              <w:spacing w:after="0"/>
              <w:rPr>
                <w:sz w:val="1"/>
                <w:szCs w:val="1"/>
                <w:color w:val="auto"/>
              </w:rPr>
            </w:pPr>
          </w:p>
        </w:tc>
      </w:tr>
      <w:tr>
        <w:trPr>
          <w:trHeight w:val="162"/>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18,172</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8,773</w:t>
            </w:r>
          </w:p>
        </w:tc>
        <w:tc>
          <w:tcPr>
            <w:tcW w:w="0" w:type="dxa"/>
            <w:vAlign w:val="bottom"/>
          </w:tcPr>
          <w:p>
            <w:pPr>
              <w:spacing w:after="0"/>
              <w:rPr>
                <w:sz w:val="1"/>
                <w:szCs w:val="1"/>
                <w:color w:val="auto"/>
              </w:rPr>
            </w:pPr>
          </w:p>
        </w:tc>
      </w:tr>
      <w:tr>
        <w:trPr>
          <w:trHeight w:val="156"/>
        </w:trPr>
        <w:tc>
          <w:tcPr>
            <w:tcW w:w="788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872,476</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121,951</w:t>
            </w: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31,266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21,649</w:t>
            </w: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assets</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55,695</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7,626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7,626</w:t>
            </w: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759</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Deferred contract costs, non-current</w:t>
            </w: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12,064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7,292</w:t>
            </w: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9,507</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11,341</w:t>
            </w:r>
          </w:p>
        </w:tc>
        <w:tc>
          <w:tcPr>
            <w:tcW w:w="0" w:type="dxa"/>
            <w:vAlign w:val="bottom"/>
          </w:tcPr>
          <w:p>
            <w:pPr>
              <w:spacing w:after="0"/>
              <w:rPr>
                <w:sz w:val="1"/>
                <w:szCs w:val="1"/>
                <w:color w:val="auto"/>
              </w:rPr>
            </w:pPr>
          </w:p>
        </w:tc>
      </w:tr>
      <w:tr>
        <w:trPr>
          <w:trHeight w:val="162"/>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17,360</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8,603</w:t>
            </w: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1,006,753</w:t>
            </w:r>
          </w:p>
        </w:tc>
        <w:tc>
          <w:tcPr>
            <w:tcW w:w="1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179,750</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4"/>
                <w:szCs w:val="14"/>
                <w:color w:val="auto"/>
              </w:rPr>
              <w:t>LIABILITIES, CONVERTIBLE PREFERRED STOCK AND STOCKHOLDERS'</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880" w:type="dxa"/>
            <w:vAlign w:val="bottom"/>
          </w:tcPr>
          <w:p>
            <w:pPr>
              <w:ind w:left="120"/>
              <w:spacing w:after="0"/>
              <w:rPr>
                <w:sz w:val="20"/>
                <w:szCs w:val="20"/>
                <w:color w:val="auto"/>
              </w:rPr>
            </w:pPr>
            <w:r>
              <w:rPr>
                <w:rFonts w:ascii="Arial" w:cs="Arial" w:eastAsia="Arial" w:hAnsi="Arial"/>
                <w:sz w:val="14"/>
                <w:szCs w:val="14"/>
                <w:color w:val="auto"/>
              </w:rPr>
              <w:t>EQUITY (DEFICIT)</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18,992</w:t>
            </w:r>
          </w:p>
        </w:tc>
        <w:tc>
          <w:tcPr>
            <w:tcW w:w="4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12,638</w:t>
            </w: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30,481</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30,290</w:t>
            </w: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Operating lease liabilities, current</w:t>
            </w: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10,222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revenue, current</w:t>
            </w: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116,966</w:t>
            </w:r>
          </w:p>
        </w:tc>
        <w:tc>
          <w:tcPr>
            <w:tcW w:w="1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69,306</w:t>
            </w:r>
          </w:p>
        </w:tc>
        <w:tc>
          <w:tcPr>
            <w:tcW w:w="0" w:type="dxa"/>
            <w:vAlign w:val="bottom"/>
          </w:tcPr>
          <w:p>
            <w:pPr>
              <w:spacing w:after="0"/>
              <w:rPr>
                <w:sz w:val="1"/>
                <w:szCs w:val="1"/>
                <w:color w:val="auto"/>
              </w:rPr>
            </w:pPr>
          </w:p>
        </w:tc>
      </w:tr>
      <w:tr>
        <w:trPr>
          <w:trHeight w:val="156"/>
        </w:trPr>
        <w:tc>
          <w:tcPr>
            <w:tcW w:w="7880" w:type="dxa"/>
            <w:vAlign w:val="bottom"/>
          </w:tcPr>
          <w:p>
            <w:pPr>
              <w:ind w:left="500"/>
              <w:spacing w:after="0" w:line="155" w:lineRule="exact"/>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3"/>
                <w:szCs w:val="13"/>
                <w:color w:val="auto"/>
              </w:rPr>
            </w:pPr>
          </w:p>
        </w:tc>
        <w:tc>
          <w:tcPr>
            <w:tcW w:w="14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176,661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112,234</w:t>
            </w: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liabilities, non-current</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51,684</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Deferred revenue, non-current</w:t>
            </w: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4,827</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1,393</w:t>
            </w: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2,346</w:t>
            </w:r>
          </w:p>
        </w:tc>
        <w:tc>
          <w:tcPr>
            <w:tcW w:w="1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156"/>
        </w:trPr>
        <w:tc>
          <w:tcPr>
            <w:tcW w:w="7880" w:type="dxa"/>
            <w:vAlign w:val="bottom"/>
          </w:tcPr>
          <w:p>
            <w:pPr>
              <w:ind w:left="500"/>
              <w:spacing w:after="0" w:line="155" w:lineRule="exact"/>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13"/>
                <w:szCs w:val="13"/>
                <w:color w:val="auto"/>
              </w:rPr>
            </w:pPr>
          </w:p>
        </w:tc>
        <w:tc>
          <w:tcPr>
            <w:tcW w:w="14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235,518</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114,986</w:t>
            </w: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spacing w:after="0"/>
              <w:rPr>
                <w:sz w:val="20"/>
                <w:szCs w:val="20"/>
                <w:color w:val="auto"/>
              </w:rPr>
            </w:pPr>
            <w:r>
              <w:rPr>
                <w:rFonts w:ascii="Arial" w:cs="Arial" w:eastAsia="Arial" w:hAnsi="Arial"/>
                <w:sz w:val="14"/>
                <w:szCs w:val="14"/>
                <w:color w:val="auto"/>
              </w:rPr>
              <w:t>COMMITMENTS AND CONTINGENCIES (NOTE 7)</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spacing w:after="0"/>
              <w:rPr>
                <w:sz w:val="20"/>
                <w:szCs w:val="20"/>
                <w:color w:val="auto"/>
              </w:rPr>
            </w:pPr>
            <w:r>
              <w:rPr>
                <w:rFonts w:ascii="Arial" w:cs="Arial" w:eastAsia="Arial" w:hAnsi="Arial"/>
                <w:sz w:val="14"/>
                <w:szCs w:val="14"/>
                <w:color w:val="auto"/>
              </w:rPr>
              <w:t>CONVERTIBLE PREFERRED STOCK:</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Convertible preferred stock; $0.00001 par value per share; 0 and 179,814,912 shares authorized as of</w:t>
            </w: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September 30, 2019 and December 31, 2018, respectively; 0 and 179,814,912 shares issued and</w:t>
            </w: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outstanding as of September 30, 2019 and December 31, 2018, respectively</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140,805</w:t>
            </w:r>
          </w:p>
        </w:tc>
        <w:tc>
          <w:tcPr>
            <w:tcW w:w="0" w:type="dxa"/>
            <w:vAlign w:val="bottom"/>
          </w:tcPr>
          <w:p>
            <w:pPr>
              <w:spacing w:after="0"/>
              <w:rPr>
                <w:sz w:val="1"/>
                <w:szCs w:val="1"/>
                <w:color w:val="auto"/>
              </w:rPr>
            </w:pPr>
          </w:p>
        </w:tc>
      </w:tr>
      <w:tr>
        <w:trPr>
          <w:trHeight w:val="162"/>
        </w:trPr>
        <w:tc>
          <w:tcPr>
            <w:tcW w:w="7880" w:type="dxa"/>
            <w:vAlign w:val="bottom"/>
          </w:tcPr>
          <w:p>
            <w:pPr>
              <w:spacing w:after="0"/>
              <w:rPr>
                <w:sz w:val="20"/>
                <w:szCs w:val="20"/>
                <w:color w:val="auto"/>
              </w:rPr>
            </w:pPr>
            <w:r>
              <w:rPr>
                <w:rFonts w:ascii="Arial" w:cs="Arial" w:eastAsia="Arial" w:hAnsi="Arial"/>
                <w:sz w:val="14"/>
                <w:szCs w:val="14"/>
                <w:color w:val="auto"/>
              </w:rPr>
              <w:t>STOCKHOLDERS' EQUITY (DEFICIT):</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Preferred stock; $0.00001 par value per share; 20,000,000 and 0 shares authorized as of September 30, 2019</w:t>
            </w: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and December 31, 2018, respectively; 0 shares issued and outstanding as of September 30, 2019</w:t>
            </w: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and December 31, 2018, respectively</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880" w:type="dxa"/>
            <w:vAlign w:val="bottom"/>
          </w:tcPr>
          <w:p>
            <w:pPr>
              <w:spacing w:after="0" w:line="143" w:lineRule="exact"/>
              <w:rPr>
                <w:sz w:val="20"/>
                <w:szCs w:val="20"/>
                <w:color w:val="auto"/>
              </w:rPr>
            </w:pPr>
            <w:r>
              <w:rPr>
                <w:rFonts w:ascii="Arial" w:cs="Arial" w:eastAsia="Arial" w:hAnsi="Arial"/>
                <w:sz w:val="14"/>
                <w:szCs w:val="14"/>
                <w:color w:val="auto"/>
              </w:rPr>
              <w:t>Common stock, $0.00001 par value per share; 0 and 380,000,000 shares authorized as of September 30, 2019</w:t>
            </w: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tcPr>
          <w:p>
            <w:pPr>
              <w:ind w:left="120"/>
              <w:spacing w:after="0" w:line="149" w:lineRule="exact"/>
              <w:rPr>
                <w:sz w:val="20"/>
                <w:szCs w:val="20"/>
                <w:color w:val="auto"/>
              </w:rPr>
            </w:pPr>
            <w:r>
              <w:rPr>
                <w:rFonts w:ascii="Arial" w:cs="Arial" w:eastAsia="Arial" w:hAnsi="Arial"/>
                <w:sz w:val="14"/>
                <w:szCs w:val="14"/>
                <w:color w:val="auto"/>
              </w:rPr>
              <w:t>and December 31, 2018, respectively; 0 and 78,180,606 shares issued and outstanding as of</w:t>
            </w: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80" w:type="dxa"/>
            <w:vAlign w:val="bottom"/>
          </w:tcPr>
          <w:p>
            <w:pPr>
              <w:ind w:left="120"/>
              <w:spacing w:after="0"/>
              <w:rPr>
                <w:sz w:val="20"/>
                <w:szCs w:val="20"/>
                <w:color w:val="auto"/>
              </w:rPr>
            </w:pPr>
            <w:r>
              <w:rPr>
                <w:rFonts w:ascii="Arial" w:cs="Arial" w:eastAsia="Arial" w:hAnsi="Arial"/>
                <w:sz w:val="14"/>
                <w:szCs w:val="14"/>
                <w:color w:val="auto"/>
              </w:rPr>
              <w:t>September 30, 2019 and December 31, 2018, respectively</w:t>
            </w: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8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Class A common stock, $0.00001 par value per share; 2,000,000,000 and 0 shares authorized as of</w:t>
            </w: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September 30, 2019 and December 31, 2018, respectively; 27,600,000 and 0 shares issued and outstanding</w:t>
            </w: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as of September 30, 2019 and December 31, 2018, respectively</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880" w:type="dxa"/>
            <w:vAlign w:val="bottom"/>
          </w:tcPr>
          <w:p>
            <w:pPr>
              <w:spacing w:after="0" w:line="143" w:lineRule="exact"/>
              <w:rPr>
                <w:sz w:val="20"/>
                <w:szCs w:val="20"/>
                <w:color w:val="auto"/>
              </w:rPr>
            </w:pPr>
            <w:r>
              <w:rPr>
                <w:rFonts w:ascii="Arial" w:cs="Arial" w:eastAsia="Arial" w:hAnsi="Arial"/>
                <w:sz w:val="14"/>
                <w:szCs w:val="14"/>
                <w:color w:val="auto"/>
              </w:rPr>
              <w:t>Class B common stock, $0.00001 par value per share; 310,000,000 and 0 shares authorized as of</w:t>
            </w: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tcPr>
          <w:p>
            <w:pPr>
              <w:ind w:left="120"/>
              <w:spacing w:after="0" w:line="149" w:lineRule="exact"/>
              <w:rPr>
                <w:sz w:val="20"/>
                <w:szCs w:val="20"/>
                <w:color w:val="auto"/>
              </w:rPr>
            </w:pPr>
            <w:r>
              <w:rPr>
                <w:rFonts w:ascii="Arial" w:cs="Arial" w:eastAsia="Arial" w:hAnsi="Arial"/>
                <w:sz w:val="14"/>
                <w:szCs w:val="14"/>
                <w:color w:val="auto"/>
              </w:rPr>
              <w:t>September 30, 2019 and December 31, 2018, respectively; 268,113,075 and 0 shares issued and outstanding</w:t>
            </w: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80" w:type="dxa"/>
            <w:vAlign w:val="bottom"/>
          </w:tcPr>
          <w:p>
            <w:pPr>
              <w:ind w:left="120"/>
              <w:spacing w:after="0"/>
              <w:rPr>
                <w:sz w:val="20"/>
                <w:szCs w:val="20"/>
                <w:color w:val="auto"/>
              </w:rPr>
            </w:pPr>
            <w:r>
              <w:rPr>
                <w:rFonts w:ascii="Arial" w:cs="Arial" w:eastAsia="Arial" w:hAnsi="Arial"/>
                <w:sz w:val="14"/>
                <w:szCs w:val="14"/>
                <w:color w:val="auto"/>
              </w:rPr>
              <w:t>as of September 30, 2019 and December 31, 2018, respectively</w:t>
            </w: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895,793</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30,834</w:t>
            </w:r>
          </w:p>
        </w:tc>
        <w:tc>
          <w:tcPr>
            <w:tcW w:w="0" w:type="dxa"/>
            <w:vAlign w:val="bottom"/>
          </w:tcPr>
          <w:p>
            <w:pPr>
              <w:spacing w:after="0"/>
              <w:rPr>
                <w:sz w:val="1"/>
                <w:szCs w:val="1"/>
                <w:color w:val="auto"/>
              </w:rPr>
            </w:pPr>
          </w:p>
        </w:tc>
      </w:tr>
      <w:tr>
        <w:trPr>
          <w:trHeight w:val="162"/>
        </w:trPr>
        <w:tc>
          <w:tcPr>
            <w:tcW w:w="7880" w:type="dxa"/>
            <w:vAlign w:val="bottom"/>
          </w:tcPr>
          <w:p>
            <w:pPr>
              <w:spacing w:after="0"/>
              <w:rPr>
                <w:sz w:val="20"/>
                <w:szCs w:val="20"/>
                <w:color w:val="auto"/>
              </w:rPr>
            </w:pPr>
            <w:r>
              <w:rPr>
                <w:rFonts w:ascii="Arial" w:cs="Arial" w:eastAsia="Arial" w:hAnsi="Arial"/>
                <w:sz w:val="14"/>
                <w:szCs w:val="14"/>
                <w:color w:val="auto"/>
              </w:rPr>
              <w:t>Accumulated other comprehensive (loss) income</w:t>
            </w:r>
          </w:p>
        </w:tc>
        <w:tc>
          <w:tcPr>
            <w:tcW w:w="2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(124,507)</w:t>
            </w:r>
          </w:p>
        </w:tc>
        <w:tc>
          <w:tcPr>
            <w:tcW w:w="1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(106,906)</w:t>
            </w: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stockholders’ equity (deficit)</w:t>
            </w: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771,235</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(76,041)</w:t>
            </w:r>
          </w:p>
        </w:tc>
        <w:tc>
          <w:tcPr>
            <w:tcW w:w="0" w:type="dxa"/>
            <w:vAlign w:val="bottom"/>
          </w:tcPr>
          <w:p>
            <w:pPr>
              <w:spacing w:after="0"/>
              <w:rPr>
                <w:sz w:val="1"/>
                <w:szCs w:val="1"/>
                <w:color w:val="auto"/>
              </w:rPr>
            </w:pPr>
          </w:p>
        </w:tc>
      </w:tr>
      <w:tr>
        <w:trPr>
          <w:trHeight w:val="137"/>
        </w:trPr>
        <w:tc>
          <w:tcPr>
            <w:tcW w:w="788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TOTAL LIABILITIES, CONVERTIBLE PREFERRED STOCK AND</w:t>
            </w: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STOCKHOLDERS' EQUITY (DEFICIT)</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1,006,753</w:t>
            </w:r>
          </w:p>
        </w:tc>
        <w:tc>
          <w:tcPr>
            <w:tcW w:w="400" w:type="dxa"/>
            <w:vAlign w:val="bottom"/>
            <w:gridSpan w:val="2"/>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179,750</w:t>
            </w:r>
          </w:p>
        </w:tc>
        <w:tc>
          <w:tcPr>
            <w:tcW w:w="0" w:type="dxa"/>
            <w:vAlign w:val="bottom"/>
          </w:tcPr>
          <w:p>
            <w:pPr>
              <w:spacing w:after="0"/>
              <w:rPr>
                <w:sz w:val="1"/>
                <w:szCs w:val="1"/>
                <w:color w:val="auto"/>
              </w:rPr>
            </w:pPr>
          </w:p>
        </w:tc>
      </w:tr>
      <w:tr>
        <w:trPr>
          <w:trHeight w:val="20"/>
        </w:trPr>
        <w:tc>
          <w:tcPr>
            <w:tcW w:w="7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95,864</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51,074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249,136</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136,467</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23,297</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12,098</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63,225</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30,690</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72,567</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38,976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185,911</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105,777</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28,684</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14,159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75,531</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37,456</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38,836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25,130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105,061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59,747</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9,265</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4,322</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23,193</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12,933</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76,785</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43,611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203,785</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110,136</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646</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(17,228)</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(4,161)</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(4,673)</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(17,601)</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Other comprehensive (loss) income—foreign currency translation</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adjustments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(4,206)</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(17,686)</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14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(4,673)</w:t>
            </w:r>
          </w:p>
        </w:tc>
        <w:tc>
          <w:tcPr>
            <w:tcW w:w="1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(17,601)</w:t>
            </w:r>
          </w:p>
        </w:tc>
        <w:tc>
          <w:tcPr>
            <w:tcW w:w="14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share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w w:val="91"/>
              </w:rPr>
              <w:t>Weighted average shares used in calculating basic and diluted net loss per share:</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103,876</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73,353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87,758</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69,708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6"/>
              </w:rPr>
              <w:t>Convertible</w:t>
            </w:r>
          </w:p>
        </w:tc>
        <w:tc>
          <w:tcPr>
            <w:tcW w:w="4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8"/>
            <w:vMerge w:val="restart"/>
          </w:tcPr>
          <w:p>
            <w:pPr>
              <w:jc w:val="center"/>
              <w:ind w:right="160"/>
              <w:spacing w:after="0"/>
              <w:rPr>
                <w:sz w:val="20"/>
                <w:szCs w:val="20"/>
                <w:color w:val="auto"/>
              </w:rPr>
            </w:pPr>
            <w:r>
              <w:rPr>
                <w:rFonts w:ascii="Arial" w:cs="Arial" w:eastAsia="Arial" w:hAnsi="Arial"/>
                <w:sz w:val="14"/>
                <w:szCs w:val="14"/>
                <w:b w:val="1"/>
                <w:bCs w:val="1"/>
                <w:color w:val="auto"/>
                <w:w w:val="90"/>
              </w:rPr>
              <w:t>Class A and Class B</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140" w:type="dxa"/>
            <w:vAlign w:val="bottom"/>
            <w:gridSpan w:val="4"/>
          </w:tcPr>
          <w:p>
            <w:pPr>
              <w:ind w:left="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3"/>
              </w:rPr>
              <w:t>Preferred Stock</w:t>
            </w:r>
          </w:p>
        </w:tc>
        <w:tc>
          <w:tcPr>
            <w:tcW w:w="420" w:type="dxa"/>
            <w:vAlign w:val="bottom"/>
            <w:tcBorders>
              <w:bottom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right"/>
              <w:ind w:right="28"/>
              <w:spacing w:after="0"/>
              <w:rPr>
                <w:sz w:val="20"/>
                <w:szCs w:val="20"/>
                <w:color w:val="auto"/>
              </w:rPr>
            </w:pPr>
            <w:r>
              <w:rPr>
                <w:rFonts w:ascii="Arial" w:cs="Arial" w:eastAsia="Arial" w:hAnsi="Arial"/>
                <w:sz w:val="14"/>
                <w:szCs w:val="14"/>
                <w:b w:val="1"/>
                <w:bCs w:val="1"/>
                <w:color w:val="auto"/>
                <w:w w:val="99"/>
              </w:rPr>
              <w:t>Common Stock</w:t>
            </w:r>
          </w:p>
        </w:tc>
        <w:tc>
          <w:tcPr>
            <w:tcW w:w="3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Paid-in</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18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82"/>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20" w:type="dxa"/>
            <w:vAlign w:val="bottom"/>
            <w:tcBorders>
              <w:bottom w:val="single" w:sz="8" w:color="auto"/>
              <w:right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261"/>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39"/>
              <w:spacing w:after="0" w:line="155"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FF0FC"/>
            </w:tcBorders>
            <w:gridSpan w:val="2"/>
          </w:tcPr>
          <w:p>
            <w:pPr>
              <w:spacing w:after="0"/>
              <w:rPr>
                <w:sz w:val="13"/>
                <w:szCs w:val="13"/>
                <w:color w:val="auto"/>
              </w:rPr>
            </w:pPr>
          </w:p>
        </w:tc>
        <w:tc>
          <w:tcPr>
            <w:tcW w:w="1060" w:type="dxa"/>
            <w:vAlign w:val="bottom"/>
            <w:tcBorders>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w w:val="92"/>
              </w:rPr>
              <w:t>(Loss) Income</w:t>
            </w: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w w:val="93"/>
              </w:rPr>
              <w:t>Deficit</w:t>
            </w:r>
          </w:p>
        </w:tc>
        <w:tc>
          <w:tcPr>
            <w:tcW w:w="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00"/>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BALANCE—June 30,</w:t>
            </w: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40" w:type="dxa"/>
            <w:vAlign w:val="bottom"/>
            <w:shd w:val="clear" w:color="auto" w:fill="CFF0FC"/>
          </w:tcPr>
          <w:p>
            <w:pPr>
              <w:spacing w:after="0"/>
              <w:rPr>
                <w:sz w:val="20"/>
                <w:szCs w:val="20"/>
                <w:color w:val="auto"/>
              </w:rPr>
            </w:pPr>
            <w:r>
              <w:rPr>
                <w:rFonts w:ascii="Arial" w:cs="Arial" w:eastAsia="Arial" w:hAnsi="Arial"/>
                <w:sz w:val="16"/>
                <w:szCs w:val="16"/>
                <w:color w:val="auto"/>
              </w:rPr>
              <w:t>2019</w:t>
            </w: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
              <w:spacing w:after="0"/>
              <w:rPr>
                <w:sz w:val="20"/>
                <w:szCs w:val="20"/>
                <w:color w:val="auto"/>
              </w:rPr>
            </w:pPr>
            <w:r>
              <w:rPr>
                <w:rFonts w:ascii="Arial" w:cs="Arial" w:eastAsia="Arial" w:hAnsi="Arial"/>
                <w:sz w:val="16"/>
                <w:szCs w:val="16"/>
                <w:color w:val="auto"/>
                <w:w w:val="96"/>
              </w:rPr>
              <w:t>179,011,431</w:t>
            </w:r>
          </w:p>
        </w:tc>
        <w:tc>
          <w:tcPr>
            <w:tcW w:w="60" w:type="dxa"/>
            <w:vAlign w:val="bottom"/>
            <w:shd w:val="clear" w:color="auto" w:fill="CFF0FC"/>
          </w:tcPr>
          <w:p>
            <w:pPr>
              <w:spacing w:after="0"/>
              <w:rPr>
                <w:sz w:val="18"/>
                <w:szCs w:val="18"/>
                <w:color w:val="auto"/>
              </w:rPr>
            </w:pPr>
          </w:p>
        </w:tc>
        <w:tc>
          <w:tcPr>
            <w:tcW w:w="840" w:type="dxa"/>
            <w:vAlign w:val="bottom"/>
            <w:tcBorders>
              <w:right w:val="single" w:sz="8" w:color="auto"/>
            </w:tcBorders>
            <w:gridSpan w:val="4"/>
            <w:shd w:val="clear" w:color="auto" w:fill="CFF0FC"/>
          </w:tcPr>
          <w:p>
            <w:pPr>
              <w:jc w:val="right"/>
              <w:ind w:right="40"/>
              <w:spacing w:after="0"/>
              <w:rPr>
                <w:sz w:val="20"/>
                <w:szCs w:val="20"/>
                <w:color w:val="auto"/>
              </w:rPr>
            </w:pPr>
            <w:r>
              <w:rPr>
                <w:rFonts w:ascii="Arial" w:cs="Arial" w:eastAsia="Arial" w:hAnsi="Arial"/>
                <w:sz w:val="16"/>
                <w:szCs w:val="16"/>
                <w:color w:val="auto"/>
                <w:w w:val="98"/>
              </w:rPr>
              <w:t>$ 140,752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w w:val="89"/>
              </w:rPr>
              <w:t>86,823,234</w:t>
            </w:r>
          </w:p>
        </w:tc>
        <w:tc>
          <w:tcPr>
            <w:tcW w:w="420" w:type="dxa"/>
            <w:vAlign w:val="bottom"/>
            <w:gridSpan w:val="3"/>
            <w:shd w:val="clear" w:color="auto" w:fill="CFF0FC"/>
          </w:tcPr>
          <w:p>
            <w:pPr>
              <w:jc w:val="right"/>
              <w:ind w:right="188"/>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w w:val="98"/>
              </w:rPr>
              <w:t>41,132</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(120,346)</w:t>
            </w:r>
          </w:p>
        </w:tc>
        <w:tc>
          <w:tcPr>
            <w:tcW w:w="80" w:type="dxa"/>
            <w:vAlign w:val="bottom"/>
            <w:shd w:val="clear" w:color="auto" w:fill="CFF0FC"/>
          </w:tcPr>
          <w:p>
            <w:pPr>
              <w:spacing w:after="0"/>
              <w:rPr>
                <w:sz w:val="18"/>
                <w:szCs w:val="18"/>
                <w:color w:val="auto"/>
              </w:rPr>
            </w:pPr>
          </w:p>
        </w:tc>
        <w:tc>
          <w:tcPr>
            <w:tcW w:w="10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89"/>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(79,223)</w:t>
            </w:r>
          </w:p>
        </w:tc>
        <w:tc>
          <w:tcPr>
            <w:tcW w:w="0" w:type="dxa"/>
            <w:vAlign w:val="bottom"/>
          </w:tcPr>
          <w:p>
            <w:pPr>
              <w:spacing w:after="0"/>
              <w:rPr>
                <w:sz w:val="1"/>
                <w:szCs w:val="1"/>
                <w:color w:val="auto"/>
              </w:rPr>
            </w:pPr>
          </w:p>
        </w:tc>
      </w:tr>
      <w:tr>
        <w:trPr>
          <w:trHeight w:val="206"/>
        </w:trPr>
        <w:tc>
          <w:tcPr>
            <w:tcW w:w="1920" w:type="dxa"/>
            <w:vAlign w:val="bottom"/>
            <w:gridSpan w:val="2"/>
          </w:tcPr>
          <w:p>
            <w:pPr>
              <w:spacing w:after="0"/>
              <w:rPr>
                <w:sz w:val="20"/>
                <w:szCs w:val="20"/>
                <w:color w:val="auto"/>
              </w:rPr>
            </w:pPr>
            <w:r>
              <w:rPr>
                <w:rFonts w:ascii="Arial" w:cs="Arial" w:eastAsia="Arial" w:hAnsi="Arial"/>
                <w:sz w:val="16"/>
                <w:szCs w:val="16"/>
                <w:color w:val="auto"/>
              </w:rPr>
              <w:t>Issuance of common stock</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gridSpan w:val="2"/>
          </w:tcPr>
          <w:p>
            <w:pPr>
              <w:spacing w:after="0"/>
              <w:rPr>
                <w:sz w:val="20"/>
                <w:szCs w:val="20"/>
                <w:color w:val="auto"/>
              </w:rPr>
            </w:pPr>
            <w:r>
              <w:rPr>
                <w:rFonts w:ascii="Arial" w:cs="Arial" w:eastAsia="Arial" w:hAnsi="Arial"/>
                <w:sz w:val="16"/>
                <w:szCs w:val="16"/>
                <w:color w:val="auto"/>
              </w:rPr>
              <w:t>upon exercise of stock</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gridSpan w:val="2"/>
          </w:tcPr>
          <w:p>
            <w:pPr>
              <w:ind w:left="120"/>
              <w:spacing w:after="0"/>
              <w:rPr>
                <w:sz w:val="20"/>
                <w:szCs w:val="20"/>
                <w:color w:val="auto"/>
              </w:rPr>
            </w:pPr>
            <w:r>
              <w:rPr>
                <w:rFonts w:ascii="Arial" w:cs="Arial" w:eastAsia="Arial" w:hAnsi="Arial"/>
                <w:sz w:val="16"/>
                <w:szCs w:val="16"/>
                <w:color w:val="auto"/>
              </w:rPr>
              <w:t>options</w:t>
            </w:r>
          </w:p>
        </w:tc>
        <w:tc>
          <w:tcPr>
            <w:tcW w:w="3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6"/>
                <w:szCs w:val="16"/>
                <w:color w:val="auto"/>
              </w:rPr>
              <w:t>2,278,410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2,106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2,106</w:t>
            </w:r>
          </w:p>
        </w:tc>
        <w:tc>
          <w:tcPr>
            <w:tcW w:w="0" w:type="dxa"/>
            <w:vAlign w:val="bottom"/>
          </w:tcPr>
          <w:p>
            <w:pPr>
              <w:spacing w:after="0"/>
              <w:rPr>
                <w:sz w:val="1"/>
                <w:szCs w:val="1"/>
                <w:color w:val="auto"/>
              </w:rPr>
            </w:pPr>
          </w:p>
        </w:tc>
      </w:tr>
      <w:tr>
        <w:trPr>
          <w:trHeight w:val="209"/>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Vesting of early exercised</w:t>
            </w: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 options</w:t>
            </w:r>
          </w:p>
        </w:tc>
        <w:tc>
          <w:tcPr>
            <w:tcW w:w="3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tcBorders>
              <w:right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1,177</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213"/>
        </w:trPr>
        <w:tc>
          <w:tcPr>
            <w:tcW w:w="1920" w:type="dxa"/>
            <w:vAlign w:val="bottom"/>
            <w:gridSpan w:val="2"/>
          </w:tcPr>
          <w:p>
            <w:pPr>
              <w:spacing w:after="0"/>
              <w:rPr>
                <w:sz w:val="20"/>
                <w:szCs w:val="20"/>
                <w:color w:val="auto"/>
              </w:rPr>
            </w:pPr>
            <w:r>
              <w:rPr>
                <w:rFonts w:ascii="Arial" w:cs="Arial" w:eastAsia="Arial" w:hAnsi="Arial"/>
                <w:sz w:val="16"/>
                <w:szCs w:val="16"/>
                <w:color w:val="auto"/>
                <w:w w:val="98"/>
              </w:rPr>
              <w:t>Stock-based compensation</w:t>
            </w:r>
          </w:p>
        </w:tc>
        <w:tc>
          <w:tcPr>
            <w:tcW w:w="3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4,691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4,691</w:t>
            </w:r>
          </w:p>
        </w:tc>
        <w:tc>
          <w:tcPr>
            <w:tcW w:w="0" w:type="dxa"/>
            <w:vAlign w:val="bottom"/>
          </w:tcPr>
          <w:p>
            <w:pPr>
              <w:spacing w:after="0"/>
              <w:rPr>
                <w:sz w:val="1"/>
                <w:szCs w:val="1"/>
                <w:color w:val="auto"/>
              </w:rPr>
            </w:pPr>
          </w:p>
        </w:tc>
      </w:tr>
      <w:tr>
        <w:trPr>
          <w:trHeight w:val="209"/>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Issuance of class A</w:t>
            </w: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 in</w:t>
            </w: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connection with</w:t>
            </w: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initial public offering,</w:t>
            </w: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of underwriting</w:t>
            </w: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discounts</w:t>
            </w: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and issuance costs</w:t>
            </w:r>
          </w:p>
        </w:tc>
        <w:tc>
          <w:tcPr>
            <w:tcW w:w="3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tcBorders>
              <w:right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21"/>
              <w:spacing w:after="0"/>
              <w:rPr>
                <w:sz w:val="20"/>
                <w:szCs w:val="20"/>
                <w:color w:val="auto"/>
              </w:rPr>
            </w:pPr>
            <w:r>
              <w:rPr>
                <w:rFonts w:ascii="Arial" w:cs="Arial" w:eastAsia="Arial" w:hAnsi="Arial"/>
                <w:sz w:val="16"/>
                <w:szCs w:val="16"/>
                <w:color w:val="auto"/>
                <w:w w:val="89"/>
              </w:rPr>
              <w:t>27,600,000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705,937</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705,938</w:t>
            </w:r>
          </w:p>
        </w:tc>
        <w:tc>
          <w:tcPr>
            <w:tcW w:w="0" w:type="dxa"/>
            <w:vAlign w:val="bottom"/>
          </w:tcPr>
          <w:p>
            <w:pPr>
              <w:spacing w:after="0"/>
              <w:rPr>
                <w:sz w:val="1"/>
                <w:szCs w:val="1"/>
                <w:color w:val="auto"/>
              </w:rPr>
            </w:pPr>
          </w:p>
        </w:tc>
      </w:tr>
      <w:tr>
        <w:trPr>
          <w:trHeight w:val="206"/>
        </w:trPr>
        <w:tc>
          <w:tcPr>
            <w:tcW w:w="1920" w:type="dxa"/>
            <w:vAlign w:val="bottom"/>
            <w:gridSpan w:val="2"/>
          </w:tcPr>
          <w:p>
            <w:pPr>
              <w:spacing w:after="0"/>
              <w:rPr>
                <w:sz w:val="20"/>
                <w:szCs w:val="20"/>
                <w:color w:val="auto"/>
              </w:rPr>
            </w:pPr>
            <w:r>
              <w:rPr>
                <w:rFonts w:ascii="Arial" w:cs="Arial" w:eastAsia="Arial" w:hAnsi="Arial"/>
                <w:sz w:val="16"/>
                <w:szCs w:val="16"/>
                <w:color w:val="auto"/>
              </w:rPr>
              <w:t>Conversion of convertible</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gridSpan w:val="2"/>
          </w:tcPr>
          <w:p>
            <w:pPr>
              <w:spacing w:after="0"/>
              <w:rPr>
                <w:sz w:val="20"/>
                <w:szCs w:val="20"/>
                <w:color w:val="auto"/>
              </w:rPr>
            </w:pPr>
            <w:r>
              <w:rPr>
                <w:rFonts w:ascii="Arial" w:cs="Arial" w:eastAsia="Arial" w:hAnsi="Arial"/>
                <w:sz w:val="16"/>
                <w:szCs w:val="16"/>
                <w:color w:val="auto"/>
              </w:rPr>
              <w:t>preferred stock to</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gridSpan w:val="2"/>
          </w:tcPr>
          <w:p>
            <w:pPr>
              <w:ind w:left="120"/>
              <w:spacing w:after="0"/>
              <w:rPr>
                <w:sz w:val="20"/>
                <w:szCs w:val="20"/>
                <w:color w:val="auto"/>
              </w:rPr>
            </w:pPr>
            <w:r>
              <w:rPr>
                <w:rFonts w:ascii="Arial" w:cs="Arial" w:eastAsia="Arial" w:hAnsi="Arial"/>
                <w:sz w:val="16"/>
                <w:szCs w:val="16"/>
                <w:color w:val="auto"/>
              </w:rPr>
              <w:t>common stock in</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gridSpan w:val="2"/>
          </w:tcPr>
          <w:p>
            <w:pPr>
              <w:spacing w:after="0"/>
              <w:rPr>
                <w:sz w:val="20"/>
                <w:szCs w:val="20"/>
                <w:color w:val="auto"/>
              </w:rPr>
            </w:pPr>
            <w:r>
              <w:rPr>
                <w:rFonts w:ascii="Arial" w:cs="Arial" w:eastAsia="Arial" w:hAnsi="Arial"/>
                <w:sz w:val="16"/>
                <w:szCs w:val="16"/>
                <w:color w:val="auto"/>
              </w:rPr>
              <w:t>connection with initial</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gridSpan w:val="2"/>
          </w:tcPr>
          <w:p>
            <w:pPr>
              <w:spacing w:after="0"/>
              <w:rPr>
                <w:sz w:val="20"/>
                <w:szCs w:val="20"/>
                <w:color w:val="auto"/>
              </w:rPr>
            </w:pPr>
            <w:r>
              <w:rPr>
                <w:rFonts w:ascii="Arial" w:cs="Arial" w:eastAsia="Arial" w:hAnsi="Arial"/>
                <w:sz w:val="16"/>
                <w:szCs w:val="16"/>
                <w:color w:val="auto"/>
              </w:rPr>
              <w:t>public</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gridSpan w:val="2"/>
          </w:tcPr>
          <w:p>
            <w:pPr>
              <w:ind w:left="120"/>
              <w:spacing w:after="0"/>
              <w:rPr>
                <w:sz w:val="20"/>
                <w:szCs w:val="20"/>
                <w:color w:val="auto"/>
              </w:rPr>
            </w:pPr>
            <w:r>
              <w:rPr>
                <w:rFonts w:ascii="Arial" w:cs="Arial" w:eastAsia="Arial" w:hAnsi="Arial"/>
                <w:sz w:val="16"/>
                <w:szCs w:val="16"/>
                <w:color w:val="auto"/>
              </w:rPr>
              <w:t>offering</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w w:val="92"/>
              </w:rPr>
              <w:t>(179,011,431)</w:t>
            </w:r>
          </w:p>
        </w:tc>
        <w:tc>
          <w:tcPr>
            <w:tcW w:w="60" w:type="dxa"/>
            <w:vAlign w:val="bottom"/>
          </w:tcPr>
          <w:p>
            <w:pPr>
              <w:spacing w:after="0"/>
              <w:rPr>
                <w:sz w:val="18"/>
                <w:szCs w:val="18"/>
                <w:color w:val="auto"/>
              </w:rPr>
            </w:pPr>
          </w:p>
        </w:tc>
        <w:tc>
          <w:tcPr>
            <w:tcW w:w="840" w:type="dxa"/>
            <w:vAlign w:val="bottom"/>
            <w:tcBorders>
              <w:right w:val="single" w:sz="8" w:color="auto"/>
            </w:tcBorders>
            <w:gridSpan w:val="4"/>
          </w:tcPr>
          <w:p>
            <w:pPr>
              <w:jc w:val="right"/>
              <w:spacing w:after="0"/>
              <w:rPr>
                <w:sz w:val="20"/>
                <w:szCs w:val="20"/>
                <w:color w:val="auto"/>
              </w:rPr>
            </w:pPr>
            <w:r>
              <w:rPr>
                <w:rFonts w:ascii="Arial" w:cs="Arial" w:eastAsia="Arial" w:hAnsi="Arial"/>
                <w:sz w:val="16"/>
                <w:szCs w:val="16"/>
                <w:color w:val="auto"/>
              </w:rPr>
              <w:t>(140,752)</w:t>
            </w:r>
          </w:p>
        </w:tc>
        <w:tc>
          <w:tcPr>
            <w:tcW w:w="1060" w:type="dxa"/>
            <w:vAlign w:val="bottom"/>
            <w:gridSpan w:val="5"/>
          </w:tcPr>
          <w:p>
            <w:pPr>
              <w:jc w:val="right"/>
              <w:ind w:right="21"/>
              <w:spacing w:after="0"/>
              <w:rPr>
                <w:sz w:val="20"/>
                <w:szCs w:val="20"/>
                <w:color w:val="auto"/>
              </w:rPr>
            </w:pPr>
            <w:r>
              <w:rPr>
                <w:rFonts w:ascii="Arial" w:cs="Arial" w:eastAsia="Arial" w:hAnsi="Arial"/>
                <w:sz w:val="16"/>
                <w:szCs w:val="16"/>
                <w:color w:val="auto"/>
              </w:rPr>
              <w:t>179,011,431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6"/>
                <w:szCs w:val="16"/>
                <w:color w:val="auto"/>
              </w:rPr>
              <w:t>140,750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140,752</w:t>
            </w:r>
          </w:p>
        </w:tc>
        <w:tc>
          <w:tcPr>
            <w:tcW w:w="0" w:type="dxa"/>
            <w:vAlign w:val="bottom"/>
          </w:tcPr>
          <w:p>
            <w:pPr>
              <w:spacing w:after="0"/>
              <w:rPr>
                <w:sz w:val="1"/>
                <w:szCs w:val="1"/>
                <w:color w:val="auto"/>
              </w:rPr>
            </w:pPr>
          </w:p>
        </w:tc>
      </w:tr>
      <w:tr>
        <w:trPr>
          <w:trHeight w:val="209"/>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Change in accumulated</w:t>
            </w: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comprehensive</w:t>
            </w: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(loss) income</w:t>
            </w:r>
          </w:p>
        </w:tc>
        <w:tc>
          <w:tcPr>
            <w:tcW w:w="3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tcBorders>
              <w:right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6"/>
        </w:trPr>
        <w:tc>
          <w:tcPr>
            <w:tcW w:w="1920" w:type="dxa"/>
            <w:vAlign w:val="bottom"/>
            <w:gridSpan w:val="2"/>
          </w:tcPr>
          <w:p>
            <w:pPr>
              <w:spacing w:after="0"/>
              <w:rPr>
                <w:sz w:val="20"/>
                <w:szCs w:val="20"/>
                <w:color w:val="auto"/>
              </w:rPr>
            </w:pPr>
            <w:r>
              <w:rPr>
                <w:rFonts w:ascii="Arial" w:cs="Arial" w:eastAsia="Arial" w:hAnsi="Arial"/>
                <w:sz w:val="16"/>
                <w:szCs w:val="16"/>
                <w:color w:val="auto"/>
              </w:rPr>
              <w:t>Reclassification of</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gridSpan w:val="2"/>
          </w:tcPr>
          <w:p>
            <w:pPr>
              <w:spacing w:after="0"/>
              <w:rPr>
                <w:sz w:val="20"/>
                <w:szCs w:val="20"/>
                <w:color w:val="auto"/>
              </w:rPr>
            </w:pPr>
            <w:r>
              <w:rPr>
                <w:rFonts w:ascii="Arial" w:cs="Arial" w:eastAsia="Arial" w:hAnsi="Arial"/>
                <w:sz w:val="16"/>
                <w:szCs w:val="16"/>
                <w:color w:val="auto"/>
              </w:rPr>
              <w:t>common stock to class A</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gridSpan w:val="2"/>
          </w:tcPr>
          <w:p>
            <w:pPr>
              <w:spacing w:after="0"/>
              <w:rPr>
                <w:sz w:val="20"/>
                <w:szCs w:val="20"/>
                <w:color w:val="auto"/>
              </w:rPr>
            </w:pPr>
            <w:r>
              <w:rPr>
                <w:rFonts w:ascii="Arial" w:cs="Arial" w:eastAsia="Arial" w:hAnsi="Arial"/>
                <w:sz w:val="16"/>
                <w:szCs w:val="16"/>
                <w:color w:val="auto"/>
              </w:rPr>
              <w:t>and class B</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gridSpan w:val="2"/>
          </w:tcPr>
          <w:p>
            <w:pPr>
              <w:ind w:left="120"/>
              <w:spacing w:after="0"/>
              <w:rPr>
                <w:sz w:val="20"/>
                <w:szCs w:val="20"/>
                <w:color w:val="auto"/>
              </w:rPr>
            </w:pPr>
            <w:r>
              <w:rPr>
                <w:rFonts w:ascii="Arial" w:cs="Arial" w:eastAsia="Arial" w:hAnsi="Arial"/>
                <w:sz w:val="16"/>
                <w:szCs w:val="16"/>
                <w:color w:val="auto"/>
              </w:rPr>
              <w:t>common stock</w:t>
            </w:r>
          </w:p>
        </w:tc>
        <w:tc>
          <w:tcPr>
            <w:tcW w:w="3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21"/>
              <w:spacing w:after="0"/>
              <w:rPr>
                <w:sz w:val="20"/>
                <w:szCs w:val="20"/>
                <w:color w:val="auto"/>
              </w:rPr>
            </w:pPr>
            <w:r>
              <w:rPr>
                <w:rFonts w:ascii="Arial" w:cs="Arial" w:eastAsia="Arial" w:hAnsi="Arial"/>
                <w:sz w:val="16"/>
                <w:szCs w:val="16"/>
                <w:color w:val="auto"/>
                <w:w w:val="89"/>
              </w:rPr>
              <w:t>89,101,644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5"/>
          </w:tcPr>
          <w:p>
            <w:pPr>
              <w:jc w:val="right"/>
              <w:spacing w:after="0"/>
              <w:rPr>
                <w:sz w:val="20"/>
                <w:szCs w:val="20"/>
                <w:color w:val="auto"/>
              </w:rPr>
            </w:pPr>
            <w:r>
              <w:rPr>
                <w:rFonts w:ascii="Arial" w:cs="Arial" w:eastAsia="Arial" w:hAnsi="Arial"/>
                <w:sz w:val="16"/>
                <w:szCs w:val="16"/>
                <w:color w:val="auto"/>
              </w:rPr>
              <w:t>(89,101,644)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8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right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gridSpan w:val="2"/>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gridSpan w:val="2"/>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(4,161)</w:t>
            </w:r>
          </w:p>
        </w:tc>
        <w:tc>
          <w:tcPr>
            <w:tcW w:w="80" w:type="dxa"/>
            <w:vAlign w:val="bottom"/>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(4,161)</w:t>
            </w:r>
          </w:p>
        </w:tc>
        <w:tc>
          <w:tcPr>
            <w:tcW w:w="0" w:type="dxa"/>
            <w:vAlign w:val="bottom"/>
          </w:tcPr>
          <w:p>
            <w:pPr>
              <w:spacing w:after="0"/>
              <w:rPr>
                <w:sz w:val="1"/>
                <w:szCs w:val="1"/>
                <w:color w:val="auto"/>
              </w:rPr>
            </w:pPr>
          </w:p>
        </w:tc>
      </w:tr>
      <w:tr>
        <w:trPr>
          <w:trHeight w:val="203"/>
        </w:trPr>
        <w:tc>
          <w:tcPr>
            <w:tcW w:w="1920" w:type="dxa"/>
            <w:vAlign w:val="bottom"/>
            <w:gridSpan w:val="2"/>
          </w:tcPr>
          <w:p>
            <w:pPr>
              <w:spacing w:after="0"/>
              <w:rPr>
                <w:sz w:val="20"/>
                <w:szCs w:val="20"/>
                <w:color w:val="auto"/>
              </w:rPr>
            </w:pPr>
            <w:r>
              <w:rPr>
                <w:rFonts w:ascii="Arial" w:cs="Arial" w:eastAsia="Arial" w:hAnsi="Arial"/>
                <w:sz w:val="16"/>
                <w:szCs w:val="16"/>
                <w:color w:val="auto"/>
              </w:rPr>
              <w:t>BALANCE—September</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40" w:type="dxa"/>
            <w:vAlign w:val="bottom"/>
          </w:tcPr>
          <w:p>
            <w:pPr>
              <w:spacing w:after="0"/>
              <w:rPr>
                <w:sz w:val="20"/>
                <w:szCs w:val="20"/>
                <w:color w:val="auto"/>
              </w:rPr>
            </w:pPr>
            <w:r>
              <w:rPr>
                <w:rFonts w:ascii="Arial" w:cs="Arial" w:eastAsia="Arial" w:hAnsi="Arial"/>
                <w:sz w:val="16"/>
                <w:szCs w:val="16"/>
                <w:color w:val="auto"/>
              </w:rPr>
              <w:t>30, 2019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4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5"/>
          </w:tcPr>
          <w:p>
            <w:pPr>
              <w:jc w:val="right"/>
              <w:ind w:right="21"/>
              <w:spacing w:after="0"/>
              <w:rPr>
                <w:sz w:val="20"/>
                <w:szCs w:val="20"/>
                <w:color w:val="auto"/>
              </w:rPr>
            </w:pPr>
            <w:r>
              <w:rPr>
                <w:rFonts w:ascii="Arial" w:cs="Arial" w:eastAsia="Arial" w:hAnsi="Arial"/>
                <w:sz w:val="16"/>
                <w:szCs w:val="16"/>
                <w:color w:val="auto"/>
              </w:rPr>
              <w:t>295,713,075</w:t>
            </w:r>
          </w:p>
        </w:tc>
        <w:tc>
          <w:tcPr>
            <w:tcW w:w="28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ind w:right="188"/>
              <w:spacing w:after="0"/>
              <w:rPr>
                <w:sz w:val="20"/>
                <w:szCs w:val="20"/>
                <w:color w:val="auto"/>
              </w:rPr>
            </w:pPr>
            <w:r>
              <w:rPr>
                <w:rFonts w:ascii="Arial" w:cs="Arial" w:eastAsia="Arial" w:hAnsi="Arial"/>
                <w:sz w:val="16"/>
                <w:szCs w:val="16"/>
                <w:color w:val="auto"/>
              </w:rPr>
              <w:t>$</w:t>
            </w:r>
          </w:p>
        </w:tc>
        <w:tc>
          <w:tcPr>
            <w:tcW w:w="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6"/>
                <w:szCs w:val="16"/>
                <w:color w:val="auto"/>
                <w:w w:val="87"/>
              </w:rPr>
              <w:t>$ 895,793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(124,507)</w:t>
            </w:r>
          </w:p>
        </w:tc>
        <w:tc>
          <w:tcPr>
            <w:tcW w:w="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6"/>
                <w:szCs w:val="16"/>
                <w:color w:val="auto"/>
                <w:w w:val="8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771,235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6"/>
            <w:vMerge w:val="restart"/>
          </w:tcPr>
          <w:p>
            <w:pPr>
              <w:jc w:val="right"/>
              <w:ind w:right="22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vMerge w:val="restart"/>
          </w:tcPr>
          <w:p>
            <w:pPr>
              <w:jc w:val="center"/>
              <w:ind w:left="160"/>
              <w:spacing w:after="0"/>
              <w:rPr>
                <w:sz w:val="20"/>
                <w:szCs w:val="20"/>
                <w:color w:val="auto"/>
              </w:rPr>
            </w:pPr>
            <w:r>
              <w:rPr>
                <w:rFonts w:ascii="Arial" w:cs="Arial" w:eastAsia="Arial" w:hAnsi="Arial"/>
                <w:sz w:val="14"/>
                <w:szCs w:val="14"/>
                <w:b w:val="1"/>
                <w:bCs w:val="1"/>
                <w:color w:val="auto"/>
                <w:w w:val="95"/>
              </w:rPr>
              <w:t>Non-Voting</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7"/>
                <w:szCs w:val="17"/>
                <w:color w:val="auto"/>
              </w:rPr>
            </w:pPr>
          </w:p>
        </w:tc>
        <w:tc>
          <w:tcPr>
            <w:tcW w:w="10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9"/>
        </w:trPr>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6"/>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Common Stock</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8"/>
              </w:rPr>
              <w:t>Comprehensive</w:t>
            </w:r>
          </w:p>
        </w:tc>
        <w:tc>
          <w:tcPr>
            <w:tcW w:w="8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56"/>
        </w:trPr>
        <w:tc>
          <w:tcPr>
            <w:tcW w:w="18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560" w:type="dxa"/>
            <w:vAlign w:val="bottom"/>
            <w:tcBorders>
              <w:top w:val="single" w:sz="8" w:color="auto"/>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w w:val="94"/>
              </w:rPr>
              <w:t>Shares</w:t>
            </w:r>
          </w:p>
        </w:tc>
        <w:tc>
          <w:tcPr>
            <w:tcW w:w="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w w:val="98"/>
              </w:rPr>
              <w:t>Amount</w:t>
            </w:r>
          </w:p>
        </w:tc>
        <w:tc>
          <w:tcPr>
            <w:tcW w:w="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0"/>
              </w:rPr>
              <w:t>(Loss) Income</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8"/>
              </w:rPr>
              <w:t>BALANCE—June 30, 2018</w:t>
            </w:r>
          </w:p>
        </w:tc>
        <w:tc>
          <w:tcPr>
            <w:tcW w:w="134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rPr>
              <w:t>179,814,912</w:t>
            </w:r>
          </w:p>
        </w:tc>
        <w:tc>
          <w:tcPr>
            <w:tcW w:w="1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87"/>
              </w:rPr>
              <w:t>$ 140,805</w:t>
            </w:r>
          </w:p>
        </w:tc>
        <w:tc>
          <w:tcPr>
            <w:tcW w:w="120" w:type="dxa"/>
            <w:vAlign w:val="bottom"/>
            <w:tcBorders>
              <w:right w:val="single" w:sz="8" w:color="auto"/>
            </w:tcBorders>
            <w:shd w:val="clear" w:color="auto" w:fill="CFF0FC"/>
          </w:tcPr>
          <w:p>
            <w:pPr>
              <w:spacing w:after="0"/>
              <w:rPr>
                <w:sz w:val="18"/>
                <w:szCs w:val="18"/>
                <w:color w:val="auto"/>
              </w:rPr>
            </w:pPr>
          </w:p>
        </w:tc>
        <w:tc>
          <w:tcPr>
            <w:tcW w:w="1000" w:type="dxa"/>
            <w:vAlign w:val="bottom"/>
            <w:gridSpan w:val="4"/>
            <w:shd w:val="clear" w:color="auto" w:fill="CFF0FC"/>
          </w:tcPr>
          <w:p>
            <w:pPr>
              <w:jc w:val="right"/>
              <w:ind w:right="28"/>
              <w:spacing w:after="0"/>
              <w:rPr>
                <w:sz w:val="20"/>
                <w:szCs w:val="20"/>
                <w:color w:val="auto"/>
              </w:rPr>
            </w:pPr>
            <w:r>
              <w:rPr>
                <w:rFonts w:ascii="Arial" w:cs="Arial" w:eastAsia="Arial" w:hAnsi="Arial"/>
                <w:sz w:val="16"/>
                <w:szCs w:val="16"/>
                <w:color w:val="auto"/>
              </w:rPr>
              <w:t>73,587,747</w:t>
            </w:r>
          </w:p>
        </w:tc>
        <w:tc>
          <w:tcPr>
            <w:tcW w:w="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gridSpan w:val="3"/>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25,652</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(95,646)</w:t>
            </w:r>
          </w:p>
        </w:tc>
        <w:tc>
          <w:tcPr>
            <w:tcW w:w="24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(70,000)</w:t>
            </w:r>
          </w:p>
        </w:tc>
        <w:tc>
          <w:tcPr>
            <w:tcW w:w="0" w:type="dxa"/>
            <w:vAlign w:val="bottom"/>
          </w:tcPr>
          <w:p>
            <w:pPr>
              <w:spacing w:after="0"/>
              <w:rPr>
                <w:sz w:val="1"/>
                <w:szCs w:val="1"/>
                <w:color w:val="auto"/>
              </w:rPr>
            </w:pPr>
          </w:p>
        </w:tc>
      </w:tr>
      <w:tr>
        <w:trPr>
          <w:trHeight w:val="206"/>
        </w:trPr>
        <w:tc>
          <w:tcPr>
            <w:tcW w:w="2940" w:type="dxa"/>
            <w:vAlign w:val="bottom"/>
            <w:gridSpan w:val="5"/>
          </w:tcPr>
          <w:p>
            <w:pPr>
              <w:spacing w:after="0"/>
              <w:rPr>
                <w:sz w:val="20"/>
                <w:szCs w:val="20"/>
                <w:color w:val="auto"/>
              </w:rPr>
            </w:pPr>
            <w:r>
              <w:rPr>
                <w:rFonts w:ascii="Arial" w:cs="Arial" w:eastAsia="Arial" w:hAnsi="Arial"/>
                <w:sz w:val="16"/>
                <w:szCs w:val="16"/>
                <w:color w:val="auto"/>
              </w:rPr>
              <w:t>Issuance of common stock upon</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gridSpan w:val="2"/>
          </w:tcPr>
          <w:p>
            <w:pPr>
              <w:spacing w:after="0"/>
              <w:rPr>
                <w:sz w:val="20"/>
                <w:szCs w:val="20"/>
                <w:color w:val="auto"/>
              </w:rPr>
            </w:pPr>
            <w:r>
              <w:rPr>
                <w:rFonts w:ascii="Arial" w:cs="Arial" w:eastAsia="Arial" w:hAnsi="Arial"/>
                <w:sz w:val="16"/>
                <w:szCs w:val="16"/>
                <w:color w:val="auto"/>
              </w:rPr>
              <w:t>exercise of stock</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gridSpan w:val="2"/>
          </w:tcPr>
          <w:p>
            <w:pPr>
              <w:ind w:left="120"/>
              <w:spacing w:after="0"/>
              <w:rPr>
                <w:sz w:val="20"/>
                <w:szCs w:val="20"/>
                <w:color w:val="auto"/>
              </w:rPr>
            </w:pPr>
            <w:r>
              <w:rPr>
                <w:rFonts w:ascii="Arial" w:cs="Arial" w:eastAsia="Arial" w:hAnsi="Arial"/>
                <w:sz w:val="16"/>
                <w:szCs w:val="16"/>
                <w:color w:val="auto"/>
              </w:rPr>
              <w:t>options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28"/>
              <w:spacing w:after="0"/>
              <w:rPr>
                <w:sz w:val="20"/>
                <w:szCs w:val="20"/>
                <w:color w:val="auto"/>
              </w:rPr>
            </w:pPr>
            <w:r>
              <w:rPr>
                <w:rFonts w:ascii="Arial" w:cs="Arial" w:eastAsia="Arial" w:hAnsi="Arial"/>
                <w:sz w:val="16"/>
                <w:szCs w:val="16"/>
                <w:color w:val="auto"/>
              </w:rPr>
              <w:t>2,572,725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09"/>
        </w:trPr>
        <w:tc>
          <w:tcPr>
            <w:tcW w:w="294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Vesting of early exercised stock</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options</w:t>
            </w: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right w:val="single" w:sz="8" w:color="CFF0FC"/>
            </w:tcBorders>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3"/>
        </w:trPr>
        <w:tc>
          <w:tcPr>
            <w:tcW w:w="1920" w:type="dxa"/>
            <w:vAlign w:val="bottom"/>
            <w:gridSpan w:val="2"/>
          </w:tcPr>
          <w:p>
            <w:pPr>
              <w:spacing w:after="0"/>
              <w:rPr>
                <w:sz w:val="20"/>
                <w:szCs w:val="20"/>
                <w:color w:val="auto"/>
              </w:rPr>
            </w:pPr>
            <w:r>
              <w:rPr>
                <w:rFonts w:ascii="Arial" w:cs="Arial" w:eastAsia="Arial" w:hAnsi="Arial"/>
                <w:sz w:val="16"/>
                <w:szCs w:val="16"/>
                <w:color w:val="auto"/>
                <w:w w:val="98"/>
              </w:rPr>
              <w:t>Stock-based compensation</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1,369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09"/>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Conversion of non-voting</w:t>
            </w: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right w:val="single" w:sz="8" w:color="CFF0FC"/>
            </w:tcBorders>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920" w:type="dxa"/>
            <w:vAlign w:val="bottom"/>
            <w:gridSpan w:val="2"/>
          </w:tcPr>
          <w:p>
            <w:pPr>
              <w:spacing w:after="0"/>
              <w:rPr>
                <w:sz w:val="20"/>
                <w:szCs w:val="20"/>
                <w:color w:val="auto"/>
              </w:rPr>
            </w:pPr>
            <w:r>
              <w:rPr>
                <w:rFonts w:ascii="Arial" w:cs="Arial" w:eastAsia="Arial" w:hAnsi="Arial"/>
                <w:sz w:val="16"/>
                <w:szCs w:val="16"/>
                <w:color w:val="auto"/>
                <w:w w:val="90"/>
              </w:rPr>
              <w:t>Change in accumulated other</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gridSpan w:val="2"/>
          </w:tcPr>
          <w:p>
            <w:pPr>
              <w:spacing w:after="0"/>
              <w:rPr>
                <w:sz w:val="20"/>
                <w:szCs w:val="20"/>
                <w:color w:val="auto"/>
              </w:rPr>
            </w:pPr>
            <w:r>
              <w:rPr>
                <w:rFonts w:ascii="Arial" w:cs="Arial" w:eastAsia="Arial" w:hAnsi="Arial"/>
                <w:sz w:val="16"/>
                <w:szCs w:val="16"/>
                <w:color w:val="auto"/>
              </w:rPr>
              <w:t>comprehensive</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gridSpan w:val="2"/>
          </w:tcPr>
          <w:p>
            <w:pPr>
              <w:ind w:left="120"/>
              <w:spacing w:after="0"/>
              <w:rPr>
                <w:sz w:val="20"/>
                <w:szCs w:val="20"/>
                <w:color w:val="auto"/>
              </w:rPr>
            </w:pPr>
            <w:r>
              <w:rPr>
                <w:rFonts w:ascii="Arial" w:cs="Arial" w:eastAsia="Arial" w:hAnsi="Arial"/>
                <w:sz w:val="16"/>
                <w:szCs w:val="16"/>
                <w:color w:val="auto"/>
              </w:rPr>
              <w:t>(loss) income</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right w:val="single" w:sz="8" w:color="CFF0FC"/>
            </w:tcBorders>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(4,673)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(4,673)</w:t>
            </w:r>
          </w:p>
        </w:tc>
        <w:tc>
          <w:tcPr>
            <w:tcW w:w="0" w:type="dxa"/>
            <w:vAlign w:val="bottom"/>
          </w:tcPr>
          <w:p>
            <w:pPr>
              <w:spacing w:after="0"/>
              <w:rPr>
                <w:sz w:val="1"/>
                <w:szCs w:val="1"/>
                <w:color w:val="auto"/>
              </w:rPr>
            </w:pPr>
          </w:p>
        </w:tc>
      </w:tr>
      <w:tr>
        <w:trPr>
          <w:trHeight w:val="200"/>
        </w:trPr>
        <w:tc>
          <w:tcPr>
            <w:tcW w:w="1920" w:type="dxa"/>
            <w:vAlign w:val="bottom"/>
            <w:gridSpan w:val="2"/>
          </w:tcPr>
          <w:p>
            <w:pPr>
              <w:spacing w:after="0"/>
              <w:rPr>
                <w:sz w:val="20"/>
                <w:szCs w:val="20"/>
                <w:color w:val="auto"/>
              </w:rPr>
            </w:pPr>
            <w:r>
              <w:rPr>
                <w:rFonts w:ascii="Arial" w:cs="Arial" w:eastAsia="Arial" w:hAnsi="Arial"/>
                <w:sz w:val="16"/>
                <w:szCs w:val="16"/>
                <w:color w:val="auto"/>
                <w:w w:val="97"/>
              </w:rPr>
              <w:t>BALANCE—September 30,</w:t>
            </w:r>
          </w:p>
        </w:tc>
        <w:tc>
          <w:tcPr>
            <w:tcW w:w="3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40" w:type="dxa"/>
            <w:vAlign w:val="bottom"/>
          </w:tcPr>
          <w:p>
            <w:pPr>
              <w:spacing w:after="0"/>
              <w:rPr>
                <w:sz w:val="20"/>
                <w:szCs w:val="20"/>
                <w:color w:val="auto"/>
              </w:rPr>
            </w:pPr>
            <w:r>
              <w:rPr>
                <w:rFonts w:ascii="Arial" w:cs="Arial" w:eastAsia="Arial" w:hAnsi="Arial"/>
                <w:sz w:val="16"/>
                <w:szCs w:val="16"/>
                <w:color w:val="auto"/>
              </w:rPr>
              <w:t>2018</w:t>
            </w:r>
          </w:p>
        </w:tc>
        <w:tc>
          <w:tcPr>
            <w:tcW w:w="80" w:type="dxa"/>
            <w:vAlign w:val="bottom"/>
          </w:tcPr>
          <w:p>
            <w:pPr>
              <w:spacing w:after="0"/>
              <w:rPr>
                <w:sz w:val="18"/>
                <w:szCs w:val="18"/>
                <w:color w:val="auto"/>
              </w:rPr>
            </w:pPr>
          </w:p>
        </w:tc>
        <w:tc>
          <w:tcPr>
            <w:tcW w:w="1340" w:type="dxa"/>
            <w:vAlign w:val="bottom"/>
            <w:gridSpan w:val="5"/>
          </w:tcPr>
          <w:p>
            <w:pPr>
              <w:jc w:val="right"/>
              <w:ind w:right="20"/>
              <w:spacing w:after="0"/>
              <w:rPr>
                <w:sz w:val="20"/>
                <w:szCs w:val="20"/>
                <w:color w:val="auto"/>
              </w:rPr>
            </w:pPr>
            <w:r>
              <w:rPr>
                <w:rFonts w:ascii="Arial" w:cs="Arial" w:eastAsia="Arial" w:hAnsi="Arial"/>
                <w:sz w:val="16"/>
                <w:szCs w:val="16"/>
                <w:color w:val="auto"/>
              </w:rPr>
              <w:t>179,814,912</w:t>
            </w: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w w:val="87"/>
              </w:rPr>
              <w:t>$ 140,805</w:t>
            </w:r>
          </w:p>
        </w:tc>
        <w:tc>
          <w:tcPr>
            <w:tcW w:w="12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28"/>
              <w:spacing w:after="0"/>
              <w:rPr>
                <w:sz w:val="20"/>
                <w:szCs w:val="20"/>
                <w:color w:val="auto"/>
              </w:rPr>
            </w:pPr>
            <w:r>
              <w:rPr>
                <w:rFonts w:ascii="Arial" w:cs="Arial" w:eastAsia="Arial" w:hAnsi="Arial"/>
                <w:sz w:val="16"/>
                <w:szCs w:val="16"/>
                <w:color w:val="auto"/>
              </w:rPr>
              <w:t>76,160,472</w:t>
            </w:r>
          </w:p>
        </w:tc>
        <w:tc>
          <w:tcPr>
            <w:tcW w:w="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ind w:right="168"/>
              <w:spacing w:after="0"/>
              <w:rPr>
                <w:sz w:val="20"/>
                <w:szCs w:val="20"/>
                <w:color w:val="auto"/>
              </w:rPr>
            </w:pPr>
            <w:r>
              <w:rPr>
                <w:rFonts w:ascii="Arial" w:cs="Arial" w:eastAsia="Arial" w:hAnsi="Arial"/>
                <w:sz w:val="16"/>
                <w:szCs w:val="16"/>
                <w:color w:val="auto"/>
              </w:rPr>
              <w:t>$</w:t>
            </w:r>
          </w:p>
        </w:tc>
        <w:tc>
          <w:tcPr>
            <w:tcW w:w="4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27,563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(16)</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(100,319)</w:t>
            </w:r>
          </w:p>
        </w:tc>
        <w:tc>
          <w:tcPr>
            <w:tcW w:w="240" w:type="dxa"/>
            <w:vAlign w:val="bottom"/>
            <w:gridSpan w:val="4"/>
          </w:tcPr>
          <w:p>
            <w:pPr>
              <w:ind w:lef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(72,772)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5040"/>
        <w:spacing w:after="0"/>
        <w:rPr>
          <w:sz w:val="20"/>
          <w:szCs w:val="20"/>
          <w:color w:val="auto"/>
        </w:rPr>
      </w:pPr>
      <w:r>
        <w:rPr>
          <w:rFonts w:ascii="Arial" w:cs="Arial" w:eastAsia="Arial" w:hAnsi="Arial"/>
          <w:sz w:val="18"/>
          <w:szCs w:val="18"/>
          <w:b w:val="1"/>
          <w:bCs w:val="1"/>
          <w:color w:val="auto"/>
        </w:rPr>
        <w:t>DATADOG, INC.</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Borders>
              <w:right w:val="single" w:sz="8" w:color="auto"/>
            </w:tcBorders>
            <w:gridSpan w:val="7"/>
            <w:vMerge w:val="restart"/>
          </w:tcPr>
          <w:p>
            <w:pPr>
              <w:jc w:val="right"/>
              <w:ind w:right="600"/>
              <w:spacing w:after="0"/>
              <w:rPr>
                <w:sz w:val="20"/>
                <w:szCs w:val="20"/>
                <w:color w:val="auto"/>
              </w:rPr>
            </w:pPr>
            <w:r>
              <w:rPr>
                <w:rFonts w:ascii="Arial" w:cs="Arial" w:eastAsia="Arial" w:hAnsi="Arial"/>
                <w:sz w:val="14"/>
                <w:szCs w:val="14"/>
                <w:b w:val="1"/>
                <w:bCs w:val="1"/>
                <w:color w:val="auto"/>
              </w:rPr>
              <w:t>Convertible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1"/>
              </w:rPr>
              <w:t>Class A and Class B</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Borders>
              <w:right w:val="single" w:sz="8" w:color="auto"/>
            </w:tcBorders>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right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gridSpan w:val="6"/>
          </w:tcPr>
          <w:p>
            <w:pPr>
              <w:ind w:left="2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203"/>
              <w:spacing w:after="0" w:line="155"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right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241"/>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Capital</w:t>
            </w:r>
          </w:p>
        </w:tc>
        <w:tc>
          <w:tcPr>
            <w:tcW w:w="110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88"/>
              </w:rPr>
              <w:t>Deficit</w:t>
            </w:r>
          </w:p>
        </w:tc>
        <w:tc>
          <w:tcPr>
            <w:tcW w:w="106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00"/>
        </w:trPr>
        <w:tc>
          <w:tcPr>
            <w:tcW w:w="1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BALANCE—December 31,</w:t>
            </w: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right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right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2018</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179,814,912</w:t>
            </w:r>
          </w:p>
        </w:tc>
        <w:tc>
          <w:tcPr>
            <w:tcW w:w="980" w:type="dxa"/>
            <w:vAlign w:val="bottom"/>
            <w:tcBorders>
              <w:right w:val="single" w:sz="8" w:color="auto"/>
            </w:tcBorders>
            <w:gridSpan w:val="6"/>
            <w:shd w:val="clear" w:color="auto" w:fill="CFF0FC"/>
          </w:tcPr>
          <w:p>
            <w:pPr>
              <w:jc w:val="right"/>
              <w:ind w:right="60"/>
              <w:spacing w:after="0"/>
              <w:rPr>
                <w:sz w:val="20"/>
                <w:szCs w:val="20"/>
                <w:color w:val="auto"/>
              </w:rPr>
            </w:pPr>
            <w:r>
              <w:rPr>
                <w:rFonts w:ascii="Arial" w:cs="Arial" w:eastAsia="Arial" w:hAnsi="Arial"/>
                <w:sz w:val="16"/>
                <w:szCs w:val="16"/>
                <w:color w:val="auto"/>
              </w:rPr>
              <w:t>$ 140,805</w:t>
            </w:r>
          </w:p>
        </w:tc>
        <w:tc>
          <w:tcPr>
            <w:tcW w:w="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FF0FC"/>
          </w:tcPr>
          <w:p>
            <w:pPr>
              <w:jc w:val="right"/>
              <w:ind w:right="21"/>
              <w:spacing w:after="0"/>
              <w:rPr>
                <w:sz w:val="20"/>
                <w:szCs w:val="20"/>
                <w:color w:val="auto"/>
              </w:rPr>
            </w:pPr>
            <w:r>
              <w:rPr>
                <w:rFonts w:ascii="Arial" w:cs="Arial" w:eastAsia="Arial" w:hAnsi="Arial"/>
                <w:sz w:val="16"/>
                <w:szCs w:val="16"/>
                <w:color w:val="auto"/>
              </w:rPr>
              <w:t>78,180,606</w:t>
            </w:r>
          </w:p>
        </w:tc>
        <w:tc>
          <w:tcPr>
            <w:tcW w:w="420" w:type="dxa"/>
            <w:vAlign w:val="bottom"/>
            <w:gridSpan w:val="4"/>
            <w:shd w:val="clear" w:color="auto" w:fill="CFF0FC"/>
          </w:tcPr>
          <w:p>
            <w:pPr>
              <w:jc w:val="right"/>
              <w:ind w:right="18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ind w:left="40"/>
              <w:spacing w:after="0"/>
              <w:rPr>
                <w:sz w:val="20"/>
                <w:szCs w:val="20"/>
                <w:color w:val="auto"/>
              </w:rPr>
            </w:pPr>
            <w:r>
              <w:rPr>
                <w:rFonts w:ascii="Arial" w:cs="Arial" w:eastAsia="Arial" w:hAnsi="Arial"/>
                <w:sz w:val="16"/>
                <w:szCs w:val="16"/>
                <w:color w:val="auto"/>
              </w:rPr>
              <w:t>—</w:t>
            </w:r>
          </w:p>
        </w:tc>
        <w:tc>
          <w:tcPr>
            <w:tcW w:w="22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w w:val="98"/>
              </w:rPr>
              <w:t>30,834</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31</w:t>
            </w:r>
          </w:p>
        </w:tc>
        <w:tc>
          <w:tcPr>
            <w:tcW w:w="40" w:type="dxa"/>
            <w:vAlign w:val="bottom"/>
            <w:shd w:val="clear" w:color="auto" w:fill="CFF0FC"/>
          </w:tcPr>
          <w:p>
            <w:pPr>
              <w:spacing w:after="0"/>
              <w:rPr>
                <w:sz w:val="18"/>
                <w:szCs w:val="18"/>
                <w:color w:val="auto"/>
              </w:rPr>
            </w:pPr>
          </w:p>
        </w:tc>
        <w:tc>
          <w:tcPr>
            <w:tcW w:w="1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(106,906)</w:t>
            </w:r>
          </w:p>
        </w:tc>
        <w:tc>
          <w:tcPr>
            <w:tcW w:w="60" w:type="dxa"/>
            <w:vAlign w:val="bottom"/>
            <w:shd w:val="clear" w:color="auto" w:fill="CFF0FC"/>
          </w:tcPr>
          <w:p>
            <w:pPr>
              <w:spacing w:after="0"/>
              <w:rPr>
                <w:sz w:val="18"/>
                <w:szCs w:val="18"/>
                <w:color w:val="auto"/>
              </w:rPr>
            </w:pPr>
          </w:p>
        </w:tc>
        <w:tc>
          <w:tcPr>
            <w:tcW w:w="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(76,041)</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6"/>
                <w:szCs w:val="16"/>
                <w:color w:val="auto"/>
              </w:rPr>
              <w:t>upon exercise of stock</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40" w:type="dxa"/>
            <w:vAlign w:val="bottom"/>
          </w:tcPr>
          <w:p>
            <w:pPr>
              <w:ind w:left="120"/>
              <w:spacing w:after="0"/>
              <w:rPr>
                <w:sz w:val="20"/>
                <w:szCs w:val="20"/>
                <w:color w:val="auto"/>
              </w:rPr>
            </w:pPr>
            <w:r>
              <w:rPr>
                <w:rFonts w:ascii="Arial" w:cs="Arial" w:eastAsia="Arial" w:hAnsi="Arial"/>
                <w:sz w:val="16"/>
                <w:szCs w:val="16"/>
                <w:color w:val="auto"/>
              </w:rPr>
              <w:t>options</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1"/>
              <w:spacing w:after="0"/>
              <w:rPr>
                <w:sz w:val="20"/>
                <w:szCs w:val="20"/>
                <w:color w:val="auto"/>
              </w:rPr>
            </w:pPr>
            <w:r>
              <w:rPr>
                <w:rFonts w:ascii="Arial" w:cs="Arial" w:eastAsia="Arial" w:hAnsi="Arial"/>
                <w:sz w:val="16"/>
                <w:szCs w:val="16"/>
                <w:color w:val="auto"/>
              </w:rPr>
              <w:t>10,117,557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6,576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6,576</w:t>
            </w:r>
          </w:p>
        </w:tc>
        <w:tc>
          <w:tcPr>
            <w:tcW w:w="0" w:type="dxa"/>
            <w:vAlign w:val="bottom"/>
          </w:tcPr>
          <w:p>
            <w:pPr>
              <w:spacing w:after="0"/>
              <w:rPr>
                <w:sz w:val="1"/>
                <w:szCs w:val="1"/>
                <w:color w:val="auto"/>
              </w:rPr>
            </w:pPr>
          </w:p>
        </w:tc>
      </w:tr>
      <w:tr>
        <w:trPr>
          <w:trHeight w:val="209"/>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Vesting of early exercised</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stock options</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ind w:lef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1,490</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13"/>
        </w:trPr>
        <w:tc>
          <w:tcPr>
            <w:tcW w:w="1940" w:type="dxa"/>
            <w:vAlign w:val="bottom"/>
          </w:tcPr>
          <w:p>
            <w:pPr>
              <w:spacing w:after="0"/>
              <w:rPr>
                <w:sz w:val="20"/>
                <w:szCs w:val="20"/>
                <w:color w:val="auto"/>
              </w:rPr>
            </w:pPr>
            <w:r>
              <w:rPr>
                <w:rFonts w:ascii="Arial" w:cs="Arial" w:eastAsia="Arial" w:hAnsi="Arial"/>
                <w:sz w:val="16"/>
                <w:szCs w:val="16"/>
                <w:color w:val="auto"/>
                <w:w w:val="99"/>
              </w:rPr>
              <w:t>Stock-based compensation</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w w:val="98"/>
              </w:rPr>
              <w:t>10,153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10,153</w:t>
            </w:r>
          </w:p>
        </w:tc>
        <w:tc>
          <w:tcPr>
            <w:tcW w:w="0" w:type="dxa"/>
            <w:vAlign w:val="bottom"/>
          </w:tcPr>
          <w:p>
            <w:pPr>
              <w:spacing w:after="0"/>
              <w:rPr>
                <w:sz w:val="1"/>
                <w:szCs w:val="1"/>
                <w:color w:val="auto"/>
              </w:rPr>
            </w:pPr>
          </w:p>
        </w:tc>
      </w:tr>
      <w:tr>
        <w:trPr>
          <w:trHeight w:val="209"/>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Issuance of class A</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common stock in</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initial</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public offering, net of</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underwriting discounts</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and issuance costs</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2"/>
              <w:spacing w:after="0"/>
              <w:rPr>
                <w:sz w:val="20"/>
                <w:szCs w:val="20"/>
                <w:color w:val="auto"/>
              </w:rPr>
            </w:pPr>
            <w:r>
              <w:rPr>
                <w:rFonts w:ascii="Arial" w:cs="Arial" w:eastAsia="Arial" w:hAnsi="Arial"/>
                <w:sz w:val="16"/>
                <w:szCs w:val="16"/>
                <w:color w:val="auto"/>
              </w:rPr>
              <w:t>27,600,000</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ind w:left="40"/>
              <w:spacing w:after="0"/>
              <w:rPr>
                <w:sz w:val="20"/>
                <w:szCs w:val="20"/>
                <w:color w:val="auto"/>
              </w:rPr>
            </w:pPr>
            <w:r>
              <w:rPr>
                <w:rFonts w:ascii="Arial" w:cs="Arial" w:eastAsia="Arial" w:hAnsi="Arial"/>
                <w:sz w:val="16"/>
                <w:szCs w:val="16"/>
                <w:color w:val="auto"/>
              </w:rPr>
              <w:t>—</w:t>
            </w:r>
          </w:p>
        </w:tc>
        <w:tc>
          <w:tcPr>
            <w:tcW w:w="82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rPr>
              <w:t>705,937</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705,938</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Conversion of convertible</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6"/>
                <w:szCs w:val="16"/>
                <w:color w:val="auto"/>
              </w:rPr>
              <w:t>preferred stock to common</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120"/>
              <w:spacing w:after="0"/>
              <w:rPr>
                <w:sz w:val="20"/>
                <w:szCs w:val="20"/>
                <w:color w:val="auto"/>
              </w:rPr>
            </w:pPr>
            <w:r>
              <w:rPr>
                <w:rFonts w:ascii="Arial" w:cs="Arial" w:eastAsia="Arial" w:hAnsi="Arial"/>
                <w:sz w:val="16"/>
                <w:szCs w:val="16"/>
                <w:color w:val="auto"/>
              </w:rPr>
              <w:t>stock in connection with</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40" w:type="dxa"/>
            <w:vAlign w:val="bottom"/>
          </w:tcPr>
          <w:p>
            <w:pPr>
              <w:spacing w:after="0"/>
              <w:rPr>
                <w:sz w:val="20"/>
                <w:szCs w:val="20"/>
                <w:color w:val="auto"/>
              </w:rPr>
            </w:pPr>
            <w:r>
              <w:rPr>
                <w:rFonts w:ascii="Arial" w:cs="Arial" w:eastAsia="Arial" w:hAnsi="Arial"/>
                <w:sz w:val="16"/>
                <w:szCs w:val="16"/>
                <w:color w:val="auto"/>
              </w:rPr>
              <w:t>third-party tender offer</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(803,481)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3"/>
          </w:tcPr>
          <w:p>
            <w:pPr>
              <w:jc w:val="right"/>
              <w:spacing w:after="0"/>
              <w:rPr>
                <w:sz w:val="20"/>
                <w:szCs w:val="20"/>
                <w:color w:val="auto"/>
              </w:rPr>
            </w:pPr>
            <w:r>
              <w:rPr>
                <w:rFonts w:ascii="Arial" w:cs="Arial" w:eastAsia="Arial" w:hAnsi="Arial"/>
                <w:sz w:val="16"/>
                <w:szCs w:val="16"/>
                <w:color w:val="auto"/>
              </w:rPr>
              <w:t>(53)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1"/>
              <w:spacing w:after="0"/>
              <w:rPr>
                <w:sz w:val="20"/>
                <w:szCs w:val="20"/>
                <w:color w:val="auto"/>
              </w:rPr>
            </w:pPr>
            <w:r>
              <w:rPr>
                <w:rFonts w:ascii="Arial" w:cs="Arial" w:eastAsia="Arial" w:hAnsi="Arial"/>
                <w:sz w:val="16"/>
                <w:szCs w:val="16"/>
                <w:color w:val="auto"/>
              </w:rPr>
              <w:t>803,481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9"/>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Conversion of convertible</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to</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stock in</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connection with initial</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public</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offering</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(179,011,431)</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tcBorders>
              <w:right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w w:val="96"/>
              </w:rPr>
              <w:t>(140,752)</w:t>
            </w:r>
          </w:p>
        </w:tc>
        <w:tc>
          <w:tcPr>
            <w:tcW w:w="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2"/>
              <w:spacing w:after="0"/>
              <w:rPr>
                <w:sz w:val="20"/>
                <w:szCs w:val="20"/>
                <w:color w:val="auto"/>
              </w:rPr>
            </w:pPr>
            <w:r>
              <w:rPr>
                <w:rFonts w:ascii="Arial" w:cs="Arial" w:eastAsia="Arial" w:hAnsi="Arial"/>
                <w:sz w:val="16"/>
                <w:szCs w:val="16"/>
                <w:color w:val="auto"/>
                <w:w w:val="98"/>
              </w:rPr>
              <w:t>179,011,431</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ind w:left="40"/>
              <w:spacing w:after="0"/>
              <w:rPr>
                <w:sz w:val="20"/>
                <w:szCs w:val="20"/>
                <w:color w:val="auto"/>
              </w:rPr>
            </w:pPr>
            <w:r>
              <w:rPr>
                <w:rFonts w:ascii="Arial" w:cs="Arial" w:eastAsia="Arial" w:hAnsi="Arial"/>
                <w:sz w:val="16"/>
                <w:szCs w:val="16"/>
                <w:color w:val="auto"/>
              </w:rPr>
              <w:t>—</w:t>
            </w:r>
          </w:p>
        </w:tc>
        <w:tc>
          <w:tcPr>
            <w:tcW w:w="82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rPr>
              <w:t>140,750</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140,752</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Change in accumulated</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6"/>
                <w:szCs w:val="16"/>
                <w:color w:val="auto"/>
              </w:rPr>
              <w:t>other comprehensive</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40" w:type="dxa"/>
            <w:vAlign w:val="bottom"/>
          </w:tcPr>
          <w:p>
            <w:pPr>
              <w:ind w:left="120"/>
              <w:spacing w:after="0"/>
              <w:rPr>
                <w:sz w:val="20"/>
                <w:szCs w:val="20"/>
                <w:color w:val="auto"/>
              </w:rPr>
            </w:pPr>
            <w:r>
              <w:rPr>
                <w:rFonts w:ascii="Arial" w:cs="Arial" w:eastAsia="Arial" w:hAnsi="Arial"/>
                <w:sz w:val="16"/>
                <w:szCs w:val="16"/>
                <w:color w:val="auto"/>
              </w:rPr>
              <w:t>(loss) income</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9"/>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w w:val="98"/>
              </w:rPr>
              <w:t>Reclassification of common</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w w:val="96"/>
              </w:rPr>
              <w:t>stock to class A and class B</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stock</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2"/>
              <w:spacing w:after="0"/>
              <w:rPr>
                <w:sz w:val="20"/>
                <w:szCs w:val="20"/>
                <w:color w:val="auto"/>
              </w:rPr>
            </w:pPr>
            <w:r>
              <w:rPr>
                <w:rFonts w:ascii="Arial" w:cs="Arial" w:eastAsia="Arial" w:hAnsi="Arial"/>
                <w:sz w:val="16"/>
                <w:szCs w:val="16"/>
                <w:color w:val="auto"/>
              </w:rPr>
              <w:t>89,101,644</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99"/>
              </w:rPr>
              <w:t>(89,101,644)</w:t>
            </w: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ind w:lef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40" w:type="dxa"/>
            <w:vAlign w:val="bottom"/>
          </w:tcPr>
          <w:p>
            <w:pPr>
              <w:spacing w:after="0"/>
              <w:rPr>
                <w:sz w:val="20"/>
                <w:szCs w:val="20"/>
                <w:color w:val="auto"/>
              </w:rPr>
            </w:pPr>
            <w:r>
              <w:rPr>
                <w:rFonts w:ascii="Arial" w:cs="Arial" w:eastAsia="Arial" w:hAnsi="Arial"/>
                <w:sz w:val="16"/>
                <w:szCs w:val="16"/>
                <w:color w:val="auto"/>
              </w:rPr>
              <w:t>Net loss</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(17,601)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(17,601)</w:t>
            </w:r>
          </w:p>
        </w:tc>
        <w:tc>
          <w:tcPr>
            <w:tcW w:w="0" w:type="dxa"/>
            <w:vAlign w:val="bottom"/>
          </w:tcPr>
          <w:p>
            <w:pPr>
              <w:spacing w:after="0"/>
              <w:rPr>
                <w:sz w:val="1"/>
                <w:szCs w:val="1"/>
                <w:color w:val="auto"/>
              </w:rPr>
            </w:pPr>
          </w:p>
        </w:tc>
      </w:tr>
      <w:tr>
        <w:trPr>
          <w:trHeight w:val="203"/>
        </w:trPr>
        <w:tc>
          <w:tcPr>
            <w:tcW w:w="1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BALANCE—September</w:t>
            </w: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right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right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30, 2019</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2"/>
              <w:spacing w:after="0"/>
              <w:rPr>
                <w:sz w:val="20"/>
                <w:szCs w:val="20"/>
                <w:color w:val="auto"/>
              </w:rPr>
            </w:pPr>
            <w:r>
              <w:rPr>
                <w:rFonts w:ascii="Arial" w:cs="Arial" w:eastAsia="Arial" w:hAnsi="Arial"/>
                <w:sz w:val="16"/>
                <w:szCs w:val="16"/>
                <w:color w:val="auto"/>
                <w:w w:val="98"/>
              </w:rPr>
              <w:t>295,713,075</w:t>
            </w:r>
          </w:p>
        </w:tc>
        <w:tc>
          <w:tcPr>
            <w:tcW w:w="60" w:type="dxa"/>
            <w:vAlign w:val="bottom"/>
            <w:shd w:val="clear" w:color="auto" w:fill="CFF0FC"/>
          </w:tcPr>
          <w:p>
            <w:pPr>
              <w:spacing w:after="0"/>
              <w:rPr>
                <w:sz w:val="18"/>
                <w:szCs w:val="18"/>
                <w:color w:val="auto"/>
              </w:rPr>
            </w:pPr>
          </w:p>
        </w:tc>
        <w:tc>
          <w:tcPr>
            <w:tcW w:w="10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420" w:type="dxa"/>
            <w:vAlign w:val="bottom"/>
            <w:gridSpan w:val="4"/>
            <w:shd w:val="clear" w:color="auto" w:fill="CFF0FC"/>
          </w:tcPr>
          <w:p>
            <w:pPr>
              <w:jc w:val="right"/>
              <w:ind w:right="18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ind w:left="40"/>
              <w:spacing w:after="0"/>
              <w:rPr>
                <w:sz w:val="20"/>
                <w:szCs w:val="20"/>
                <w:color w:val="auto"/>
              </w:rPr>
            </w:pPr>
            <w:r>
              <w:rPr>
                <w:rFonts w:ascii="Arial" w:cs="Arial" w:eastAsia="Arial" w:hAnsi="Arial"/>
                <w:sz w:val="16"/>
                <w:szCs w:val="16"/>
                <w:color w:val="auto"/>
              </w:rPr>
              <w:t>—</w:t>
            </w:r>
          </w:p>
        </w:tc>
        <w:tc>
          <w:tcPr>
            <w:tcW w:w="82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w w:val="98"/>
              </w:rPr>
              <w:t>$ 895,793</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40" w:type="dxa"/>
            <w:vAlign w:val="bottom"/>
            <w:shd w:val="clear" w:color="auto" w:fill="CFF0FC"/>
          </w:tcPr>
          <w:p>
            <w:pPr>
              <w:spacing w:after="0"/>
              <w:rPr>
                <w:sz w:val="18"/>
                <w:szCs w:val="18"/>
                <w:color w:val="auto"/>
              </w:rPr>
            </w:pPr>
          </w:p>
        </w:tc>
        <w:tc>
          <w:tcPr>
            <w:tcW w:w="1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(124,507)</w:t>
            </w:r>
          </w:p>
        </w:tc>
        <w:tc>
          <w:tcPr>
            <w:tcW w:w="60" w:type="dxa"/>
            <w:vAlign w:val="bottom"/>
            <w:shd w:val="clear" w:color="auto" w:fill="CFF0FC"/>
          </w:tcPr>
          <w:p>
            <w:pPr>
              <w:spacing w:after="0"/>
              <w:rPr>
                <w:sz w:val="18"/>
                <w:szCs w:val="18"/>
                <w:color w:val="auto"/>
              </w:rPr>
            </w:pPr>
          </w:p>
        </w:tc>
        <w:tc>
          <w:tcPr>
            <w:tcW w:w="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771,235</w:t>
            </w:r>
          </w:p>
        </w:tc>
        <w:tc>
          <w:tcPr>
            <w:tcW w:w="0" w:type="dxa"/>
            <w:vAlign w:val="bottom"/>
          </w:tcPr>
          <w:p>
            <w:pPr>
              <w:spacing w:after="0"/>
              <w:rPr>
                <w:sz w:val="1"/>
                <w:szCs w:val="1"/>
                <w:color w:val="auto"/>
              </w:rPr>
            </w:pPr>
          </w:p>
        </w:tc>
      </w:tr>
      <w:tr>
        <w:trPr>
          <w:trHeight w:val="20"/>
        </w:trPr>
        <w:tc>
          <w:tcPr>
            <w:tcW w:w="19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8"/>
            <w:vMerge w:val="restart"/>
          </w:tcPr>
          <w:p>
            <w:pPr>
              <w:jc w:val="right"/>
              <w:ind w:right="500"/>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5"/>
            <w:vMerge w:val="restart"/>
          </w:tcPr>
          <w:p>
            <w:pPr>
              <w:jc w:val="right"/>
              <w:ind w:right="88"/>
              <w:spacing w:after="0"/>
              <w:rPr>
                <w:sz w:val="20"/>
                <w:szCs w:val="20"/>
                <w:color w:val="auto"/>
              </w:rPr>
            </w:pPr>
            <w:r>
              <w:rPr>
                <w:rFonts w:ascii="Arial" w:cs="Arial" w:eastAsia="Arial" w:hAnsi="Arial"/>
                <w:sz w:val="14"/>
                <w:szCs w:val="14"/>
                <w:b w:val="1"/>
                <w:bCs w:val="1"/>
                <w:color w:val="auto"/>
              </w:rPr>
              <w:t>Non-Voting</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7"/>
                <w:szCs w:val="17"/>
                <w:color w:val="auto"/>
              </w:rPr>
            </w:pP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9"/>
        </w:trPr>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8"/>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8"/>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5"/>
            <w:vMerge w:val="continue"/>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Borders>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5"/>
              </w:rPr>
              <w:t>Comprehensive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Accumulated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181"/>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02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0"/>
              </w:rPr>
              <w:t>(Loss) Income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2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0"/>
        </w:trPr>
        <w:tc>
          <w:tcPr>
            <w:tcW w:w="1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BALANCE—December 31,</w:t>
            </w:r>
          </w:p>
        </w:tc>
        <w:tc>
          <w:tcPr>
            <w:tcW w:w="26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right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2017</w:t>
            </w:r>
          </w:p>
        </w:tc>
        <w:tc>
          <w:tcPr>
            <w:tcW w:w="1200" w:type="dxa"/>
            <w:vAlign w:val="bottom"/>
            <w:gridSpan w:val="5"/>
            <w:shd w:val="clear" w:color="auto" w:fill="CFF0FC"/>
          </w:tcPr>
          <w:p>
            <w:pPr>
              <w:jc w:val="right"/>
              <w:ind w:right="60"/>
              <w:spacing w:after="0"/>
              <w:rPr>
                <w:sz w:val="20"/>
                <w:szCs w:val="20"/>
                <w:color w:val="auto"/>
              </w:rPr>
            </w:pPr>
            <w:r>
              <w:rPr>
                <w:rFonts w:ascii="Arial" w:cs="Arial" w:eastAsia="Arial" w:hAnsi="Arial"/>
                <w:sz w:val="16"/>
                <w:szCs w:val="16"/>
                <w:color w:val="auto"/>
              </w:rPr>
              <w:t>179,814,912</w:t>
            </w:r>
          </w:p>
        </w:tc>
        <w:tc>
          <w:tcPr>
            <w:tcW w:w="78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$ 140,805</w:t>
            </w:r>
          </w:p>
        </w:tc>
        <w:tc>
          <w:tcPr>
            <w:tcW w:w="100" w:type="dxa"/>
            <w:vAlign w:val="bottom"/>
            <w:tcBorders>
              <w:right w:val="single" w:sz="8" w:color="auto"/>
            </w:tcBorders>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62,160,984</w:t>
            </w:r>
          </w:p>
        </w:tc>
        <w:tc>
          <w:tcPr>
            <w:tcW w:w="6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28"/>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FF0FC"/>
          </w:tcPr>
          <w:p>
            <w:pPr>
              <w:jc w:val="right"/>
              <w:ind w:right="1"/>
              <w:spacing w:after="0"/>
              <w:rPr>
                <w:sz w:val="20"/>
                <w:szCs w:val="20"/>
                <w:color w:val="auto"/>
              </w:rPr>
            </w:pPr>
            <w:r>
              <w:rPr>
                <w:rFonts w:ascii="Arial" w:cs="Arial" w:eastAsia="Arial" w:hAnsi="Arial"/>
                <w:sz w:val="16"/>
                <w:szCs w:val="16"/>
                <w:color w:val="auto"/>
              </w:rPr>
              <w:t>1,137,000</w:t>
            </w:r>
          </w:p>
        </w:tc>
        <w:tc>
          <w:tcPr>
            <w:tcW w:w="420" w:type="dxa"/>
            <w:vAlign w:val="bottom"/>
            <w:gridSpan w:val="4"/>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220" w:type="dxa"/>
            <w:vAlign w:val="bottom"/>
            <w:gridSpan w:val="4"/>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20,491</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20" w:type="dxa"/>
            <w:vAlign w:val="bottom"/>
            <w:gridSpan w:val="4"/>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(96,144)</w:t>
            </w:r>
          </w:p>
        </w:tc>
        <w:tc>
          <w:tcPr>
            <w:tcW w:w="28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(75,701)</w:t>
            </w:r>
          </w:p>
        </w:tc>
        <w:tc>
          <w:tcPr>
            <w:tcW w:w="0" w:type="dxa"/>
            <w:vAlign w:val="bottom"/>
          </w:tcPr>
          <w:p>
            <w:pPr>
              <w:spacing w:after="0"/>
              <w:rPr>
                <w:sz w:val="1"/>
                <w:szCs w:val="1"/>
                <w:color w:val="auto"/>
              </w:rPr>
            </w:pPr>
          </w:p>
        </w:tc>
      </w:tr>
      <w:tr>
        <w:trPr>
          <w:trHeight w:val="206"/>
        </w:trPr>
        <w:tc>
          <w:tcPr>
            <w:tcW w:w="2900" w:type="dxa"/>
            <w:vAlign w:val="bottom"/>
            <w:gridSpan w:val="3"/>
          </w:tcPr>
          <w:p>
            <w:pPr>
              <w:spacing w:after="0"/>
              <w:rPr>
                <w:sz w:val="20"/>
                <w:szCs w:val="20"/>
                <w:color w:val="auto"/>
              </w:rPr>
            </w:pPr>
            <w:r>
              <w:rPr>
                <w:rFonts w:ascii="Arial" w:cs="Arial" w:eastAsia="Arial" w:hAnsi="Arial"/>
                <w:sz w:val="16"/>
                <w:szCs w:val="16"/>
                <w:color w:val="auto"/>
              </w:rPr>
              <w:t>Issuance of common stock upon</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6"/>
                <w:szCs w:val="16"/>
                <w:color w:val="auto"/>
              </w:rPr>
              <w:t>exercise of stock</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40" w:type="dxa"/>
            <w:vAlign w:val="bottom"/>
          </w:tcPr>
          <w:p>
            <w:pPr>
              <w:ind w:left="120"/>
              <w:spacing w:after="0"/>
              <w:rPr>
                <w:sz w:val="20"/>
                <w:szCs w:val="20"/>
                <w:color w:val="auto"/>
              </w:rPr>
            </w:pPr>
            <w:r>
              <w:rPr>
                <w:rFonts w:ascii="Arial" w:cs="Arial" w:eastAsia="Arial" w:hAnsi="Arial"/>
                <w:sz w:val="16"/>
                <w:szCs w:val="16"/>
                <w:color w:val="auto"/>
              </w:rPr>
              <w:t>options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12,862,488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3,608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3,608</w:t>
            </w:r>
          </w:p>
        </w:tc>
        <w:tc>
          <w:tcPr>
            <w:tcW w:w="0" w:type="dxa"/>
            <w:vAlign w:val="bottom"/>
          </w:tcPr>
          <w:p>
            <w:pPr>
              <w:spacing w:after="0"/>
              <w:rPr>
                <w:sz w:val="1"/>
                <w:szCs w:val="1"/>
                <w:color w:val="auto"/>
              </w:rPr>
            </w:pPr>
          </w:p>
        </w:tc>
      </w:tr>
      <w:tr>
        <w:trPr>
          <w:trHeight w:val="209"/>
        </w:trPr>
        <w:tc>
          <w:tcPr>
            <w:tcW w:w="29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Vesting of early exercised stock</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options</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3"/>
        </w:trPr>
        <w:tc>
          <w:tcPr>
            <w:tcW w:w="1940" w:type="dxa"/>
            <w:vAlign w:val="bottom"/>
          </w:tcPr>
          <w:p>
            <w:pPr>
              <w:spacing w:after="0"/>
              <w:rPr>
                <w:sz w:val="20"/>
                <w:szCs w:val="20"/>
                <w:color w:val="auto"/>
              </w:rPr>
            </w:pPr>
            <w:r>
              <w:rPr>
                <w:rFonts w:ascii="Arial" w:cs="Arial" w:eastAsia="Arial" w:hAnsi="Arial"/>
                <w:sz w:val="16"/>
                <w:szCs w:val="16"/>
                <w:color w:val="auto"/>
                <w:w w:val="99"/>
              </w:rPr>
              <w:t>Stock-based compensation</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3,187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3,187</w:t>
            </w:r>
          </w:p>
        </w:tc>
        <w:tc>
          <w:tcPr>
            <w:tcW w:w="0" w:type="dxa"/>
            <w:vAlign w:val="bottom"/>
          </w:tcPr>
          <w:p>
            <w:pPr>
              <w:spacing w:after="0"/>
              <w:rPr>
                <w:sz w:val="1"/>
                <w:szCs w:val="1"/>
                <w:color w:val="auto"/>
              </w:rPr>
            </w:pPr>
          </w:p>
        </w:tc>
      </w:tr>
      <w:tr>
        <w:trPr>
          <w:trHeight w:val="209"/>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Conversion of non-voting</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common stock</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1,137,000</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(1,137,000)</w:t>
            </w: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w w:val="91"/>
              </w:rPr>
              <w:t>Change in accumulated other</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6"/>
                <w:szCs w:val="16"/>
                <w:color w:val="auto"/>
              </w:rPr>
              <w:t>comprehensive</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40" w:type="dxa"/>
            <w:vAlign w:val="bottom"/>
          </w:tcPr>
          <w:p>
            <w:pPr>
              <w:ind w:left="120"/>
              <w:spacing w:after="0"/>
              <w:rPr>
                <w:sz w:val="20"/>
                <w:szCs w:val="20"/>
                <w:color w:val="auto"/>
              </w:rPr>
            </w:pPr>
            <w:r>
              <w:rPr>
                <w:rFonts w:ascii="Arial" w:cs="Arial" w:eastAsia="Arial" w:hAnsi="Arial"/>
                <w:sz w:val="16"/>
                <w:szCs w:val="16"/>
                <w:color w:val="auto"/>
              </w:rPr>
              <w:t>(loss) income</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(4,175)</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(4,175)</w:t>
            </w:r>
          </w:p>
        </w:tc>
        <w:tc>
          <w:tcPr>
            <w:tcW w:w="0" w:type="dxa"/>
            <w:vAlign w:val="bottom"/>
          </w:tcPr>
          <w:p>
            <w:pPr>
              <w:spacing w:after="0"/>
              <w:rPr>
                <w:sz w:val="1"/>
                <w:szCs w:val="1"/>
                <w:color w:val="auto"/>
              </w:rPr>
            </w:pPr>
          </w:p>
        </w:tc>
      </w:tr>
      <w:tr>
        <w:trPr>
          <w:trHeight w:val="200"/>
        </w:trPr>
        <w:tc>
          <w:tcPr>
            <w:tcW w:w="1940" w:type="dxa"/>
            <w:vAlign w:val="bottom"/>
          </w:tcPr>
          <w:p>
            <w:pPr>
              <w:spacing w:after="0"/>
              <w:rPr>
                <w:sz w:val="20"/>
                <w:szCs w:val="20"/>
                <w:color w:val="auto"/>
              </w:rPr>
            </w:pPr>
            <w:r>
              <w:rPr>
                <w:rFonts w:ascii="Arial" w:cs="Arial" w:eastAsia="Arial" w:hAnsi="Arial"/>
                <w:sz w:val="16"/>
                <w:szCs w:val="16"/>
                <w:color w:val="auto"/>
                <w:w w:val="98"/>
              </w:rPr>
              <w:t>BALANCE—September 30,</w:t>
            </w:r>
          </w:p>
        </w:tc>
        <w:tc>
          <w:tcPr>
            <w:tcW w:w="2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40" w:type="dxa"/>
            <w:vAlign w:val="bottom"/>
          </w:tcPr>
          <w:p>
            <w:pPr>
              <w:spacing w:after="0"/>
              <w:rPr>
                <w:sz w:val="20"/>
                <w:szCs w:val="20"/>
                <w:color w:val="auto"/>
              </w:rPr>
            </w:pPr>
            <w:r>
              <w:rPr>
                <w:rFonts w:ascii="Arial" w:cs="Arial" w:eastAsia="Arial" w:hAnsi="Arial"/>
                <w:sz w:val="16"/>
                <w:szCs w:val="16"/>
                <w:color w:val="auto"/>
              </w:rPr>
              <w:t>2018</w:t>
            </w:r>
          </w:p>
        </w:tc>
        <w:tc>
          <w:tcPr>
            <w:tcW w:w="1200" w:type="dxa"/>
            <w:vAlign w:val="bottom"/>
            <w:gridSpan w:val="5"/>
          </w:tcPr>
          <w:p>
            <w:pPr>
              <w:jc w:val="right"/>
              <w:ind w:right="60"/>
              <w:spacing w:after="0"/>
              <w:rPr>
                <w:sz w:val="20"/>
                <w:szCs w:val="20"/>
                <w:color w:val="auto"/>
              </w:rPr>
            </w:pPr>
            <w:r>
              <w:rPr>
                <w:rFonts w:ascii="Arial" w:cs="Arial" w:eastAsia="Arial" w:hAnsi="Arial"/>
                <w:sz w:val="16"/>
                <w:szCs w:val="16"/>
                <w:color w:val="auto"/>
              </w:rPr>
              <w:t>179,814,912</w:t>
            </w:r>
          </w:p>
        </w:tc>
        <w:tc>
          <w:tcPr>
            <w:tcW w:w="780" w:type="dxa"/>
            <w:vAlign w:val="bottom"/>
            <w:gridSpan w:val="4"/>
          </w:tcPr>
          <w:p>
            <w:pPr>
              <w:jc w:val="right"/>
              <w:ind w:right="20"/>
              <w:spacing w:after="0"/>
              <w:rPr>
                <w:sz w:val="20"/>
                <w:szCs w:val="20"/>
                <w:color w:val="auto"/>
              </w:rPr>
            </w:pPr>
            <w:r>
              <w:rPr>
                <w:rFonts w:ascii="Arial" w:cs="Arial" w:eastAsia="Arial" w:hAnsi="Arial"/>
                <w:sz w:val="16"/>
                <w:szCs w:val="16"/>
                <w:color w:val="auto"/>
              </w:rPr>
              <w:t>$ 140,805</w:t>
            </w:r>
          </w:p>
        </w:tc>
        <w:tc>
          <w:tcPr>
            <w:tcW w:w="100" w:type="dxa"/>
            <w:vAlign w:val="bottom"/>
            <w:tcBorders>
              <w:right w:val="single" w:sz="8" w:color="auto"/>
            </w:tcBorders>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76,160,472</w:t>
            </w:r>
          </w:p>
        </w:tc>
        <w:tc>
          <w:tcPr>
            <w:tcW w:w="60" w:type="dxa"/>
            <w:vAlign w:val="bottom"/>
          </w:tcPr>
          <w:p>
            <w:pPr>
              <w:spacing w:after="0"/>
              <w:rPr>
                <w:sz w:val="18"/>
                <w:szCs w:val="18"/>
                <w:color w:val="auto"/>
              </w:rPr>
            </w:pPr>
          </w:p>
        </w:tc>
        <w:tc>
          <w:tcPr>
            <w:tcW w:w="380" w:type="dxa"/>
            <w:vAlign w:val="bottom"/>
            <w:gridSpan w:val="3"/>
          </w:tcPr>
          <w:p>
            <w:pPr>
              <w:jc w:val="right"/>
              <w:ind w:right="128"/>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20" w:type="dxa"/>
            <w:vAlign w:val="bottom"/>
            <w:gridSpan w:val="4"/>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220" w:type="dxa"/>
            <w:vAlign w:val="bottom"/>
            <w:gridSpan w:val="4"/>
          </w:tcPr>
          <w:p>
            <w:pPr>
              <w:ind w:left="1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27,563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220" w:type="dxa"/>
            <w:vAlign w:val="bottom"/>
            <w:gridSpan w:val="4"/>
          </w:tcPr>
          <w:p>
            <w:pPr>
              <w:ind w:left="120"/>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(100,319)</w:t>
            </w:r>
          </w:p>
        </w:tc>
        <w:tc>
          <w:tcPr>
            <w:tcW w:w="28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(72,772)</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22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3"/>
                <w:szCs w:val="13"/>
                <w:color w:val="auto"/>
              </w:rPr>
            </w:pPr>
          </w:p>
        </w:tc>
        <w:tc>
          <w:tcPr>
            <w:tcW w:w="1200" w:type="dxa"/>
            <w:vAlign w:val="bottom"/>
            <w:gridSpan w:val="2"/>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12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tcPr>
          <w:p>
            <w:pPr>
              <w:ind w:left="240"/>
              <w:spacing w:after="0"/>
              <w:rPr>
                <w:sz w:val="20"/>
                <w:szCs w:val="20"/>
                <w:color w:val="auto"/>
              </w:rPr>
            </w:pPr>
            <w:r>
              <w:rPr>
                <w:rFonts w:ascii="Arial" w:cs="Arial" w:eastAsia="Arial" w:hAnsi="Arial"/>
                <w:sz w:val="14"/>
                <w:szCs w:val="14"/>
                <w:color w:val="auto"/>
              </w:rPr>
              <w:t>Net loss</w:t>
            </w:r>
          </w:p>
        </w:tc>
        <w:tc>
          <w:tcPr>
            <w:tcW w:w="2220" w:type="dxa"/>
            <w:vAlign w:val="bottom"/>
            <w:gridSpan w:val="2"/>
          </w:tcPr>
          <w:p>
            <w:pPr>
              <w:jc w:val="right"/>
              <w:ind w:right="85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(17,601)</w:t>
            </w:r>
          </w:p>
        </w:tc>
        <w:tc>
          <w:tcPr>
            <w:tcW w:w="120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(4,175)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tcPr>
          <w:p>
            <w:pPr>
              <w:ind w:left="480"/>
              <w:spacing w:after="0"/>
              <w:rPr>
                <w:sz w:val="20"/>
                <w:szCs w:val="20"/>
                <w:color w:val="auto"/>
              </w:rPr>
            </w:pPr>
            <w:r>
              <w:rPr>
                <w:rFonts w:ascii="Arial" w:cs="Arial" w:eastAsia="Arial" w:hAnsi="Arial"/>
                <w:sz w:val="14"/>
                <w:szCs w:val="14"/>
                <w:color w:val="auto"/>
              </w:rPr>
              <w:t>Depreciation and amortization</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8,776</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4,239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shd w:val="clear" w:color="auto" w:fill="CFF0FC"/>
          </w:tcPr>
          <w:p>
            <w:pPr>
              <w:ind w:left="480"/>
              <w:spacing w:after="0"/>
              <w:rPr>
                <w:sz w:val="20"/>
                <w:szCs w:val="20"/>
                <w:color w:val="auto"/>
              </w:rPr>
            </w:pPr>
            <w:r>
              <w:rPr>
                <w:rFonts w:ascii="Arial" w:cs="Arial" w:eastAsia="Arial" w:hAnsi="Arial"/>
                <w:sz w:val="14"/>
                <w:szCs w:val="14"/>
                <w:color w:val="auto"/>
              </w:rPr>
              <w:t>Amortization of deferred contract costs</w:t>
            </w: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3,688</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tcPr>
          <w:p>
            <w:pPr>
              <w:ind w:left="480"/>
              <w:spacing w:after="0"/>
              <w:rPr>
                <w:sz w:val="20"/>
                <w:szCs w:val="20"/>
                <w:color w:val="auto"/>
              </w:rPr>
            </w:pPr>
            <w:r>
              <w:rPr>
                <w:rFonts w:ascii="Arial" w:cs="Arial" w:eastAsia="Arial" w:hAnsi="Arial"/>
                <w:sz w:val="14"/>
                <w:szCs w:val="14"/>
                <w:color w:val="auto"/>
              </w:rPr>
              <w:t>Stock-based compensation, net of amounts capitalized</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10,016</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3,051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shd w:val="clear" w:color="auto" w:fill="CFF0FC"/>
          </w:tcPr>
          <w:p>
            <w:pPr>
              <w:ind w:left="480"/>
              <w:spacing w:after="0"/>
              <w:rPr>
                <w:sz w:val="20"/>
                <w:szCs w:val="20"/>
                <w:color w:val="auto"/>
              </w:rPr>
            </w:pPr>
            <w:r>
              <w:rPr>
                <w:rFonts w:ascii="Arial" w:cs="Arial" w:eastAsia="Arial" w:hAnsi="Arial"/>
                <w:sz w:val="14"/>
                <w:szCs w:val="14"/>
                <w:color w:val="auto"/>
              </w:rPr>
              <w:t>Noncash lease expense</w:t>
            </w: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8,403</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tcPr>
          <w:p>
            <w:pPr>
              <w:ind w:left="480"/>
              <w:spacing w:after="0"/>
              <w:rPr>
                <w:sz w:val="20"/>
                <w:szCs w:val="20"/>
                <w:color w:val="auto"/>
              </w:rPr>
            </w:pPr>
            <w:r>
              <w:rPr>
                <w:rFonts w:ascii="Arial" w:cs="Arial" w:eastAsia="Arial" w:hAnsi="Arial"/>
                <w:sz w:val="14"/>
                <w:szCs w:val="14"/>
                <w:color w:val="auto"/>
              </w:rPr>
              <w:t>Provision for accounts receivable allowance</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835</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shd w:val="clear" w:color="auto" w:fill="CFF0FC"/>
          </w:tcPr>
          <w:p>
            <w:pPr>
              <w:ind w:left="480"/>
              <w:spacing w:after="0"/>
              <w:rPr>
                <w:sz w:val="20"/>
                <w:szCs w:val="20"/>
                <w:color w:val="auto"/>
              </w:rPr>
            </w:pPr>
            <w:r>
              <w:rPr>
                <w:rFonts w:ascii="Arial" w:cs="Arial" w:eastAsia="Arial" w:hAnsi="Arial"/>
                <w:sz w:val="14"/>
                <w:szCs w:val="14"/>
                <w:color w:val="auto"/>
              </w:rPr>
              <w:t>Loss (gain) on disposal of property and equipment</w:t>
            </w: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442</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tcPr>
          <w:p>
            <w:pPr>
              <w:ind w:left="480"/>
              <w:spacing w:after="0"/>
              <w:rPr>
                <w:sz w:val="20"/>
                <w:szCs w:val="20"/>
                <w:color w:val="auto"/>
              </w:rPr>
            </w:pPr>
            <w:r>
              <w:rPr>
                <w:rFonts w:ascii="Arial" w:cs="Arial" w:eastAsia="Arial" w:hAnsi="Arial"/>
                <w:sz w:val="14"/>
                <w:szCs w:val="14"/>
                <w:color w:val="auto"/>
              </w:rPr>
              <w:t>Changes in operating assets and liabilities:</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shd w:val="clear" w:color="auto" w:fill="CFF0FC"/>
          </w:tcPr>
          <w:p>
            <w:pPr>
              <w:ind w:left="720"/>
              <w:spacing w:after="0"/>
              <w:rPr>
                <w:sz w:val="20"/>
                <w:szCs w:val="20"/>
                <w:color w:val="auto"/>
              </w:rPr>
            </w:pPr>
            <w:r>
              <w:rPr>
                <w:rFonts w:ascii="Arial" w:cs="Arial" w:eastAsia="Arial" w:hAnsi="Arial"/>
                <w:sz w:val="14"/>
                <w:szCs w:val="14"/>
                <w:color w:val="auto"/>
              </w:rPr>
              <w:t>Accounts receivable, net</w:t>
            </w: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(32,224)</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(8,577)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tcPr>
          <w:p>
            <w:pPr>
              <w:ind w:left="720"/>
              <w:spacing w:after="0"/>
              <w:rPr>
                <w:sz w:val="20"/>
                <w:szCs w:val="20"/>
                <w:color w:val="auto"/>
              </w:rPr>
            </w:pPr>
            <w:r>
              <w:rPr>
                <w:rFonts w:ascii="Arial" w:cs="Arial" w:eastAsia="Arial" w:hAnsi="Arial"/>
                <w:sz w:val="14"/>
                <w:szCs w:val="14"/>
                <w:color w:val="auto"/>
              </w:rPr>
              <w:t>Deferred contract costs</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(10,894)</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(6,045)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shd w:val="clear" w:color="auto" w:fill="CFF0FC"/>
          </w:tcPr>
          <w:p>
            <w:pPr>
              <w:ind w:left="720"/>
              <w:spacing w:after="0"/>
              <w:rPr>
                <w:sz w:val="20"/>
                <w:szCs w:val="20"/>
                <w:color w:val="auto"/>
              </w:rPr>
            </w:pPr>
            <w:r>
              <w:rPr>
                <w:rFonts w:ascii="Arial" w:cs="Arial" w:eastAsia="Arial" w:hAnsi="Arial"/>
                <w:sz w:val="14"/>
                <w:szCs w:val="14"/>
                <w:color w:val="auto"/>
              </w:rPr>
              <w:t>Prepaid expenses and other current assets</w:t>
            </w: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(9,476)</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tcPr>
          <w:p>
            <w:pPr>
              <w:ind w:left="720"/>
              <w:spacing w:after="0"/>
              <w:rPr>
                <w:sz w:val="20"/>
                <w:szCs w:val="20"/>
                <w:color w:val="auto"/>
              </w:rPr>
            </w:pPr>
            <w:r>
              <w:rPr>
                <w:rFonts w:ascii="Arial" w:cs="Arial" w:eastAsia="Arial" w:hAnsi="Arial"/>
                <w:sz w:val="14"/>
                <w:szCs w:val="14"/>
                <w:color w:val="auto"/>
              </w:rPr>
              <w:t>Other assets</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(8,480)</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(4,939)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shd w:val="clear" w:color="auto" w:fill="CFF0FC"/>
          </w:tcPr>
          <w:p>
            <w:pPr>
              <w:ind w:left="720"/>
              <w:spacing w:after="0"/>
              <w:rPr>
                <w:sz w:val="20"/>
                <w:szCs w:val="20"/>
                <w:color w:val="auto"/>
              </w:rPr>
            </w:pPr>
            <w:r>
              <w:rPr>
                <w:rFonts w:ascii="Arial" w:cs="Arial" w:eastAsia="Arial" w:hAnsi="Arial"/>
                <w:sz w:val="14"/>
                <w:szCs w:val="14"/>
                <w:color w:val="auto"/>
              </w:rPr>
              <w:t>Accounts payable</w:t>
            </w: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4,213</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4,814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tcPr>
          <w:p>
            <w:pPr>
              <w:ind w:left="720"/>
              <w:spacing w:after="0"/>
              <w:rPr>
                <w:sz w:val="20"/>
                <w:szCs w:val="20"/>
                <w:color w:val="auto"/>
              </w:rPr>
            </w:pPr>
            <w:r>
              <w:rPr>
                <w:rFonts w:ascii="Arial" w:cs="Arial" w:eastAsia="Arial" w:hAnsi="Arial"/>
                <w:sz w:val="14"/>
                <w:szCs w:val="14"/>
                <w:color w:val="auto"/>
              </w:rPr>
              <w:t>Accrued expenses and other liabilities</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(1,990)</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6,320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shd w:val="clear" w:color="auto" w:fill="CFF0FC"/>
          </w:tcPr>
          <w:p>
            <w:pPr>
              <w:ind w:left="720"/>
              <w:spacing w:after="0"/>
              <w:rPr>
                <w:sz w:val="20"/>
                <w:szCs w:val="20"/>
                <w:color w:val="auto"/>
              </w:rPr>
            </w:pPr>
            <w:r>
              <w:rPr>
                <w:rFonts w:ascii="Arial" w:cs="Arial" w:eastAsia="Arial" w:hAnsi="Arial"/>
                <w:sz w:val="14"/>
                <w:szCs w:val="14"/>
                <w:color w:val="auto"/>
              </w:rPr>
              <w:t>Deferred revenue</w:t>
            </w:r>
          </w:p>
        </w:tc>
        <w:tc>
          <w:tcPr>
            <w:tcW w:w="1220" w:type="dxa"/>
            <w:vAlign w:val="bottom"/>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51,096</w:t>
            </w:r>
          </w:p>
        </w:tc>
        <w:tc>
          <w:tcPr>
            <w:tcW w:w="18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19,352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Borders>
              <w:bottom w:val="single" w:sz="8" w:color="CFF0FC"/>
            </w:tcBorders>
          </w:tcPr>
          <w:p>
            <w:pPr>
              <w:ind w:left="9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6,804</w:t>
            </w:r>
          </w:p>
        </w:tc>
        <w:tc>
          <w:tcPr>
            <w:tcW w:w="1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15,384</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6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2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Purchases of property and equipment</w:t>
            </w: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(9,813)</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(8,205)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tcPr>
          <w:p>
            <w:pPr>
              <w:ind w:left="240"/>
              <w:spacing w:after="0"/>
              <w:rPr>
                <w:sz w:val="20"/>
                <w:szCs w:val="20"/>
                <w:color w:val="auto"/>
              </w:rPr>
            </w:pPr>
            <w:r>
              <w:rPr>
                <w:rFonts w:ascii="Arial" w:cs="Arial" w:eastAsia="Arial" w:hAnsi="Arial"/>
                <w:sz w:val="14"/>
                <w:szCs w:val="14"/>
                <w:color w:val="auto"/>
              </w:rPr>
              <w:t>Capitalized software development costs</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(7,058)</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(4,540)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Cash paid for acquisition of businesses; net of cash acquired</w:t>
            </w:r>
          </w:p>
        </w:tc>
        <w:tc>
          <w:tcPr>
            <w:tcW w:w="1220" w:type="dxa"/>
            <w:vAlign w:val="bottom"/>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(1,618)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Borders>
              <w:bottom w:val="single" w:sz="8" w:color="CFF0FC"/>
            </w:tcBorders>
          </w:tcPr>
          <w:p>
            <w:pPr>
              <w:ind w:left="980"/>
              <w:spacing w:after="0" w:line="155" w:lineRule="exact"/>
              <w:rPr>
                <w:sz w:val="20"/>
                <w:szCs w:val="20"/>
                <w:color w:val="auto"/>
              </w:rPr>
            </w:pPr>
            <w:r>
              <w:rPr>
                <w:rFonts w:ascii="Arial" w:cs="Arial" w:eastAsia="Arial" w:hAnsi="Arial"/>
                <w:sz w:val="14"/>
                <w:szCs w:val="14"/>
                <w:color w:val="auto"/>
              </w:rPr>
              <w:t>Net cash used in investing activities</w:t>
            </w:r>
          </w:p>
        </w:tc>
        <w:tc>
          <w:tcPr>
            <w:tcW w:w="1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(16,871)</w:t>
            </w:r>
          </w:p>
        </w:tc>
        <w:tc>
          <w:tcPr>
            <w:tcW w:w="1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(14,363)</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6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Proceeds from exercise of stock options</w:t>
            </w: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7,306</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6,833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20" w:type="dxa"/>
            <w:vAlign w:val="bottom"/>
          </w:tcPr>
          <w:p>
            <w:pPr>
              <w:ind w:left="240"/>
              <w:spacing w:after="0" w:line="143" w:lineRule="exact"/>
              <w:rPr>
                <w:sz w:val="20"/>
                <w:szCs w:val="20"/>
                <w:color w:val="auto"/>
              </w:rPr>
            </w:pPr>
            <w:r>
              <w:rPr>
                <w:rFonts w:ascii="Arial" w:cs="Arial" w:eastAsia="Arial" w:hAnsi="Arial"/>
                <w:sz w:val="14"/>
                <w:szCs w:val="14"/>
                <w:color w:val="auto"/>
              </w:rPr>
              <w:t>Proceeds from initial public offering, net of underwriting discounts and commissions</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tcBorders>
              <w:bottom w:val="single" w:sz="8" w:color="CFF0FC"/>
            </w:tcBorders>
          </w:tcPr>
          <w:p>
            <w:pPr>
              <w:ind w:left="340"/>
              <w:spacing w:after="0"/>
              <w:rPr>
                <w:sz w:val="20"/>
                <w:szCs w:val="20"/>
                <w:color w:val="auto"/>
              </w:rPr>
            </w:pPr>
            <w:r>
              <w:rPr>
                <w:rFonts w:ascii="Arial" w:cs="Arial" w:eastAsia="Arial" w:hAnsi="Arial"/>
                <w:sz w:val="14"/>
                <w:szCs w:val="14"/>
                <w:color w:val="auto"/>
              </w:rPr>
              <w:t>and other offering costs</w:t>
            </w:r>
          </w:p>
        </w:tc>
        <w:tc>
          <w:tcPr>
            <w:tcW w:w="12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708,659</w:t>
            </w:r>
          </w:p>
        </w:tc>
        <w:tc>
          <w:tcPr>
            <w:tcW w:w="1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shd w:val="clear" w:color="auto" w:fill="CFF0FC"/>
          </w:tcPr>
          <w:p>
            <w:pPr>
              <w:ind w:left="98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220" w:type="dxa"/>
            <w:vAlign w:val="bottom"/>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715,965</w:t>
            </w:r>
          </w:p>
        </w:tc>
        <w:tc>
          <w:tcPr>
            <w:tcW w:w="18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6,833</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6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49</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4"/>
                <w:szCs w:val="14"/>
                <w:color w:val="auto"/>
              </w:rPr>
              <w:t>NET INCREASE IN CASH, CASH EQUIVALENTS AND RESTRICTED CASH</w:t>
            </w: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705,947</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7,867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CASH EQUIVALENTS AND RESTRICTED CASH—Beginning of period</w:t>
            </w:r>
          </w:p>
        </w:tc>
        <w:tc>
          <w:tcPr>
            <w:tcW w:w="12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64,980</w:t>
            </w:r>
          </w:p>
        </w:tc>
        <w:tc>
          <w:tcPr>
            <w:tcW w:w="1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63,778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CASH EQUIVALENTS AND RESTRICTED CASH —End of period</w:t>
            </w:r>
          </w:p>
        </w:tc>
        <w:tc>
          <w:tcPr>
            <w:tcW w:w="12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850"/>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770,927</w:t>
            </w:r>
          </w:p>
        </w:tc>
        <w:tc>
          <w:tcPr>
            <w:tcW w:w="18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71,645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4"/>
                <w:szCs w:val="14"/>
                <w:color w:val="auto"/>
              </w:rPr>
              <w:t>SUPPLEMENTAL DISCLOSURES OF CASH FLOW INFORMATION:</w:t>
            </w: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tcPr>
          <w:p>
            <w:pPr>
              <w:ind w:left="240"/>
              <w:spacing w:after="0"/>
              <w:rPr>
                <w:sz w:val="20"/>
                <w:szCs w:val="20"/>
                <w:color w:val="auto"/>
              </w:rPr>
            </w:pPr>
            <w:r>
              <w:rPr>
                <w:rFonts w:ascii="Arial" w:cs="Arial" w:eastAsia="Arial" w:hAnsi="Arial"/>
                <w:sz w:val="14"/>
                <w:szCs w:val="14"/>
                <w:color w:val="auto"/>
              </w:rPr>
              <w:t>Cash paid for income taxes</w:t>
            </w:r>
          </w:p>
        </w:tc>
        <w:tc>
          <w:tcPr>
            <w:tcW w:w="2220" w:type="dxa"/>
            <w:vAlign w:val="bottom"/>
            <w:gridSpan w:val="2"/>
          </w:tcPr>
          <w:p>
            <w:pPr>
              <w:jc w:val="right"/>
              <w:ind w:right="85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20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6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6620" w:type="dxa"/>
            <w:vAlign w:val="bottom"/>
          </w:tcPr>
          <w:p>
            <w:pPr>
              <w:spacing w:after="0" w:line="143" w:lineRule="exact"/>
              <w:rPr>
                <w:sz w:val="20"/>
                <w:szCs w:val="20"/>
                <w:color w:val="auto"/>
              </w:rPr>
            </w:pPr>
            <w:r>
              <w:rPr>
                <w:rFonts w:ascii="Arial" w:cs="Arial" w:eastAsia="Arial" w:hAnsi="Arial"/>
                <w:sz w:val="14"/>
                <w:szCs w:val="14"/>
                <w:color w:val="auto"/>
              </w:rPr>
              <w:t>SUPPLEMENTAL DISCLOSURE OF NON-CASH INVESTING AND FINANCING</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tcPr>
          <w:p>
            <w:pPr>
              <w:ind w:left="100"/>
              <w:spacing w:after="0"/>
              <w:rPr>
                <w:sz w:val="20"/>
                <w:szCs w:val="20"/>
                <w:color w:val="auto"/>
              </w:rPr>
            </w:pPr>
            <w:r>
              <w:rPr>
                <w:rFonts w:ascii="Arial" w:cs="Arial" w:eastAsia="Arial" w:hAnsi="Arial"/>
                <w:sz w:val="14"/>
                <w:szCs w:val="14"/>
                <w:color w:val="auto"/>
              </w:rPr>
              <w:t>ACTIVITIES:</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Accrued property and equipment purchases</w:t>
            </w:r>
          </w:p>
        </w:tc>
        <w:tc>
          <w:tcPr>
            <w:tcW w:w="2220" w:type="dxa"/>
            <w:vAlign w:val="bottom"/>
            <w:gridSpan w:val="2"/>
            <w:shd w:val="clear" w:color="auto" w:fill="CFF0FC"/>
          </w:tcPr>
          <w:p>
            <w:pPr>
              <w:jc w:val="right"/>
              <w:ind w:right="85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1,574</w:t>
            </w:r>
          </w:p>
        </w:tc>
        <w:tc>
          <w:tcPr>
            <w:tcW w:w="120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tcPr>
          <w:p>
            <w:pPr>
              <w:ind w:left="240"/>
              <w:spacing w:after="0"/>
              <w:rPr>
                <w:sz w:val="20"/>
                <w:szCs w:val="20"/>
                <w:color w:val="auto"/>
              </w:rPr>
            </w:pPr>
            <w:r>
              <w:rPr>
                <w:rFonts w:ascii="Arial" w:cs="Arial" w:eastAsia="Arial" w:hAnsi="Arial"/>
                <w:sz w:val="14"/>
                <w:szCs w:val="14"/>
                <w:color w:val="auto"/>
              </w:rPr>
              <w:t>Stock-based compensation included in capitalized software development costs</w:t>
            </w:r>
          </w:p>
        </w:tc>
        <w:tc>
          <w:tcPr>
            <w:tcW w:w="2220" w:type="dxa"/>
            <w:vAlign w:val="bottom"/>
            <w:gridSpan w:val="2"/>
          </w:tcPr>
          <w:p>
            <w:pPr>
              <w:jc w:val="right"/>
              <w:ind w:right="85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120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Vesting of early exercised options</w:t>
            </w:r>
          </w:p>
        </w:tc>
        <w:tc>
          <w:tcPr>
            <w:tcW w:w="2220" w:type="dxa"/>
            <w:vAlign w:val="bottom"/>
            <w:gridSpan w:val="2"/>
            <w:shd w:val="clear" w:color="auto" w:fill="CFF0FC"/>
          </w:tcPr>
          <w:p>
            <w:pPr>
              <w:jc w:val="right"/>
              <w:ind w:right="85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1,490</w:t>
            </w:r>
          </w:p>
        </w:tc>
        <w:tc>
          <w:tcPr>
            <w:tcW w:w="120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tcPr>
          <w:p>
            <w:pPr>
              <w:ind w:left="240"/>
              <w:spacing w:after="0"/>
              <w:rPr>
                <w:sz w:val="20"/>
                <w:szCs w:val="20"/>
                <w:color w:val="auto"/>
              </w:rPr>
            </w:pPr>
            <w:r>
              <w:rPr>
                <w:rFonts w:ascii="Arial" w:cs="Arial" w:eastAsia="Arial" w:hAnsi="Arial"/>
                <w:sz w:val="14"/>
                <w:szCs w:val="14"/>
                <w:color w:val="auto"/>
              </w:rPr>
              <w:t>Costs related to initial public offering included in accounts payable and accrued liabilities</w:t>
            </w:r>
          </w:p>
        </w:tc>
        <w:tc>
          <w:tcPr>
            <w:tcW w:w="2220" w:type="dxa"/>
            <w:vAlign w:val="bottom"/>
            <w:gridSpan w:val="2"/>
          </w:tcPr>
          <w:p>
            <w:pPr>
              <w:jc w:val="right"/>
              <w:ind w:right="85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2,721</w:t>
            </w:r>
          </w:p>
        </w:tc>
        <w:tc>
          <w:tcPr>
            <w:tcW w:w="120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6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6620" w:type="dxa"/>
            <w:vAlign w:val="bottom"/>
          </w:tcPr>
          <w:p>
            <w:pPr>
              <w:spacing w:after="0" w:line="143" w:lineRule="exact"/>
              <w:rPr>
                <w:sz w:val="20"/>
                <w:szCs w:val="20"/>
                <w:color w:val="auto"/>
              </w:rPr>
            </w:pPr>
            <w:r>
              <w:rPr>
                <w:rFonts w:ascii="Arial" w:cs="Arial" w:eastAsia="Arial" w:hAnsi="Arial"/>
                <w:sz w:val="14"/>
                <w:szCs w:val="14"/>
                <w:color w:val="auto"/>
              </w:rPr>
              <w:t>RECONCILIATION OF CASH, CASH EQUIVALENTS AND RESTRICTED CASH</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100"/>
              <w:spacing w:after="0" w:line="149" w:lineRule="exact"/>
              <w:rPr>
                <w:sz w:val="20"/>
                <w:szCs w:val="20"/>
                <w:color w:val="auto"/>
              </w:rPr>
            </w:pPr>
            <w:r>
              <w:rPr>
                <w:rFonts w:ascii="Arial" w:cs="Arial" w:eastAsia="Arial" w:hAnsi="Arial"/>
                <w:sz w:val="14"/>
                <w:szCs w:val="14"/>
                <w:color w:val="auto"/>
              </w:rPr>
              <w:t>WITHIN THE CONSOLIDATED BALANCE SHEETS TO THE AMOUNTS SHOWN</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tcPr>
          <w:p>
            <w:pPr>
              <w:ind w:left="100"/>
              <w:spacing w:after="0"/>
              <w:rPr>
                <w:sz w:val="20"/>
                <w:szCs w:val="20"/>
                <w:color w:val="auto"/>
              </w:rPr>
            </w:pPr>
            <w:r>
              <w:rPr>
                <w:rFonts w:ascii="Arial" w:cs="Arial" w:eastAsia="Arial" w:hAnsi="Arial"/>
                <w:sz w:val="14"/>
                <w:szCs w:val="14"/>
                <w:color w:val="auto"/>
              </w:rPr>
              <w:t>IN THE STATEMENTS OF CASH FLOWS ABOVE:</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Cash and cash equivalents</w:t>
            </w:r>
          </w:p>
        </w:tc>
        <w:tc>
          <w:tcPr>
            <w:tcW w:w="2220" w:type="dxa"/>
            <w:vAlign w:val="bottom"/>
            <w:gridSpan w:val="2"/>
            <w:shd w:val="clear" w:color="auto" w:fill="CFF0FC"/>
          </w:tcPr>
          <w:p>
            <w:pPr>
              <w:jc w:val="right"/>
              <w:ind w:right="85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760,945</w:t>
            </w:r>
          </w:p>
        </w:tc>
        <w:tc>
          <w:tcPr>
            <w:tcW w:w="120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64,003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20" w:type="dxa"/>
            <w:vAlign w:val="bottom"/>
          </w:tcPr>
          <w:p>
            <w:pPr>
              <w:ind w:left="240"/>
              <w:spacing w:after="0" w:line="143" w:lineRule="exact"/>
              <w:rPr>
                <w:sz w:val="20"/>
                <w:szCs w:val="20"/>
                <w:color w:val="auto"/>
              </w:rPr>
            </w:pPr>
            <w:r>
              <w:rPr>
                <w:rFonts w:ascii="Arial" w:cs="Arial" w:eastAsia="Arial" w:hAnsi="Arial"/>
                <w:sz w:val="14"/>
                <w:szCs w:val="14"/>
                <w:color w:val="auto"/>
              </w:rPr>
              <w:t>Restricted cash – Including amounts in prepaid expense and other current assets and</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tcBorders>
              <w:bottom w:val="single" w:sz="8" w:color="CFF0FC"/>
            </w:tcBorders>
          </w:tcPr>
          <w:p>
            <w:pPr>
              <w:ind w:left="340"/>
              <w:spacing w:after="0"/>
              <w:rPr>
                <w:sz w:val="20"/>
                <w:szCs w:val="20"/>
                <w:color w:val="auto"/>
              </w:rPr>
            </w:pPr>
            <w:r>
              <w:rPr>
                <w:rFonts w:ascii="Arial" w:cs="Arial" w:eastAsia="Arial" w:hAnsi="Arial"/>
                <w:sz w:val="14"/>
                <w:szCs w:val="14"/>
                <w:color w:val="auto"/>
              </w:rPr>
              <w:t>other assets</w:t>
            </w:r>
          </w:p>
        </w:tc>
        <w:tc>
          <w:tcPr>
            <w:tcW w:w="12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9,982</w:t>
            </w:r>
          </w:p>
        </w:tc>
        <w:tc>
          <w:tcPr>
            <w:tcW w:w="1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7,642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Borders>
              <w:bottom w:val="single" w:sz="8" w:color="CFF0FC"/>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Total cash, cash equivalents and restricted cash</w:t>
            </w:r>
          </w:p>
        </w:tc>
        <w:tc>
          <w:tcPr>
            <w:tcW w:w="12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850"/>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770,927</w:t>
            </w:r>
          </w:p>
        </w:tc>
        <w:tc>
          <w:tcPr>
            <w:tcW w:w="18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71,645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Datadog, Inc. (“Datadog” or the “Company”) was incorporated in the State of Delaware on June 4, 2010. The Company is the monitoring and analytics platform for developers, IT operations teams and business users in the cloud age. The Company’s SaaS platform integrates and automates infrastructure monitoring, application performance monitoring and log management, to provide unified, real-time observability of its customers’ entire technology stack. The Company is headquartered in New York City and has various other global office locations.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On September 23, 2019, the Company completed its initial public offering (“IPO”), in which the Company issued and sold 24,000,000 shares of its Class A common stock at a public offering price of $27.00 per share, which resulted in net proceeds of $615.6 million after deducting underwriting discounts and commissions. On September 25, 2019, the underwriters exercised their option to purchase an additional 3,600,000 shares of Class A common stock at $27.00 per share, resulting in additional proceeds of $92.3 million, net of underwriters’ discounts and commissions. Immediately prior to the closing of the IPO, all shares of common stock then outstanding were reclassified as Class B common stock and all shares of the convertible preferred stock then outstanding automatically converted into 179,011,431 shares of Class B common stock.</w:t>
      </w:r>
    </w:p>
    <w:p>
      <w:pPr>
        <w:spacing w:after="0" w:line="17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8"/>
          <w:szCs w:val="18"/>
          <w:color w:val="auto"/>
        </w:rPr>
        <w:t>Prior to the IPO, deferred offering costs, which consist of direct incremental legal, accounting, and consulting fees relating to the IPO, were capitalized in prepaid expenses and other current assets in the condensed consolidated balance sheets. Upon the consummation of the IPO, $2.0 million of net deferred offering costs were reclassified into stockholders’ equity as an offset against IPO proceeds.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accounting principles generally accepted in the United States of America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Datadog, Inc. and its wholly owned subsidiaries. All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 and Authorized Shares</w:t>
      </w:r>
    </w:p>
    <w:p>
      <w:pPr>
        <w:spacing w:after="0" w:line="225"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On January 2, 2018, the Company’s Board of Directors (the “Board”) and stockholders approved a 4-for-1 stock split of the Company’s then-outstanding common stock and convertible preferred stock was effected without any change in the par value per share.</w:t>
      </w:r>
    </w:p>
    <w:p>
      <w:pPr>
        <w:spacing w:after="0" w:line="170"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September 6, 2019, the Board and stockholders approved an amended and restated certificate of incorporation of the Company effecting a 3-for-1 stock split of the Company’s issued and outstanding shares of common stock and convertible preferred stock, and an increase to the authorized shares of the Company’s common stock and convertible preferred stock to 380,000,000 shares and 179,814,912 shares, respectively. The split was effected on September 6, 2019 and without any change in the par value per share. All information related to the Company’s common stock, convertible preferred stock and stock awards has been retroactively adjusted to give effect to the 3-for-1 stock split, without any change in the par value per share.</w:t>
      </w:r>
    </w:p>
    <w:p>
      <w:pPr>
        <w:spacing w:after="0" w:line="1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All information related to the Company’s common stock, convertible preferred stock and stock awards has been retroactively adjusted to give effect to the 4-for-1 stock split on January 2, 2018 and 3-for-1 stock split on September 6,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both"/>
        <w:ind w:firstLine="518"/>
        <w:spacing w:after="0" w:line="264" w:lineRule="auto"/>
        <w:rPr>
          <w:sz w:val="20"/>
          <w:szCs w:val="20"/>
          <w:color w:val="auto"/>
        </w:rPr>
      </w:pPr>
      <w:r>
        <w:rPr>
          <w:rFonts w:ascii="Arial" w:cs="Arial" w:eastAsia="Arial" w:hAnsi="Arial"/>
          <w:sz w:val="18"/>
          <w:szCs w:val="18"/>
          <w:color w:val="auto"/>
        </w:rPr>
        <w:t>On September 23, 2019, an amended and restated certificate of incorporation of the Company was filed immediately prior to the closing of the IPO authorizing an aggregate of 2,330,000,000 shares of capital stock of the Company, including 2,000,000,000 shares of Class A common stock, 310,000,000 shares of Class B common stock and 20,000,000 shares of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has a single operating and reportable segment as well as one business activity, monitoring and providing analytics on companies’ information technology (“IT”) infrastructure. The Company’s chief operating decision maker is its Chief Executive Officer, who reviews financial information presented on a consolidated basis for purposes of making operating decisions, assessing financial performance, and allocating resources. There are no segment managers who are held accountable for operations or results below the consolidated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allowance for doubtful accounts, the fair value of acquired assets and assumed liabilities from business combinations, useful lives of property, equipment, software, and finite lived intangibles, stock-based compensation including the determination of the fair value of the Company’s stock, valuation of long-lived assets and their recoverability, including goodwill, estimated expected period of benefit for deferred contract costs, the incremental borrowing rate for operating leases,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22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unaudited condensed consolidated financial statements include the accounts of Datadog Inc. and its wholly 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2019 or for any other interim period or for any other future year. The accompanying unaudited condensed consolidated financial statements and related financial information should be read in conjunction with the audited consolidated financial statements and the related notes thereto for the fiscal year ended December 31, 2018 contained in the Company’s final prospectus for its IPO dated as of September 18, 2019 and filed with the SEC pursuant to Rule 424(b)(4) on September 19, 2019 (the “Final Prospectus”).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reporting currency of the Company is the United States dollar (“USD”). The functional currency of the Company is USD, and the functional currency of the Company’s subsidiaries is generally the local currency of the jurisdiction in which the foreign subsidiary is located. The assets and liabilities of the Company’s subsidiaries are translated to USD at exchange rates in effect at the balance sheet date. All income statement accounts are translated at monthly average exchange rates. Resulting foreign currency translation adjustments are recorded directly in accumulated other comprehensive loss as a separate component of stockholders’ equity (deficit).</w:t>
      </w:r>
    </w:p>
    <w:p>
      <w:pPr>
        <w:spacing w:after="0" w:line="188"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Transaction gains and losses that arise from exchange rate fluctuations on transactions denominated in a currency other than the functional currency are included in other income, net in the accompanying condensed consolidated statements of operations and comprehensive loss when realized.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Company generates revenue from the sale of subscriptions to customers using its cloud-based platform. The terms of the Company’s subscription agreements are primarily monthly or annual. The Company’s customers can enter into (1) a subscription agreement for a committed contractual amount of usage that is apportioned ratably on a monthly basis over the term of the subscription period, (2) a subscription agreement for a committed contractual amount of usage that is delivered as used, or (3) a monthly subscription based on usage. The Company typically bills customers on an annual subscription in full up-front, with any usage in excess of the committed contracted amount billed monthly in arrears. The Company typically bills customers on a monthly plan in arrears. Customers also have the option to purchase additional services priced at rates at or above the stand-alone selling price.</w:t>
      </w:r>
    </w:p>
    <w:p>
      <w:pPr>
        <w:spacing w:after="0" w:line="16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 xml:space="preserve">The Company elected to early adopt Financial Accounting Standards Board (“FASB”) Accounting Standards Codification (“ASC”) Topic 606, </w:t>
      </w:r>
      <w:r>
        <w:rPr>
          <w:rFonts w:ascii="Arial" w:cs="Arial" w:eastAsia="Arial" w:hAnsi="Arial"/>
          <w:sz w:val="18"/>
          <w:szCs w:val="18"/>
          <w:i w:val="1"/>
          <w:iCs w:val="1"/>
          <w:color w:val="auto"/>
        </w:rPr>
        <w:t xml:space="preserve">Revenue from Contracts with Customers </w:t>
      </w:r>
      <w:r>
        <w:rPr>
          <w:rFonts w:ascii="Arial" w:cs="Arial" w:eastAsia="Arial" w:hAnsi="Arial"/>
          <w:sz w:val="18"/>
          <w:szCs w:val="18"/>
          <w:color w:val="auto"/>
        </w:rPr>
        <w:t>(“Topic 606”), effective January 1, 2017, using the full retrospective method of adoption. As such,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present revenue in accordance with Topic 606 for all of the periods presented.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17"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Company’s revenue arrangements may include infrastructure monitoring, application performance monitoring, log management, and synthetics, as well as secondary services including custom metrics in dashboard monitoring, docker container monitoring, and app analytics. The Company has identified each service as a separate performance obligation.</w:t>
      </w:r>
    </w:p>
    <w:p>
      <w:pPr>
        <w:spacing w:after="0" w:line="18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The transaction price is based on the fixed price for the contracted level of service plus variable consideration for additional optional purchases. Billing periods correspond to the periods over which services are performed and there are no discounts given on the purchase of future services.</w:t>
      </w:r>
    </w:p>
    <w:p>
      <w:pPr>
        <w:spacing w:after="0" w:line="14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Company allocates revenue to each performance obligation based on its relative standalone selling price. The Company generally determines standalone selling prices based on a range of actual prices charged to customers.</w:t>
      </w:r>
    </w:p>
    <w:p>
      <w:pPr>
        <w:spacing w:after="0" w:line="170"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Revenue is recognized when control of these services is transferred to customers, in an amount that reflects the consideration the Company expects to be entitled to receive in exchange for those services. The Company determined an output method to be the most appropriate measure of progress because it most faithfully represents when the value of the services are simultaneously received and consumed by the customer, and control is transferred.</w:t>
      </w:r>
    </w:p>
    <w:p>
      <w:pPr>
        <w:spacing w:after="0" w:line="14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For committed contractual amounts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the Company recognizes revenue as the product is used. Subscription revenue excludes sales and other indirect taxes.</w:t>
      </w:r>
    </w:p>
    <w:p>
      <w:pPr>
        <w:spacing w:after="0" w:line="18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Company applied the practical expedient in Topic 606 and did not evaluate contracts of one year or less for the existence of a significant financing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Cost of revenue consists primarily of costs related to providing subscription services to paying customers, including data center and networking expenses, employee compensation (including stock-based compensation) and other employee-related expenses for customer experience and technical operations staff, payments to outside service providers, payment processing fees, amortization of capitalized internally developed software costs and acquired developed technology, and allocated overhead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Research and development costs are expensed as incurred. Research and development costs consist of employee compensation (including stock-based compensation) and other employee-related expenses, materials and supplies, and allocated overhead costs such as rent and facilities costs.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Advertising costs are expensed as incurred and were approximately $2.7 million and $7.3 million for the three and nine months ended September 30, 2019, respectively, and $2.3 million and $6.0 million for the three and nine months ended September 30, 2018, respectively, and are included in sales and marketing expense in the accompanying condensed consolidated statement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temporary differences between the carrying amounts for financial reporting and the tax bases of assets and liabilities. The deferred assets and liabilities are recorded at the statutorily enacted tax rates anticipated to be in effect when such temporary differences reverse. The effect on deferred tax assets and liabilities of a change in tax rates is recognized in the period that includes the enactment date. A valuation allowance is established, when based upon the available evidence, it is more likely than not that some or all of the deferred tax assets will not be realized.</w:t>
      </w:r>
    </w:p>
    <w:p>
      <w:pPr>
        <w:spacing w:after="0" w:line="18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Company engages in transactions in which the tax consequences may be subject to uncertainty. The Company accounts for uncertain tax positions based on an evaluation as to whether it is more likely than not that a tax position will be sustained on audit, including resolution of any related appeals or litigation processes. This evaluation is based on all available evidence and assumes that the appropriate tax authorities have full knowledge of all relevant information concerning the tax position. The Company accounts for uncertain tax positions as non-current tax liabilities or through a reduction of a corresponding deferred tax asset. The tax benefit recognized is based on the largest amount that is greater than 50% likely of being realized upon ultimate settlement. The Company includes potential interest expense and penalties related to its uncertain tax positions in income tax expense.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The Company measures compensation expense for all stock-based payment awards, including stock options granted to employees, directors, and nonemployees, based on the estimated fair value of the awards on the date of grant. The fair value of each stock option granted is estimated using the Black Scholes option pricing model.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Stock-based compensation is recognized on a straight-line basis over the requisite service period. 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6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Prior to the IPO, the fair value of common stock underlying the stock options had historically been determined by the Board of Directors, with input from the Company’s management. The Board of Directors previously determined the fair value of the common stock at the time of grant of the options by considering a number of objective and subjective factors, including valuations of comparable companies, sales of common stock to unrelated third parties, operating and financial performance, the lack of liquidity of the Company’s capital stock, and general and industry-specific economic outlook. Subsequent to the IPO, the fair value of the underlying common stock is determined by the closing price, on the date of grant, of the Company’s Class A common stock, which is traded publicly on the Nasdaq Global Select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when purchased to be cash equivalents. Cash equivalents consist of funds deposited into money market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Restricted cash primarily consists of collateralized letters of credit established in connection with lease agreements for the Company’s facilities. Restricted cash is included in current assets for leases that expire within one year and is included in non-current assets for leases that expire in more than one year from the balance sheet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Financial instruments that potentially subject the Company to credit risk primarily consist of cash and cash equivalents and accounts receivable. For cash and cash equivalents, the Company is exposed to credit risk in the event of default by the financial institutions to the extent of the amounts recorded on the accompanying condensed consolidated balance sheets exceed federally insured limits. The Company places its cash and cash equivalents with financial institutions with high-quality credit ratings and has not experienced any losses in such accounts. For accounts receivable, the Company is exposed to credit risk in the event of nonpayment by customers to the extent of the amounts recorded on the accompanying condensed consolidated balance sheets.</w:t>
      </w:r>
    </w:p>
    <w:p>
      <w:pPr>
        <w:spacing w:after="0" w:line="15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There were no customers representing greater than 10% of total revenue for the three and nine months ended September 30, 2019 or 2018. No customers represented greater than 10% of accounts receivable as of September 30, 2019 or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by location is determined by the billing address for the customer. The following table sets forth revenue by geographic area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70,904</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38,791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186,340</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101,976</w:t>
            </w: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24,960</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12,283</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62,796</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34,491</w:t>
            </w:r>
          </w:p>
        </w:tc>
      </w:tr>
      <w:tr>
        <w:trPr>
          <w:trHeight w:val="223"/>
        </w:trPr>
        <w:tc>
          <w:tcPr>
            <w:tcW w:w="5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95,864</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51,074</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249,136</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136,467</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September 30, 2019, 72% of the Company’s long-lived assets were located in North America and 28% were located outside of North America. As of December 31, 2018, 85% of the Company’s long-lived assets were located in North America and 15% were located outside of North America,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 tiered hierarchy, which prioritizes the inputs used in the valuation methodologies in measuring fair value as follows: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 xml:space="preserve">Level 1 Inputs: </w:t>
      </w:r>
      <w:r>
        <w:rPr>
          <w:rFonts w:ascii="Arial" w:cs="Arial" w:eastAsia="Arial" w:hAnsi="Arial"/>
          <w:sz w:val="16"/>
          <w:szCs w:val="16"/>
          <w:color w:val="auto"/>
        </w:rPr>
        <w:t>Unadjusted quoted prices in active markets for identical assets or liabilities accessible to the reporting entity at the measurement date.</w:t>
      </w:r>
    </w:p>
    <w:p>
      <w:pPr>
        <w:spacing w:after="0" w:line="140"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 xml:space="preserve">Level 2 Inputs: </w:t>
      </w:r>
      <w:r>
        <w:rPr>
          <w:rFonts w:ascii="Arial" w:cs="Arial" w:eastAsia="Arial" w:hAnsi="Arial"/>
          <w:sz w:val="18"/>
          <w:szCs w:val="18"/>
          <w:color w:val="auto"/>
        </w:rPr>
        <w:t>Other than quoted prices included in Level 1 inputs that are observable for the asset or liability, either directly or indirectly,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substantially the full term of the asset or liability.</w:t>
      </w:r>
    </w:p>
    <w:p>
      <w:pPr>
        <w:spacing w:after="0" w:line="6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 xml:space="preserve">Level 3 Inputs: </w:t>
      </w:r>
      <w:r>
        <w:rPr>
          <w:rFonts w:ascii="Arial" w:cs="Arial" w:eastAsia="Arial" w:hAnsi="Arial"/>
          <w:sz w:val="18"/>
          <w:szCs w:val="18"/>
          <w:color w:val="auto"/>
        </w:rPr>
        <w:t>Unobservable inputs for the asset or liability used to measure fair value to the extent that observable inputs are not available, thereby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allowing for situations in which there is little, if any, market activity for the asset or liability at measurement date.</w:t>
      </w:r>
    </w:p>
    <w:p>
      <w:pPr>
        <w:spacing w:after="0" w:line="170"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Included in the Company’s cash and cash equivalents are money market funds, which are classified within Level 1 of the fair value hierarchy because they are valued using quoted market prices. As of September 30, 2019, and December 31, 2018, the Company had $760.9 million and $53.6 million, respectively, of cash and cash equivalents primarily invested in money market funds. In addition, the Company had $10.0 million and $11.3 million, respectively, of restricted cash in connection with collateral for various lease agreements for the Company’s facilities. Accounts receivable, accounts payable, and accrued expenses are stated at their carrying value, which approximates fair value due to the short time to the expected receipt or payment date.</w:t>
      </w:r>
    </w:p>
    <w:p>
      <w:pPr>
        <w:spacing w:after="0" w:line="15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Accounts receivable includes billed and unbilled receivables. Trade accounts receivable are recorded at invoiced amounts and do not bear interest. The Company generally does not require collateral and provides for expected losses. The expectation of collectability is based on a review of credit profiles of customers, contractual terms and conditions, current economic trends, and historical payment experience. The Company regularly reviews the adequacy of the allowance for doubtful accounts by considering the age of each outstanding invoice and the collection history of each customer to determine the appropriate amount of allowance for doubtful accounts. Accounts receivable deemed uncollectible are charged against the allowance for doubtful accounts when identified.</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September 30, 2019, and December 31, 2018, unbilled accounts receivable of approximately $13.1 million and $13.1 million, respectively, was included in accounts receivable on the Company’s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22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Company capitalizes qualifying internal use software development costs related to its cloud platform. The costs consist of personnel costs (including related benefits and stock-based compensation) that are incurred during the application development stage.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Capitalized costs are included in property and equipment. These costs are amortized over the estimated useful life of the software, which is two years, on a straight-line basis, which represents the manner in which the expected benefit will be derived. The amortization of costs related to the platform applications is included in cost of revenue and sales and marketing expense based on an allocation between paid customer accounts and free customer accounts not generating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Property and equipment, net is stated at cost less accumulated depreciation and amortization. Depreciation is computed using the straight-line method over the estimated useful life of the related asset. Expenses that improve an asset or extend its remaining useful life are capitalized. Costs of maintenance or repairs that do not extend the lives of the respective assets are charged to expenses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Sales commissions earned by the Company’s sales force are considered incremental and recoverable costs of obtaining a contract with a customer. These costs are deferred and then amortized over a period of benefit which is determined to be four years. The Company determined the period of benefit by taking into consideration the length of terms in its customer contracts, life of the technology and other factors. Amounts expected to be recognized within one year of the balance sheet date are recorded as deferred contract costs, current; the remaining portion is recorded as deferred contract costs, non-current, in the condensed consolidated balance sheets. Deferred contract costs are periodically analyzed for impairment. Amortization expense is included in sales and marketing expenses in the accompanying condensed consolidated statements of operations.</w:t>
      </w:r>
    </w:p>
    <w:p>
      <w:pPr>
        <w:spacing w:after="0" w:line="17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8"/>
          <w:szCs w:val="18"/>
          <w:color w:val="auto"/>
        </w:rPr>
        <w:t>Deferred contract costs on the Company’s condensed consolidated balance sheets were $18.2 million and $11.0 million as of September 30, 2019 and December 31, 2018, respectively. Amortization expense was $1.4 million and $0.7 million for the three months ended September 30, 2019 and 2018, respectively, and was $3.7 million and $1.8 million for the nine months ended September 30, 2019 and 2018,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table represents a rollforward of the Company’s deferred contract costs (in thousands):</w:t>
      </w:r>
    </w:p>
    <w:p>
      <w:pPr>
        <w:spacing w:after="0" w:line="325" w:lineRule="exact"/>
        <w:rPr>
          <w:sz w:val="20"/>
          <w:szCs w:val="20"/>
          <w:color w:val="auto"/>
        </w:rPr>
      </w:pPr>
    </w:p>
    <w:p>
      <w:pPr>
        <w:jc w:val="right"/>
        <w:ind w:right="98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Balance as of December 31,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Additions to deferred contract costs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deferred contract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Balance as of September 30, 2019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Borders>
              <w:top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11,009</w:t>
            </w:r>
          </w:p>
        </w:tc>
      </w:tr>
      <w:tr>
        <w:trPr>
          <w:trHeight w:val="230"/>
        </w:trPr>
        <w:tc>
          <w:tcPr>
            <w:tcW w:w="88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10,894</w:t>
            </w:r>
          </w:p>
        </w:tc>
      </w:tr>
      <w:tr>
        <w:trPr>
          <w:trHeight w:val="230"/>
        </w:trPr>
        <w:tc>
          <w:tcPr>
            <w:tcW w:w="8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w:t>
            </w:r>
          </w:p>
        </w:tc>
      </w:tr>
      <w:tr>
        <w:trPr>
          <w:trHeight w:val="223"/>
        </w:trPr>
        <w:tc>
          <w:tcPr>
            <w:tcW w:w="880" w:type="dxa"/>
            <w:vAlign w:val="bottom"/>
            <w:tcBorders>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18,215</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8400" w:space="720"/>
            <w:col w:w="2300"/>
          </w:cols>
          <w:pgMar w:left="240" w:top="341" w:right="239" w:bottom="1440" w:gutter="0" w:footer="0" w:header="0"/>
          <w:type w:val="continuous"/>
        </w:sectPr>
      </w:pPr>
    </w:p>
    <w:p>
      <w:pPr>
        <w:spacing w:after="0" w:line="25"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Such valuations require the Company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The Company’s estimates of fair value are based upon assumptions believed to be reasonable, but which are inherently uncertain and unpredictable and, as a result, actual results may differ from estimates. During the measurement period, the Company may record adjustments to the assets acquired and liabilities assumed, with the corresponding offset to goodwill. Upon the conclusion of the measurement period, any subsequent adjustments are recorded to other income, net in the condensed consolidated statement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Impairment of Long-Lived Assets (Including Goodwill and Intangibles)</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Long-lived assets with finite lives include property and equipment, capitalized development software costs and acquired intangible assets. Long-lived assets are amortized over their estimated useful lives which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Computers and equipment</w:t>
            </w:r>
          </w:p>
        </w:tc>
        <w:tc>
          <w:tcPr>
            <w:tcW w:w="6600" w:type="dxa"/>
            <w:vAlign w:val="bottom"/>
            <w:shd w:val="clear" w:color="auto" w:fill="CFF0FC"/>
          </w:tcPr>
          <w:p>
            <w:pPr>
              <w:ind w:left="1940"/>
              <w:spacing w:after="0"/>
              <w:rPr>
                <w:sz w:val="20"/>
                <w:szCs w:val="20"/>
                <w:color w:val="auto"/>
              </w:rPr>
            </w:pPr>
            <w:r>
              <w:rPr>
                <w:rFonts w:ascii="Arial" w:cs="Arial" w:eastAsia="Arial" w:hAnsi="Arial"/>
                <w:sz w:val="18"/>
                <w:szCs w:val="18"/>
                <w:color w:val="auto"/>
              </w:rPr>
              <w:t>3 years</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Furnitures and fixtures</w:t>
            </w:r>
          </w:p>
        </w:tc>
        <w:tc>
          <w:tcPr>
            <w:tcW w:w="6600" w:type="dxa"/>
            <w:vAlign w:val="bottom"/>
          </w:tcPr>
          <w:p>
            <w:pPr>
              <w:ind w:left="1940"/>
              <w:spacing w:after="0"/>
              <w:rPr>
                <w:sz w:val="20"/>
                <w:szCs w:val="20"/>
                <w:color w:val="auto"/>
              </w:rPr>
            </w:pPr>
            <w:r>
              <w:rPr>
                <w:rFonts w:ascii="Arial" w:cs="Arial" w:eastAsia="Arial" w:hAnsi="Arial"/>
                <w:sz w:val="18"/>
                <w:szCs w:val="18"/>
                <w:color w:val="auto"/>
              </w:rPr>
              <w:t>5 years</w:t>
            </w: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6600" w:type="dxa"/>
            <w:vAlign w:val="bottom"/>
            <w:shd w:val="clear" w:color="auto" w:fill="CFF0FC"/>
          </w:tcPr>
          <w:p>
            <w:pPr>
              <w:ind w:left="1940"/>
              <w:spacing w:after="0"/>
              <w:rPr>
                <w:sz w:val="20"/>
                <w:szCs w:val="20"/>
                <w:color w:val="auto"/>
              </w:rPr>
            </w:pPr>
            <w:r>
              <w:rPr>
                <w:rFonts w:ascii="Arial" w:cs="Arial" w:eastAsia="Arial" w:hAnsi="Arial"/>
                <w:sz w:val="18"/>
                <w:szCs w:val="18"/>
                <w:color w:val="auto"/>
              </w:rPr>
              <w:t>Shorter of lease term or useful life of asset</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Capitalized software development costs</w:t>
            </w:r>
          </w:p>
        </w:tc>
        <w:tc>
          <w:tcPr>
            <w:tcW w:w="6600" w:type="dxa"/>
            <w:vAlign w:val="bottom"/>
          </w:tcPr>
          <w:p>
            <w:pPr>
              <w:ind w:left="1940"/>
              <w:spacing w:after="0"/>
              <w:rPr>
                <w:sz w:val="20"/>
                <w:szCs w:val="20"/>
                <w:color w:val="auto"/>
              </w:rPr>
            </w:pPr>
            <w:r>
              <w:rPr>
                <w:rFonts w:ascii="Arial" w:cs="Arial" w:eastAsia="Arial" w:hAnsi="Arial"/>
                <w:sz w:val="18"/>
                <w:szCs w:val="18"/>
                <w:color w:val="auto"/>
              </w:rPr>
              <w:t>2 years</w:t>
            </w: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6600" w:type="dxa"/>
            <w:vAlign w:val="bottom"/>
            <w:shd w:val="clear" w:color="auto" w:fill="CFF0FC"/>
          </w:tcPr>
          <w:p>
            <w:pPr>
              <w:ind w:left="1940"/>
              <w:spacing w:after="0"/>
              <w:rPr>
                <w:sz w:val="20"/>
                <w:szCs w:val="20"/>
                <w:color w:val="auto"/>
              </w:rPr>
            </w:pPr>
            <w:r>
              <w:rPr>
                <w:rFonts w:ascii="Arial" w:cs="Arial" w:eastAsia="Arial" w:hAnsi="Arial"/>
                <w:sz w:val="18"/>
                <w:szCs w:val="18"/>
                <w:color w:val="auto"/>
              </w:rPr>
              <w:t>1-3 years</w:t>
            </w:r>
          </w:p>
        </w:tc>
      </w:tr>
    </w:tbl>
    <w:p>
      <w:pPr>
        <w:spacing w:after="0" w:line="20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evaluates long lived assets, including acquired intangible assets and capitalized software development costs, for impairment whenever events or changes in circumstances indicate that the carrying amount of an asset may not be recoverable or the estimated useful life becomes shorter than originally estimated.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 based on discounted cash flows.</w:t>
      </w:r>
    </w:p>
    <w:p>
      <w:pPr>
        <w:spacing w:after="0" w:line="193"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Goodwill is not amortized but rather tested for impairment at least annually in the fourth quarter, or more frequently if events or changes in circumstances indicate that goodwill may be impaired. Goodwill impairment is recognized when the quantitative assessment results in the carrying value exceeding the fair value, in which case an impairment charge is recorded to the extent the carrying value exceeds the fair value. The Company did not recognize any impairment of goodwill during the three or nine months ended September 30, 2019 or during the year ended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 xml:space="preserve">The Company leases real estate facilities under operating leases. For leases that contain rent escalation or rent concession provisions, the Company records the total rent expense during the lease term on a straight-line basis over the term of the lease. Prior to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on January 1, 2019, the Company records the difference between the rent paid and the straight-line rent expense as a deferred rent liability within accrued expenses and other current liabilities and other liabilities.</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Company’s operating lease costs were $3.9 million and $9.7 million during the three and nine months ended September 30, 2019, respectively. The Company recognized sublease income (including reimbursed expenses) of $0.2 million and $0.8 million during the three and nine months ended September 30, 2019, respectively. The Company’s variable lease costs amounted to $0.1 million and $0.1 million for the three and nine months ended September 30, 2019, respectively. The Company’s short-term lease costs were $0.6 million and $2.1 million for the three and nine months ended September 30, 2019,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5" w:name="page16"/>
    <w:bookmarkEnd w:id="15"/>
    <w:p>
      <w:pPr>
        <w:jc w:val="both"/>
        <w:ind w:firstLine="518"/>
        <w:spacing w:after="0" w:line="342" w:lineRule="auto"/>
        <w:rPr>
          <w:sz w:val="20"/>
          <w:szCs w:val="20"/>
          <w:color w:val="auto"/>
        </w:rPr>
      </w:pPr>
      <w:r>
        <w:rPr>
          <w:rFonts w:ascii="Arial" w:cs="Arial" w:eastAsia="Arial" w:hAnsi="Arial"/>
          <w:sz w:val="16"/>
          <w:szCs w:val="16"/>
          <w:color w:val="auto"/>
        </w:rPr>
        <w:t>The Company’s gross lease expense was $2.7 million and $6.5 million during the three and nine months ended September 30, 2018, respectively, which was offset by sublease income of $0.3 million and $0.5 million for the three and nine months ended September 30, 2018,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records contract liabilities to deferred revenue when the Company receives customer payments in advance of the performance obligations being satisfied on the Company’s contracts. Certain of the Company’s customers pay in advance of satisfaction of performance obligations and other customers with monthly contract terms are billed in arrears on a monthly basis.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recognized into revenue $43.5 million and $21.7 million during the three months ended September 30, 2019 and 2018, respectively, and $62.9 million and $29.8 million during the nine months ended September 30, 2019 and September 30, 2018, respectively, that was included in the deferred revenue balances as of December 31, 2018 and 2017, respectively.</w:t>
      </w:r>
    </w:p>
    <w:p>
      <w:pPr>
        <w:spacing w:after="0" w:line="181"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September 30, 2019, and December 31, 2018, the aggregate transaction price allocated to remaining performance obligations was $206.4 million and $127.1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Shareholders</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Basic net loss per share is computed by dividing net loss by the weighted-average number of shares of common stock outstanding during the period. Diluted net loss per share is computed by dividing net loss by the weighted-average number of shares of common stock outstanding during the period giving effect to all potentially dilutive securities to the extent they are dilutive. The dilutive effect of potentially dilutive securities is reflected in diluted net loss per share by application of the two-class method. During the periods when the Company is in a net loss position, the net loss attributable to common stockholders was not allocated to the convertible preferred stock and unvested common stock under the two-class method as these securities do not have a contractual obligation to share in the Company’s losses.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w:t>
      </w:r>
      <w:r>
        <w:rPr>
          <w:rFonts w:ascii="Arial" w:cs="Arial" w:eastAsia="Arial" w:hAnsi="Arial"/>
          <w:sz w:val="16"/>
          <w:szCs w:val="16"/>
          <w:color w:val="auto"/>
        </w:rPr>
        <w:t>. ASU No. 2015-17 was issued by the FASB as part of its initiative to reduce complexity in accounting standards (the Simplification Initiative). Current GAAP requires an entity to separate deferred income tax liabilities and assets into current and noncurrent amounts in a classified statement of financial position. To simplify the presentation of deferred income taxes, the amendments in ASU 2015-17 require that deferred tax liabilities and assets be classified as noncurrent in a classified statement of financial position. The current requirement that deferred tax liabilities and assets of a tax-paying component of an entity be offset and presented as a single amount is not affected by the amendments of ASU 2015-17. ASU 2015-17 is effective for financial statements issued for annual periods beginning after December 15, 2017 and interim periods within those annual periods. Early adoption is permitted for financial statements that have not been previously issued. The ASU was adopted January 1, 2019 and applied retrospectively to all deferred tax assets and liabilities for all periods presented. The Company adoption of this ASU had no material impact on the Company’s condensed consolidated financial statements.</w:t>
      </w:r>
    </w:p>
    <w:p>
      <w:pPr>
        <w:spacing w:after="0" w:line="16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The ASU provides guidance on how certain cash receipts and outflows should be classified on entities’ statement of cash flows. The Company adopted the ASU on January 1, 2019 on a retrospective basis to all periods presented. Adoption of this ASU did not have a material impact on the Company’s condensed consolidated statements of cash flows for the periods presented.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jc w:val="both"/>
        <w:ind w:right="20" w:firstLine="518"/>
        <w:spacing w:after="0" w:line="272"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The standard requires that the statements of cash flows explain the change during the period in the total of cash, cash equivalents, and amounts generally described as restricted cash or restricted cash equivalents. The Company adopted the ASU on January 1, 2019 on a retrospective basis for all periods presented. Prior to the adoption of the ASU, changes within restricted cash were presented within investing activities as changes related to payments and refunds of security deposits in connection with leases for the Company’s facilities. As a result of adopting the ASU, the Company includes restricted cash with cash and cash equivalents when reconciling the beginning-of-period and end-of-period total amounts presented on the statement of condensed consolidated cash flows. Accordingly, the statement of cash flows has been revised to include restricted cash as a component of cash, cash equivalents, and restricted cash.</w:t>
      </w:r>
    </w:p>
    <w:p>
      <w:pPr>
        <w:spacing w:after="0" w:line="178" w:lineRule="exact"/>
        <w:rPr>
          <w:sz w:val="20"/>
          <w:szCs w:val="20"/>
          <w:color w:val="auto"/>
        </w:rPr>
      </w:pPr>
    </w:p>
    <w:p>
      <w:pPr>
        <w:jc w:val="both"/>
        <w:ind w:right="20" w:firstLine="518"/>
        <w:spacing w:after="0" w:line="25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(ASC 842)</w:t>
      </w:r>
      <w:r>
        <w:rPr>
          <w:rFonts w:ascii="Arial" w:cs="Arial" w:eastAsia="Arial" w:hAnsi="Arial"/>
          <w:sz w:val="18"/>
          <w:szCs w:val="18"/>
          <w:color w:val="auto"/>
        </w:rPr>
        <w:t>, which requires, among other items, lessees to recognize most leases as assets and liabilities on the balance sheet. Qualitative and quantitative disclosures are also enhanced to better understand the amount, timing and uncertainty of cash flows arising from leases. The Company adopted this ASU on January 1, 2019 and has elected the transition option prescribed by ASU 2018-11, and accordingly will not restate prior periods under ASC 842. The Company elected the package of practical expedients permitted under the transition guidance within the new standard, which among other things, allowed the Company to carry forward the historical lease classification and determination of the lease term. Upon adoption, the Company recognized a right of use asset of $47.9 million and a lease liability of $51.4 million with no impact to accumulated deficit or condensed consolidated statement of cash flows. The Company’s condensed consolidated financial statements as of September 30, 2019 reflect the adoption of ASC 842.</w:t>
      </w:r>
    </w:p>
    <w:p>
      <w:pPr>
        <w:spacing w:after="0" w:line="192" w:lineRule="exact"/>
        <w:rPr>
          <w:sz w:val="20"/>
          <w:szCs w:val="20"/>
          <w:color w:val="auto"/>
        </w:rPr>
      </w:pPr>
    </w:p>
    <w:p>
      <w:pPr>
        <w:jc w:val="both"/>
        <w:ind w:right="20" w:firstLine="518"/>
        <w:spacing w:after="0" w:line="257" w:lineRule="auto"/>
        <w:rPr>
          <w:sz w:val="20"/>
          <w:szCs w:val="20"/>
          <w:color w:val="auto"/>
        </w:rPr>
      </w:pPr>
      <w:r>
        <w:rPr>
          <w:rFonts w:ascii="Arial" w:cs="Arial" w:eastAsia="Arial" w:hAnsi="Arial"/>
          <w:sz w:val="18"/>
          <w:szCs w:val="18"/>
          <w:color w:val="auto"/>
        </w:rPr>
        <w:t>In June 2018, the FASB issued ASU 2018-07, Compensation—</w:t>
      </w:r>
      <w:r>
        <w:rPr>
          <w:rFonts w:ascii="Arial" w:cs="Arial" w:eastAsia="Arial" w:hAnsi="Arial"/>
          <w:sz w:val="18"/>
          <w:szCs w:val="18"/>
          <w:i w:val="1"/>
          <w:iCs w:val="1"/>
          <w:color w:val="auto"/>
        </w:rPr>
        <w:t>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The updated guidance simplifies the accounting for nonemployee share-based payment transactions. The amendments in the new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specify that Topic 718 applies to all share-based payment transactions in which a grantor acquires goods or services to be used or consumed in a grantor’s own operations by issuing share-based payment awards. The Company adopted this ASU on January 1, 2019 and had no impact on the Company’s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25" w:lineRule="exact"/>
        <w:rPr>
          <w:sz w:val="20"/>
          <w:szCs w:val="20"/>
          <w:color w:val="auto"/>
        </w:rPr>
      </w:pPr>
    </w:p>
    <w:p>
      <w:pPr>
        <w:jc w:val="both"/>
        <w:ind w:right="20" w:firstLine="518"/>
        <w:spacing w:after="0" w:line="273"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w:t>
      </w:r>
      <w:r>
        <w:rPr>
          <w:rFonts w:ascii="Arial" w:cs="Arial" w:eastAsia="Arial" w:hAnsi="Arial"/>
          <w:sz w:val="17"/>
          <w:szCs w:val="17"/>
          <w:color w:val="auto"/>
        </w:rPr>
        <w:t>, which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ASU. The amendments in this ASU are effective for public business entities for fiscal years beginning after December 15, 2019, and interim periods within those fiscal years. Early adoption is permitted. The Company does not expect the adoption of this ASU to have a material effect on the Company’s consolidated financial statements.</w:t>
      </w:r>
    </w:p>
    <w:p>
      <w:pPr>
        <w:spacing w:after="0" w:line="178" w:lineRule="exact"/>
        <w:rPr>
          <w:sz w:val="20"/>
          <w:szCs w:val="20"/>
          <w:color w:val="auto"/>
        </w:rPr>
      </w:pPr>
    </w:p>
    <w:p>
      <w:pPr>
        <w:jc w:val="both"/>
        <w:ind w:right="20" w:firstLine="518"/>
        <w:spacing w:after="0" w:line="254" w:lineRule="auto"/>
        <w:rPr>
          <w:sz w:val="20"/>
          <w:szCs w:val="20"/>
          <w:color w:val="auto"/>
        </w:rPr>
      </w:pPr>
      <w:r>
        <w:rPr>
          <w:rFonts w:ascii="Arial" w:cs="Arial" w:eastAsia="Arial" w:hAnsi="Arial"/>
          <w:sz w:val="18"/>
          <w:szCs w:val="18"/>
          <w:color w:val="auto"/>
        </w:rPr>
        <w:t>In June 2016, the FASB issued ASU No. 2016-13, Financial Instruments—</w:t>
      </w:r>
      <w:r>
        <w:rPr>
          <w:rFonts w:ascii="Arial" w:cs="Arial" w:eastAsia="Arial" w:hAnsi="Arial"/>
          <w:sz w:val="18"/>
          <w:szCs w:val="18"/>
          <w:i w:val="1"/>
          <w:iCs w:val="1"/>
          <w:color w:val="auto"/>
        </w:rPr>
        <w:t>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requires an entity to utilize a new impairment model known as the current expected credit loss (“CECL”) model to estimate its lifetime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cumulative-effect adjustment to retained earnings as of the beginning of the first reporting period in which the guidance is adopted. This guidance will be effective for the Company beginning January 1, 2020. The Company is currently evaluating the impact of the adoption of this standard on its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Prepaid Expenses and Other Current Assets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4"/>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tcBorders>
              <w:bottom w:val="single" w:sz="8" w:color="CFF0FC"/>
            </w:tcBorders>
          </w:tcPr>
          <w:p>
            <w:pPr>
              <w:spacing w:after="0"/>
              <w:rPr>
                <w:sz w:val="14"/>
                <w:szCs w:val="14"/>
                <w:color w:val="auto"/>
              </w:rPr>
            </w:pPr>
          </w:p>
        </w:tc>
        <w:tc>
          <w:tcPr>
            <w:tcW w:w="33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Hosting</w:t>
            </w:r>
          </w:p>
        </w:tc>
        <w:tc>
          <w:tcPr>
            <w:tcW w:w="3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8,554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General prepaid expenses</w:t>
            </w: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3,475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receivables</w:t>
            </w:r>
          </w:p>
        </w:tc>
        <w:tc>
          <w:tcPr>
            <w:tcW w:w="3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3,745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Marketing</w:t>
            </w: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1,114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Rent</w:t>
            </w:r>
          </w:p>
        </w:tc>
        <w:tc>
          <w:tcPr>
            <w:tcW w:w="3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809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3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475</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33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18,172</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8,773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380" w:type="dxa"/>
            <w:vAlign w:val="bottom"/>
            <w:vMerge w:val="restart"/>
          </w:tcPr>
          <w:p>
            <w:pPr>
              <w:jc w:val="right"/>
              <w:ind w:right="199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0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Computers and equipment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6,757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4,540</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4,330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2,621</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15,671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8,554</w:t>
            </w: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software development costs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21,762</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15,000</w:t>
            </w:r>
          </w:p>
        </w:tc>
      </w:tr>
      <w:tr>
        <w:trPr>
          <w:trHeight w:val="223"/>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48,520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30,715</w:t>
            </w: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(17,254)</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(9,066)</w:t>
            </w: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31,266</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21,649</w:t>
            </w: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 xml:space="preserve">As discussed in Note 2, </w:t>
      </w:r>
      <w:r>
        <w:rPr>
          <w:rFonts w:ascii="Arial" w:cs="Arial" w:eastAsia="Arial" w:hAnsi="Arial"/>
          <w:sz w:val="18"/>
          <w:szCs w:val="18"/>
          <w:i w:val="1"/>
          <w:iCs w:val="1"/>
          <w:color w:val="auto"/>
        </w:rPr>
        <w:t>Basis of Presentation and Summary of Significant Accounting Policies—Internal Use Software</w:t>
      </w:r>
      <w:r>
        <w:rPr>
          <w:rFonts w:ascii="Arial" w:cs="Arial" w:eastAsia="Arial" w:hAnsi="Arial"/>
          <w:sz w:val="18"/>
          <w:szCs w:val="18"/>
          <w:color w:val="auto"/>
        </w:rPr>
        <w:t>, the Company capitalizes costs related to the development of computer software for internal use and is included in capitalized software development costs within property and equipment, net.</w:t>
      </w:r>
    </w:p>
    <w:p>
      <w:pPr>
        <w:spacing w:after="0" w:line="18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Depreciation and amortization expense was approximately $3.8 million and $8.3 million for the three and nine months ended September 30, 2019, respectively. Depreciation and amortization expense was approximately $1.6 million and $3.9 million for the three and nine months ended September 30,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Madumbo Acquisition</w:t>
      </w:r>
    </w:p>
    <w:p>
      <w:pPr>
        <w:spacing w:after="0" w:line="225" w:lineRule="exact"/>
        <w:rPr>
          <w:sz w:val="20"/>
          <w:szCs w:val="20"/>
          <w:color w:val="auto"/>
        </w:rPr>
      </w:pPr>
    </w:p>
    <w:p>
      <w:pPr>
        <w:jc w:val="both"/>
        <w:ind w:right="20" w:firstLine="518"/>
        <w:spacing w:after="0" w:line="254" w:lineRule="auto"/>
        <w:rPr>
          <w:sz w:val="20"/>
          <w:szCs w:val="20"/>
          <w:color w:val="auto"/>
        </w:rPr>
      </w:pPr>
      <w:r>
        <w:rPr>
          <w:rFonts w:ascii="Arial" w:cs="Arial" w:eastAsia="Arial" w:hAnsi="Arial"/>
          <w:sz w:val="18"/>
          <w:szCs w:val="18"/>
          <w:color w:val="auto"/>
        </w:rPr>
        <w:t xml:space="preserve">On September 28, 2018, the Company entered into a Stock Purchase Agreement with Madumbo whereby the Company acquired all of the issued and outstanding shares of Madumbo for $1.6 million in cash consideration. Madumbo created an artificial intelligence platform that the Company plans to use to strengthen the Company’s current product offering. Goodwill was not deductible for tax purposes. Goodwill resulted primarily from the expected integration of Madumbo’s platform with the Company’s existing product offerings. The acquisition was accounted for as a business combination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results of Madumbo’s operations have been included in the Company’s condensed consolidated statements of operations and comprehensive loss since the acquisition date and were not material. Pro forma results of operations for this acquisition have not been presented because it was also not material to the condensed consolidated results of operations. Transaction costs amounted to approximately $0.1 million and were expensed as incurred.</w:t>
      </w:r>
    </w:p>
    <w:p>
      <w:pPr>
        <w:spacing w:after="0" w:line="19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aggregate purchase consideration and estimated fair values of the assets acquired and liabilities assumed at the date of acquisition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Borders>
              <w:bottom w:val="single" w:sz="8" w:color="CFF0FC"/>
            </w:tcBorders>
          </w:tcPr>
          <w:p>
            <w:pPr>
              <w:spacing w:after="0"/>
              <w:rPr>
                <w:sz w:val="14"/>
                <w:szCs w:val="14"/>
                <w:color w:val="auto"/>
              </w:rPr>
            </w:pPr>
          </w:p>
        </w:tc>
        <w:tc>
          <w:tcPr>
            <w:tcW w:w="33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Fair value of net assets acquired:</w:t>
            </w:r>
          </w:p>
        </w:tc>
        <w:tc>
          <w:tcPr>
            <w:tcW w:w="3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Net tangible assets (liabilities)</w:t>
            </w:r>
          </w:p>
        </w:tc>
        <w:tc>
          <w:tcPr>
            <w:tcW w:w="37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Developed technology</w:t>
            </w:r>
          </w:p>
        </w:tc>
        <w:tc>
          <w:tcPr>
            <w:tcW w:w="3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825</w:t>
            </w:r>
          </w:p>
        </w:tc>
      </w:tr>
      <w:tr>
        <w:trPr>
          <w:trHeight w:val="230"/>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Goodwill</w:t>
            </w:r>
          </w:p>
        </w:tc>
        <w:tc>
          <w:tcPr>
            <w:tcW w:w="33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1,334</w:t>
            </w: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fair value of net assets acquired</w:t>
            </w:r>
          </w:p>
        </w:tc>
        <w:tc>
          <w:tcPr>
            <w:tcW w:w="33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1,623</w:t>
            </w:r>
          </w:p>
        </w:tc>
      </w:tr>
      <w:tr>
        <w:trPr>
          <w:trHeight w:val="20"/>
        </w:trPr>
        <w:tc>
          <w:tcPr>
            <w:tcW w:w="60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Intangibles, net consisted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As of September 30, 2019</w:t>
            </w:r>
          </w:p>
        </w:tc>
        <w:tc>
          <w:tcPr>
            <w:tcW w:w="1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224"/>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1"/>
                <w:szCs w:val="11"/>
                <w:color w:val="auto"/>
              </w:rPr>
            </w:pPr>
          </w:p>
        </w:tc>
        <w:tc>
          <w:tcPr>
            <w:tcW w:w="12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7"/>
              </w:rPr>
              <w:t>Net</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Carrying</w:t>
            </w:r>
          </w:p>
        </w:tc>
        <w:tc>
          <w:tcPr>
            <w:tcW w:w="1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44"/>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3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2,125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759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7"/>
              </w:rPr>
              <w:t>2-3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340" w:type="dxa"/>
            <w:vAlign w:val="bottom"/>
            <w:vMerge w:val="restart"/>
          </w:tcPr>
          <w:p>
            <w:pPr>
              <w:jc w:val="right"/>
              <w:ind w:right="70"/>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2018</w:t>
            </w: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239"/>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7"/>
              </w:rPr>
              <w:t>Net</w:t>
            </w:r>
          </w:p>
        </w:tc>
        <w:tc>
          <w:tcPr>
            <w:tcW w:w="12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Carrying</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99"/>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280" w:type="dxa"/>
            <w:vAlign w:val="bottom"/>
          </w:tcPr>
          <w:p>
            <w:pPr>
              <w:jc w:val="right"/>
              <w:ind w:right="35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2,125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1,288</w:t>
            </w: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 years</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 year</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2,145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1,288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Intangible amortization expense was approximately $0.2 million and $0.5 million for the three and nine months ended September 30, 2019, respectively and was approximately $0.1 million and $0.3 million for the three and nine months ended September 30, 2018, respectively. Amortization of developed technology and customer relationships are included in cost of revenue on the Company’s condensed consolidated statement of operations and comprehensive loss.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2019, future amortization expense by year is expected to be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6. Accrued Expenses and Other Current Liabilities</w:t>
            </w: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80" w:type="dxa"/>
            <w:vAlign w:val="bottom"/>
          </w:tcPr>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commissions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12,903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15,229</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Early exercise liability-stock options</w:t>
            </w:r>
          </w:p>
        </w:tc>
        <w:tc>
          <w:tcPr>
            <w:tcW w:w="22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2,168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Income tax liability</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731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Payroll and sales taxes</w:t>
            </w:r>
          </w:p>
        </w:tc>
        <w:tc>
          <w:tcPr>
            <w:tcW w:w="22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1,432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13,247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30,481</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30,290</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Lease Commitments</w:t>
      </w:r>
      <w:r>
        <w:rPr>
          <w:rFonts w:ascii="Arial" w:cs="Arial" w:eastAsia="Arial" w:hAnsi="Arial"/>
          <w:sz w:val="18"/>
          <w:szCs w:val="18"/>
          <w:color w:val="auto"/>
        </w:rPr>
        <w:t>—The Company has entered into various noncancelable operating leases for its facilities expiring between fiscal 2019 and 2025.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operating leases contain provisions under which monthly rent escalates over time. When lease agreements contain escalating rent clauses or free rent periods, the Company recognizes rent expense on a straight-line basis over the term of the lease.</w:t>
      </w:r>
    </w:p>
    <w:p>
      <w:pPr>
        <w:spacing w:after="0" w:line="18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b w:val="1"/>
          <w:bCs w:val="1"/>
          <w:i w:val="1"/>
          <w:iCs w:val="1"/>
          <w:color w:val="auto"/>
        </w:rPr>
        <w:t>Non-Income Tax Matters</w:t>
      </w:r>
      <w:r>
        <w:rPr>
          <w:rFonts w:ascii="Arial" w:cs="Arial" w:eastAsia="Arial" w:hAnsi="Arial"/>
          <w:sz w:val="16"/>
          <w:szCs w:val="16"/>
          <w:color w:val="auto"/>
        </w:rPr>
        <w:t>—In January 2015, the Company recorded a $5.0 million contingent Federal payroll tax liability in conjunction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repurchase transactions, as part of a capital raise, with certain of its employees. The potential payroll tax treatment of these transactions was subject to uncertainty, and the contingent payroll tax liability was deemed probable and reasonably estimable. On April 15, 2019, the period of limitations for assessing the contingent Federal payroll tax liability expired and the Company was legally released from being the primary obligor. As a result, the Company recognized a $5.0 million benefit in the condensed consolidated statement of operations during the nine months ended September 30, 2019.</w:t>
      </w:r>
    </w:p>
    <w:p>
      <w:pPr>
        <w:spacing w:after="0" w:line="15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401(k) Plan</w:t>
      </w:r>
      <w:r>
        <w:rPr>
          <w:rFonts w:ascii="Arial" w:cs="Arial" w:eastAsia="Arial" w:hAnsi="Arial"/>
          <w:sz w:val="18"/>
          <w:szCs w:val="18"/>
          <w:color w:val="auto"/>
        </w:rPr>
        <w:t>—The Company sponsors a 401(k) defined contribution plan covering all eligible US employees. Contributions to the 401(k) plan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discretionary. The Company did not make any matching contributions to the 401(k) plan for the year ended December 31, 2018 and the nine months ended September 30,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9" w:name="page20"/>
    <w:bookmarkEnd w:id="19"/>
    <w:p>
      <w:pPr>
        <w:jc w:val="both"/>
        <w:ind w:right="20" w:firstLine="518"/>
        <w:spacing w:after="0" w:line="264" w:lineRule="auto"/>
        <w:rPr>
          <w:sz w:val="20"/>
          <w:szCs w:val="20"/>
          <w:color w:val="auto"/>
        </w:rPr>
      </w:pPr>
      <w:r>
        <w:rPr>
          <w:rFonts w:ascii="Arial" w:cs="Arial" w:eastAsia="Arial" w:hAnsi="Arial"/>
          <w:sz w:val="18"/>
          <w:szCs w:val="18"/>
          <w:b w:val="1"/>
          <w:bCs w:val="1"/>
          <w:i w:val="1"/>
          <w:iCs w:val="1"/>
          <w:color w:val="auto"/>
        </w:rPr>
        <w:t>Cloud Hosting Commitments</w:t>
      </w:r>
      <w:r>
        <w:rPr>
          <w:rFonts w:ascii="Arial" w:cs="Arial" w:eastAsia="Arial" w:hAnsi="Arial"/>
          <w:sz w:val="18"/>
          <w:szCs w:val="18"/>
          <w:color w:val="auto"/>
        </w:rPr>
        <w:t>—In April 2019 and September 2019, the Company entered into cloud hosting agreements, effective May 2019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2019, respectively, for a total purchase commitment of $225.0 million and $37.5 million, respectively, payable over the three years following the date of the applicable agreement.</w:t>
      </w:r>
    </w:p>
    <w:p>
      <w:pPr>
        <w:spacing w:after="0" w:line="18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b w:val="1"/>
          <w:bCs w:val="1"/>
          <w:i w:val="1"/>
          <w:iCs w:val="1"/>
          <w:color w:val="auto"/>
        </w:rPr>
        <w:t>Legal Matters</w:t>
      </w:r>
      <w:r>
        <w:rPr>
          <w:rFonts w:ascii="Arial" w:cs="Arial" w:eastAsia="Arial" w:hAnsi="Arial"/>
          <w:sz w:val="18"/>
          <w:szCs w:val="18"/>
          <w:color w:val="auto"/>
        </w:rPr>
        <w:t>—The Company is involved from time to time in various claims and legal actions arising in the ordinary course of business. While it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feasible to predict or determine the ultimate outcome of these matters, the Company believes that none of its current legal proceedings will have a material adverse effect on its financial position or results of operations.</w:t>
      </w:r>
    </w:p>
    <w:p>
      <w:pPr>
        <w:spacing w:after="0" w:line="181" w:lineRule="exact"/>
        <w:rPr>
          <w:sz w:val="20"/>
          <w:szCs w:val="20"/>
          <w:color w:val="auto"/>
        </w:rPr>
      </w:pPr>
    </w:p>
    <w:p>
      <w:pPr>
        <w:jc w:val="both"/>
        <w:ind w:right="20" w:firstLine="518"/>
        <w:spacing w:after="0" w:line="272" w:lineRule="auto"/>
        <w:rPr>
          <w:sz w:val="20"/>
          <w:szCs w:val="20"/>
          <w:color w:val="auto"/>
        </w:rPr>
      </w:pPr>
      <w:r>
        <w:rPr>
          <w:rFonts w:ascii="Arial" w:cs="Arial" w:eastAsia="Arial" w:hAnsi="Arial"/>
          <w:sz w:val="17"/>
          <w:szCs w:val="17"/>
          <w:b w:val="1"/>
          <w:bCs w:val="1"/>
          <w:i w:val="1"/>
          <w:iCs w:val="1"/>
          <w:color w:val="auto"/>
        </w:rPr>
        <w:t>Indemnification</w:t>
      </w:r>
      <w:r>
        <w:rPr>
          <w:rFonts w:ascii="Arial" w:cs="Arial" w:eastAsia="Arial" w:hAnsi="Arial"/>
          <w:sz w:val="17"/>
          <w:szCs w:val="17"/>
          <w:color w:val="auto"/>
        </w:rPr>
        <w:t>—The Company enters into indemnification provisions under some agreements with other parties in the ordinary course of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and comprehensive loss in connection with the indemnification provisions have not been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jc w:val="both"/>
        <w:ind w:right="20" w:firstLine="518"/>
        <w:spacing w:after="0" w:line="272" w:lineRule="auto"/>
        <w:rPr>
          <w:sz w:val="20"/>
          <w:szCs w:val="20"/>
          <w:color w:val="auto"/>
        </w:rPr>
      </w:pPr>
      <w:r>
        <w:rPr>
          <w:rFonts w:ascii="Arial" w:cs="Arial" w:eastAsia="Arial" w:hAnsi="Arial"/>
          <w:sz w:val="17"/>
          <w:szCs w:val="17"/>
          <w:color w:val="auto"/>
        </w:rPr>
        <w:t>The Company has entered into various noncancelable operating leases for its facilities expiring between fiscal 2019 and 2025. Certain lease agreements contain an option for the Company to renew a lease for a term of up to five years or an option to terminate a lease early within three years. The Company considers these options, which may be elected at the Company’s sole discretion, in determining the lease term on a lease-by-lease basis. The Company has elected the practical expedient not to record leases with an initial term of 12 months or less on the balance sheet; the Company recognizes lease expense for these leases on a straight-line basis over the lease term. The Company accounts for lease components and non-lease components as a single lease component. Operating lease assets and liabilities are reflected within operating lease assets; operating lease liabilities, current and operating lease liabilities, non-current, on the condensed consolidated balance sheet.</w:t>
      </w:r>
    </w:p>
    <w:p>
      <w:pPr>
        <w:spacing w:after="0" w:line="17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Lease expense for these leases is recognized on a straight-line basis over the lease term, with variable lease payments recognized in the period those payments are incurred.</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components of lease cost recognized within the Company’s condensed consolidated statements of operations and comprehensive loss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right"/>
              <w:ind w:right="157"/>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217"/>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78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4"/>
              </w:rPr>
              <w:t>September 30, 2019</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4"/>
              </w:rPr>
              <w:t>September 30, 2019</w:t>
            </w: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15"/>
                <w:szCs w:val="15"/>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3,885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9,715</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57"/>
              <w:spacing w:after="0"/>
              <w:rPr>
                <w:sz w:val="20"/>
                <w:szCs w:val="20"/>
                <w:color w:val="auto"/>
              </w:rPr>
            </w:pPr>
            <w:r>
              <w:rPr>
                <w:rFonts w:ascii="Arial" w:cs="Arial" w:eastAsia="Arial" w:hAnsi="Arial"/>
                <w:sz w:val="18"/>
                <w:szCs w:val="18"/>
                <w:color w:val="auto"/>
              </w:rPr>
              <w:t>136</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right of use amortization of $3.1 million and $7.6 million for the three and nine months ended September 30, 2019, respectively</w:t>
      </w: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Primarily related to Consumer Price Index adjustments, common area maintenance and property tax.</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and non-cash activity related to the Company’s operating leases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jc w:val="right"/>
              <w:ind w:right="379"/>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r>
      <w:tr>
        <w:trPr>
          <w:trHeight w:val="171"/>
        </w:trPr>
        <w:tc>
          <w:tcPr>
            <w:tcW w:w="5260" w:type="dxa"/>
            <w:vAlign w:val="bottom"/>
            <w:tcBorders>
              <w:bottom w:val="single" w:sz="8" w:color="CFF0FC"/>
            </w:tcBorders>
          </w:tcPr>
          <w:p>
            <w:pPr>
              <w:spacing w:after="0"/>
              <w:rPr>
                <w:sz w:val="14"/>
                <w:szCs w:val="14"/>
                <w:color w:val="auto"/>
              </w:rPr>
            </w:pPr>
          </w:p>
        </w:tc>
        <w:tc>
          <w:tcPr>
            <w:tcW w:w="4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w w:val="99"/>
              </w:rPr>
              <w:t>Cash paid for amounts included in measurement of lease liabilities</w:t>
            </w:r>
          </w:p>
        </w:tc>
        <w:tc>
          <w:tcPr>
            <w:tcW w:w="4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6,077</w:t>
            </w:r>
          </w:p>
        </w:tc>
        <w:tc>
          <w:tcPr>
            <w:tcW w:w="20" w:type="dxa"/>
            <w:vAlign w:val="bottom"/>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w w:val="96"/>
              </w:rPr>
              <w:t>Operating lease assets obtained in exchange for new lease liabilities</w:t>
            </w: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8"/>
                <w:szCs w:val="18"/>
                <w:color w:val="auto"/>
              </w:rPr>
              <w:t>14,618</w:t>
            </w:r>
          </w:p>
        </w:tc>
        <w:tc>
          <w:tcPr>
            <w:tcW w:w="20" w:type="dxa"/>
            <w:vAlign w:val="bottom"/>
          </w:tcPr>
          <w:p>
            <w:pPr>
              <w:spacing w:after="0"/>
              <w:rPr>
                <w:sz w:val="20"/>
                <w:szCs w:val="20"/>
                <w:color w:val="auto"/>
              </w:rPr>
            </w:pPr>
          </w:p>
        </w:tc>
      </w:tr>
      <w:tr>
        <w:trPr>
          <w:trHeight w:val="647"/>
        </w:trPr>
        <w:tc>
          <w:tcPr>
            <w:tcW w:w="5260" w:type="dxa"/>
            <w:vAlign w:val="bottom"/>
          </w:tcPr>
          <w:p>
            <w:pPr>
              <w:spacing w:after="0"/>
              <w:rPr>
                <w:sz w:val="24"/>
                <w:szCs w:val="24"/>
                <w:color w:val="auto"/>
              </w:rPr>
            </w:pPr>
          </w:p>
        </w:tc>
        <w:tc>
          <w:tcPr>
            <w:tcW w:w="4140" w:type="dxa"/>
            <w:vAlign w:val="bottom"/>
          </w:tcPr>
          <w:p>
            <w:pPr>
              <w:jc w:val="right"/>
              <w:ind w:right="351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color w:val="auto"/>
        </w:rPr>
        <w:t>Maturities of lease liabilities by fiscal year for the Company’s operating leases are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14,488</w:t>
            </w:r>
          </w:p>
        </w:tc>
        <w:tc>
          <w:tcPr>
            <w:tcW w:w="0" w:type="dxa"/>
            <w:vAlign w:val="bottom"/>
          </w:tcPr>
          <w:p>
            <w:pPr>
              <w:spacing w:after="0"/>
              <w:rPr>
                <w:sz w:val="1"/>
                <w:szCs w:val="1"/>
                <w:color w:val="auto"/>
              </w:rPr>
            </w:pPr>
          </w:p>
        </w:tc>
      </w:tr>
      <w:tr>
        <w:trPr>
          <w:trHeight w:val="230"/>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16,795</w:t>
            </w:r>
          </w:p>
        </w:tc>
        <w:tc>
          <w:tcPr>
            <w:tcW w:w="0" w:type="dxa"/>
            <w:vAlign w:val="bottom"/>
          </w:tcPr>
          <w:p>
            <w:pPr>
              <w:spacing w:after="0"/>
              <w:rPr>
                <w:sz w:val="1"/>
                <w:szCs w:val="1"/>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16,589</w:t>
            </w:r>
          </w:p>
        </w:tc>
        <w:tc>
          <w:tcPr>
            <w:tcW w:w="0" w:type="dxa"/>
            <w:vAlign w:val="bottom"/>
          </w:tcPr>
          <w:p>
            <w:pPr>
              <w:spacing w:after="0"/>
              <w:rPr>
                <w:sz w:val="1"/>
                <w:szCs w:val="1"/>
                <w:color w:val="auto"/>
              </w:rPr>
            </w:pPr>
          </w:p>
        </w:tc>
      </w:tr>
      <w:tr>
        <w:trPr>
          <w:trHeight w:val="230"/>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14,403</w:t>
            </w:r>
          </w:p>
        </w:tc>
        <w:tc>
          <w:tcPr>
            <w:tcW w:w="0" w:type="dxa"/>
            <w:vAlign w:val="bottom"/>
          </w:tcPr>
          <w:p>
            <w:pPr>
              <w:spacing w:after="0"/>
              <w:rPr>
                <w:sz w:val="1"/>
                <w:szCs w:val="1"/>
                <w:color w:val="auto"/>
              </w:rPr>
            </w:pPr>
          </w:p>
        </w:tc>
      </w:tr>
      <w:tr>
        <w:trPr>
          <w:trHeight w:val="230"/>
        </w:trPr>
        <w:tc>
          <w:tcPr>
            <w:tcW w:w="9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beyond</w:t>
            </w: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23"/>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69,122</w:t>
            </w:r>
          </w:p>
        </w:tc>
        <w:tc>
          <w:tcPr>
            <w:tcW w:w="0" w:type="dxa"/>
            <w:vAlign w:val="bottom"/>
          </w:tcPr>
          <w:p>
            <w:pPr>
              <w:spacing w:after="0"/>
              <w:rPr>
                <w:sz w:val="1"/>
                <w:szCs w:val="1"/>
                <w:color w:val="auto"/>
              </w:rPr>
            </w:pPr>
          </w:p>
        </w:tc>
      </w:tr>
      <w:tr>
        <w:trPr>
          <w:trHeight w:val="230"/>
        </w:trPr>
        <w:tc>
          <w:tcPr>
            <w:tcW w:w="9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imputed interest</w:t>
            </w: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(8,393)</w:t>
            </w:r>
          </w:p>
        </w:tc>
        <w:tc>
          <w:tcPr>
            <w:tcW w:w="0" w:type="dxa"/>
            <w:vAlign w:val="bottom"/>
          </w:tcPr>
          <w:p>
            <w:pPr>
              <w:spacing w:after="0"/>
              <w:rPr>
                <w:sz w:val="1"/>
                <w:szCs w:val="1"/>
                <w:color w:val="auto"/>
              </w:rPr>
            </w:pPr>
          </w:p>
        </w:tc>
      </w:tr>
      <w:tr>
        <w:trPr>
          <w:trHeight w:val="223"/>
        </w:trPr>
        <w:tc>
          <w:tcPr>
            <w:tcW w:w="9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60,729</w:t>
            </w:r>
          </w:p>
        </w:tc>
        <w:tc>
          <w:tcPr>
            <w:tcW w:w="0" w:type="dxa"/>
            <w:vAlign w:val="bottom"/>
          </w:tcPr>
          <w:p>
            <w:pPr>
              <w:spacing w:after="0"/>
              <w:rPr>
                <w:sz w:val="1"/>
                <w:szCs w:val="1"/>
                <w:color w:val="auto"/>
              </w:rPr>
            </w:pPr>
          </w:p>
        </w:tc>
      </w:tr>
      <w:tr>
        <w:trPr>
          <w:trHeight w:val="20"/>
        </w:trPr>
        <w:tc>
          <w:tcPr>
            <w:tcW w:w="9340" w:type="dxa"/>
            <w:vAlign w:val="bottom"/>
            <w:vMerge w:val="restart"/>
          </w:tcPr>
          <w:p>
            <w:pPr>
              <w:ind w:left="520"/>
              <w:spacing w:after="0"/>
              <w:rPr>
                <w:sz w:val="20"/>
                <w:szCs w:val="20"/>
                <w:color w:val="auto"/>
              </w:rPr>
            </w:pPr>
            <w:r>
              <w:rPr>
                <w:rFonts w:ascii="Arial" w:cs="Arial" w:eastAsia="Arial" w:hAnsi="Arial"/>
                <w:sz w:val="18"/>
                <w:szCs w:val="18"/>
                <w:color w:val="auto"/>
              </w:rPr>
              <w:t>Weighted average remaining lease term and discount rate for the Company’s operating leases are as follows:</w:t>
            </w: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3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right"/>
              <w:ind w:right="61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934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ind w:left="12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ind w:left="1240"/>
              <w:spacing w:after="0"/>
              <w:rPr>
                <w:sz w:val="20"/>
                <w:szCs w:val="20"/>
                <w:color w:val="auto"/>
              </w:rPr>
            </w:pPr>
            <w:r>
              <w:rPr>
                <w:rFonts w:ascii="Arial" w:cs="Arial" w:eastAsia="Arial" w:hAnsi="Arial"/>
                <w:sz w:val="18"/>
                <w:szCs w:val="18"/>
                <w:color w:val="auto"/>
                <w:w w:val="93"/>
              </w:rPr>
              <w:t>5.03%</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 (Deficit)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Common Stock</w:t>
      </w:r>
    </w:p>
    <w:p>
      <w:pPr>
        <w:spacing w:after="0" w:line="22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upon the sale or transfer to Class A common stock, subject to certain limited exceptions.</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September 30, 2019, the Company had authorized 2,000,000,000 shares of Class A common stock and 310,000,000 shares of Class B common stock, each at a par value per share of $0.00001, of which 27,600,000 shares of Class A common stock and 268,113,075 shares of Class B common stock were issued and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September 30, 2019, the Company had authorized 20,000,000 shares of preferred stock, at a par value per share of $0.00001, with rights and preferences, including voting rights, designated from time to time by the Board. No shares of preferred stock were issued and outstanding as of September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Immediately prior to the completion of the IPO in September 2019, all shares of convertible preferred stock then outstanding were converted into 179,011,431 shares of Class B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Company has two equity incentive plans, the 2012 equity incentive plan (the “2012 Plan”) and the 2019 equity incentive plan (the “2019 Plan”). On the date of the Final Prospectus, the Company ceased granting awards under the 2012 Plan, and all shares that remained available for issuance under the 2012 Plan at that time were transferred to the 2019 Plan. Additionally, as of September 30, 2019, there were 37,153,194 shares of Class A common stock issuable upon conversion of Class B common stock underlying options outstanding under the 2012 Plan. Under the 2019 Plan, the Board and any other committee or subcommittee of the Board may grant stock options, stock appreciation rights (“SARs”), restricted stock awards (“RSAs”), restricted stock units (“RSUs”), and performance-based and other awards, each valued or based on the Company’s Class A common stock, to employees, consultants, and advisors of the Company. Through September 30, 2019, the Company has only issued stock options in connection with the 2012 and 2019 Plans. As of September 30, 2019, the Company was authorized to grant awards representing up to 70,296,733 shares under the 2019 Plan and had awards representing 32,397,031 shares of Class A common stock available to grant under the 2019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4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6"/>
              </w:rPr>
              <w:t>Number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4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44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Exercise Price</w:t>
            </w:r>
          </w:p>
        </w:tc>
        <w:tc>
          <w:tcPr>
            <w:tcW w:w="146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2018</w:t>
            </w:r>
          </w:p>
        </w:tc>
        <w:tc>
          <w:tcPr>
            <w:tcW w:w="14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38,865,057</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0.83</w:t>
            </w:r>
          </w:p>
        </w:tc>
        <w:tc>
          <w:tcPr>
            <w:tcW w:w="1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ind w:right="6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9,481,530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9.06</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(10,114,941)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0.72</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Options 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(1,078,452)</w:t>
            </w:r>
          </w:p>
        </w:tc>
        <w:tc>
          <w:tcPr>
            <w:tcW w:w="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tcPr>
          <w:p>
            <w:pPr>
              <w:jc w:val="right"/>
              <w:ind w:right="36"/>
              <w:spacing w:after="0"/>
              <w:rPr>
                <w:sz w:val="20"/>
                <w:szCs w:val="20"/>
                <w:color w:val="auto"/>
              </w:rPr>
            </w:pPr>
            <w:r>
              <w:rPr>
                <w:rFonts w:ascii="Arial" w:cs="Arial" w:eastAsia="Arial" w:hAnsi="Arial"/>
                <w:sz w:val="18"/>
                <w:szCs w:val="18"/>
                <w:color w:val="auto"/>
              </w:rPr>
              <w:t>2.29</w:t>
            </w:r>
          </w:p>
        </w:tc>
        <w:tc>
          <w:tcPr>
            <w:tcW w:w="14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Balance—September 30, 2019</w:t>
            </w: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37,153,194</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2.92</w:t>
            </w:r>
          </w:p>
        </w:tc>
        <w:tc>
          <w:tcPr>
            <w:tcW w:w="14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Exercisable—September 30, 2019</w:t>
            </w: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6"/>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line="20" w:lineRule="exact"/>
              <w:rPr>
                <w:sz w:val="1"/>
                <w:szCs w:val="1"/>
                <w:color w:val="auto"/>
              </w:rPr>
            </w:pPr>
          </w:p>
        </w:tc>
        <w:tc>
          <w:tcPr>
            <w:tcW w:w="1460" w:type="dxa"/>
            <w:vAlign w:val="bottom"/>
            <w:vMerge w:val="restart"/>
          </w:tcPr>
          <w:p>
            <w:pPr>
              <w:jc w:val="right"/>
              <w:ind w:right="61"/>
              <w:spacing w:after="0"/>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211"/>
        </w:trPr>
        <w:tc>
          <w:tcPr>
            <w:tcW w:w="6780" w:type="dxa"/>
            <w:vAlign w:val="bottom"/>
            <w:vMerge w:val="continue"/>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21,090,498</w:t>
            </w:r>
          </w:p>
        </w:tc>
        <w:tc>
          <w:tcPr>
            <w:tcW w:w="30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Total compensation cost related to unvested awards not yet recognized was approximately $98.4 million and $28.4 million as of September 30, 2019 and December 31, 2018, respectively. The weighted average period over which this compensation cost related to unvested employee awards will be recognized is 3.6 years and 3.4 years as of September 30, 2019 and December 31, 2018, respectively.</w:t>
      </w:r>
    </w:p>
    <w:p>
      <w:pPr>
        <w:spacing w:after="0" w:line="22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weighted average grant-date fair value of options granted during the nine months ended September 30, 2019 and September 30, 2018 was $8.68 and $2.39, respectively. The Company received approximately $7.3 million and $6.8 million in cash proceeds from options exercised during the nine months ended September 30, 2019 and September 30, 2018, respectively. The intrinsic value of options exercised during the nine months ended September 30, 2019 and September 30, 2018 was approximately $106.0 million and $26.8 million, respectively. The aggregate fair value of options vested during the nine months ended September 30, 2019 and 2018 was $8.5 million and $2.8 million, respectively.</w:t>
      </w:r>
    </w:p>
    <w:p>
      <w:pPr>
        <w:spacing w:after="0" w:line="200"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Common stock purchased pursuant to an early exercise of stock options is not deemed to be outstanding for accounting purposes until those shares vest. The consideration received for an exercise of an option is considered to be a deposit of the exercise price and the related dollar amount is recorded as a liability. The shares issued upon the early exercise of these unvested stock option awards, which are reflected as exercises in the table above, are considered to be legally issued and outstanding on the date of exercise. Upon termination of service, the Company may repurchase unvested shares acquired through early exercise of stock options at a price equal to the price per share paid upon the exercise of such options. The Company has recorded liabilities related to early exercises of 1,548,000 shares of common stock and 2,095,656 shares of common stock as of September 30, 2019 and December 31, 2018,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September 2019, the Board adopted and approved the 2019 Employee Stock Purchase Plan (the “ESPP”), which became effective on the date of the Final Prospectus. The ESPP initially reserved and authorized the issuance of up to a total of 6,725,000 shares of Class A common stock to participating employees. As of September 30, 2019, 6,725,000 shares of Class A common stock remain available for grant under the ESPP. The initial offering period began on the date of the Final Prospectus and will end on May 15, 2020. On each purchase date, eligible employees will purchase the shares at a price per share equal to 85% of the lesser of (1) the $27.00 initial public offering price of the Company’s Class A common stock or (2) the fair market value of the Company’s Class A common stock on the purchase date, as defined in the ESPP.</w:t>
      </w:r>
    </w:p>
    <w:p>
      <w:pPr>
        <w:spacing w:after="0" w:line="178"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Company recognized $0.1 million of stock-based compensation expense related to the ESPP during the three months ended September 30, 2019, beginning upon the IPO in September 2019. As of September 30, 2019, no amounts have been withheld on behalf of employees for a future purchase under the ESPP due to the timing of payroll deductions. There were no purchases for the three months ended September 30, 2019 related to the ESPP.</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uses the Black-Scholes option-pricing model to estimate the fair value of stock options on the date of grant. The Company accounts for forfeitures as they occur.</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Stock-based compensation expense was included in the condensed consolidated statement of operations and comprehensive loss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r>
      <w:tr>
        <w:trPr>
          <w:trHeight w:val="223"/>
        </w:trPr>
        <w:tc>
          <w:tcPr>
            <w:tcW w:w="59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182</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1,934</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3,709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931</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84"/>
              </w:rPr>
              <w:t>1,540</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3,276</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1,241</w:t>
            </w: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4"/>
              </w:rPr>
              <w:t>1,042</w:t>
            </w:r>
          </w:p>
        </w:tc>
        <w:tc>
          <w:tcPr>
            <w:tcW w:w="1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2,659</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697</w:t>
            </w: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net of amounts capitalized</w:t>
            </w:r>
          </w:p>
        </w:tc>
        <w:tc>
          <w:tcPr>
            <w:tcW w:w="7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4"/>
              </w:rPr>
              <w:t>4,677</w:t>
            </w:r>
          </w:p>
        </w:tc>
        <w:tc>
          <w:tcPr>
            <w:tcW w:w="1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4"/>
              </w:rPr>
              <w:t>1,308</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10,016</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3,051</w:t>
            </w: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stock-based compensation expense</w:t>
            </w: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137</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136</w:t>
            </w:r>
          </w:p>
        </w:tc>
      </w:tr>
      <w:tr>
        <w:trPr>
          <w:trHeight w:val="223"/>
        </w:trPr>
        <w:tc>
          <w:tcPr>
            <w:tcW w:w="5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4"/>
              </w:rPr>
              <w:t>4,691</w:t>
            </w:r>
          </w:p>
        </w:tc>
        <w:tc>
          <w:tcPr>
            <w:tcW w:w="1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4"/>
              </w:rPr>
              <w:t>1,369</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10,153</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3,187</w:t>
            </w: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has an effective tax rate of (0.8)% and (8.1)% for the three months ended September 30, 2019 and 2018, respectively, and (2.2)% and (11.4)% for the nine months ended September 30, 2019 and 2018, respectively. The Company has incurred U.S. operating losses and has minimal profits in its foreign jurisdictions.</w:t>
      </w:r>
    </w:p>
    <w:p>
      <w:pPr>
        <w:spacing w:after="0" w:line="18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U.S. Due to uncertainties surrounding the realization of the deferred tax assets, the Company maintains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 xml:space="preserve">The Company has applied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has determined that it has uncertain positions that would result in a tax reserve deemed immaterial for the nine months ended September 30, 2019 and $0.2 million for the nine months ended September 30, 2018. The Company’s policy is to recognize interest and penalties related to uncertain tax positions in income tax expense. The Company is subject to U.S. federal tax authority, U.S. state tax authority and foreign tax authority examinations.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229"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Basic and diluted net loss per common share is presented in conformity with the two-class method required for participating securities. Immediately prior to the consummation of the Company’s IPO in September 2019, all outstanding shares of convertible preferred stock and common stock were converted to Class B common stock. As a result, Class A and Class B common stock are the only outstanding equity in the Company.</w:t>
      </w:r>
    </w:p>
    <w:p>
      <w:pPr>
        <w:spacing w:after="0" w:line="16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Basic and diluted net loss per share is computed using the weighted-average number of common shares outstanding during the period. The undistributed earnings are allocated based on the contractual participation rights of the Class A and Class B common shares as if the earnings for the year have been distributed. As the liquidation and dividend rights are identical, the undistributed earnings are allocated on a proportionate basis. Further, as the conversion of Class B common stock is assumed in the computation of the diluted net loss per share of Class A common stock, the undistributed earnings are equal to net loss for that computation.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color w:val="auto"/>
        </w:rPr>
        <w:t>The following table presents the calculation of basic and diluted net loss per share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jc w:val="center"/>
              <w:ind w:left="674"/>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5"/>
          </w:tcPr>
          <w:p>
            <w:pPr>
              <w:jc w:val="center"/>
              <w:ind w:left="634"/>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vMerge w:val="restart"/>
          </w:tcPr>
          <w:p>
            <w:pPr>
              <w:spacing w:after="0"/>
              <w:rPr>
                <w:sz w:val="20"/>
                <w:szCs w:val="20"/>
                <w:color w:val="auto"/>
              </w:rPr>
            </w:pPr>
            <w:r>
              <w:rPr>
                <w:rFonts w:ascii="Arial" w:cs="Arial" w:eastAsia="Arial" w:hAnsi="Arial"/>
                <w:sz w:val="18"/>
                <w:szCs w:val="18"/>
                <w:color w:val="auto"/>
              </w:rPr>
              <w:t>Basic net loss per share:</w:t>
            </w:r>
          </w:p>
        </w:tc>
        <w:tc>
          <w:tcPr>
            <w:tcW w:w="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53"/>
              <w:spacing w:after="0" w:line="155" w:lineRule="exact"/>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33"/>
              <w:spacing w:after="0" w:line="155"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19"/>
                <w:szCs w:val="19"/>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Class B</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Class A</w:t>
            </w:r>
          </w:p>
        </w:tc>
        <w:tc>
          <w:tcPr>
            <w:tcW w:w="140" w:type="dxa"/>
            <w:vAlign w:val="bottom"/>
          </w:tcPr>
          <w:p>
            <w:pPr>
              <w:spacing w:after="0"/>
              <w:rPr>
                <w:sz w:val="19"/>
                <w:szCs w:val="19"/>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Class B</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Numerator:</w:t>
            </w:r>
          </w:p>
        </w:tc>
        <w:tc>
          <w:tcPr>
            <w:tcW w:w="4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(4,068)</w:t>
            </w:r>
          </w:p>
        </w:tc>
        <w:tc>
          <w:tcPr>
            <w:tcW w:w="1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(17,444)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Denominator:</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260"/>
              <w:spacing w:after="0"/>
              <w:rPr>
                <w:sz w:val="20"/>
                <w:szCs w:val="20"/>
                <w:color w:val="auto"/>
              </w:rPr>
            </w:pPr>
            <w:r>
              <w:rPr>
                <w:rFonts w:ascii="Arial" w:cs="Arial" w:eastAsia="Arial" w:hAnsi="Arial"/>
                <w:sz w:val="18"/>
                <w:szCs w:val="18"/>
                <w:color w:val="auto"/>
              </w:rPr>
              <w:t>Weighted average shares used in calculating net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loss per share, basic</w:t>
            </w:r>
          </w:p>
        </w:tc>
        <w:tc>
          <w:tcPr>
            <w:tcW w:w="4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2,322</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101,554</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73,353</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86,976</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69,708</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net loss per share</w:t>
            </w:r>
          </w:p>
        </w:tc>
        <w:tc>
          <w:tcPr>
            <w:tcW w:w="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Diluted net loss per share:</w:t>
            </w: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Numerator:</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260"/>
              <w:spacing w:after="0"/>
              <w:rPr>
                <w:sz w:val="20"/>
                <w:szCs w:val="20"/>
                <w:color w:val="auto"/>
              </w:rPr>
            </w:pPr>
            <w:r>
              <w:rPr>
                <w:rFonts w:ascii="Arial" w:cs="Arial" w:eastAsia="Arial" w:hAnsi="Arial"/>
                <w:sz w:val="18"/>
                <w:szCs w:val="18"/>
                <w:color w:val="auto"/>
              </w:rPr>
              <w:t>Allocation of distributed loss for basic</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380"/>
              <w:spacing w:after="0"/>
              <w:rPr>
                <w:sz w:val="20"/>
                <w:szCs w:val="20"/>
                <w:color w:val="auto"/>
              </w:rPr>
            </w:pPr>
            <w:r>
              <w:rPr>
                <w:rFonts w:ascii="Arial" w:cs="Arial" w:eastAsia="Arial" w:hAnsi="Arial"/>
                <w:sz w:val="18"/>
                <w:szCs w:val="18"/>
                <w:color w:val="auto"/>
              </w:rPr>
              <w:t>computation</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(4,068)</w:t>
            </w:r>
          </w:p>
        </w:tc>
        <w:tc>
          <w:tcPr>
            <w:tcW w:w="12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(17,444)</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15"/>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Reallocation of undistributed loss as a result of</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conversion of Class B to Class A shares</w:t>
            </w:r>
          </w:p>
        </w:tc>
        <w:tc>
          <w:tcPr>
            <w:tcW w:w="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(4,068)</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Allocation of undistributed loss</w:t>
            </w:r>
          </w:p>
        </w:tc>
        <w:tc>
          <w:tcPr>
            <w:tcW w:w="4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(4,068)</w:t>
            </w:r>
          </w:p>
        </w:tc>
        <w:tc>
          <w:tcPr>
            <w:tcW w:w="1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(4,673)</w:t>
            </w: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(17,601)</w:t>
            </w: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(17,444)</w:t>
            </w: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Number of shares used in basic calculation</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101,554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73,353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86,976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69,708</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Weighted average effect of diluted securities:</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260"/>
              <w:spacing w:after="0"/>
              <w:rPr>
                <w:sz w:val="20"/>
                <w:szCs w:val="20"/>
                <w:color w:val="auto"/>
              </w:rPr>
            </w:pPr>
            <w:r>
              <w:rPr>
                <w:rFonts w:ascii="Arial" w:cs="Arial" w:eastAsia="Arial" w:hAnsi="Arial"/>
                <w:sz w:val="18"/>
                <w:szCs w:val="18"/>
                <w:color w:val="auto"/>
              </w:rPr>
              <w:t>Conversion of Class B to Class A common shares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380"/>
              <w:spacing w:after="0"/>
              <w:rPr>
                <w:sz w:val="20"/>
                <w:szCs w:val="20"/>
                <w:color w:val="auto"/>
              </w:rPr>
            </w:pPr>
            <w:r>
              <w:rPr>
                <w:rFonts w:ascii="Arial" w:cs="Arial" w:eastAsia="Arial" w:hAnsi="Arial"/>
                <w:sz w:val="18"/>
                <w:szCs w:val="18"/>
                <w:color w:val="auto"/>
              </w:rPr>
              <w:t>outstanding</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101,554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86,976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Number of shares used in diluted calculation</w:t>
            </w:r>
          </w:p>
        </w:tc>
        <w:tc>
          <w:tcPr>
            <w:tcW w:w="4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103,876</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101,554</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73,353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87,758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86,976</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69,708</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Diluted net loss per share</w:t>
            </w:r>
          </w:p>
        </w:tc>
        <w:tc>
          <w:tcPr>
            <w:tcW w:w="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Since the Company was in a loss position for the periods presented, basic net loss per share is the same as diluted net loss per share as the inclusion of all potential common shares outstanding would have been anti-dilutive. Potentially dilutive securities that were not included in the diluted per share calculations because they would be anti-dilutive were as follows (in thousands):</w:t>
      </w:r>
    </w:p>
    <w:p>
      <w:pPr>
        <w:spacing w:after="0" w:line="281"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6350</wp:posOffset>
            </wp:positionV>
            <wp:extent cx="22555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ind w:right="69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17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179,815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Shares subject to outstanding stock options</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37,153</w:t>
            </w:r>
          </w:p>
        </w:tc>
        <w:tc>
          <w:tcPr>
            <w:tcW w:w="180" w:type="dxa"/>
            <w:vAlign w:val="bottom"/>
          </w:tcPr>
          <w:p>
            <w:pPr>
              <w:spacing w:after="0"/>
              <w:rPr>
                <w:sz w:val="19"/>
                <w:szCs w:val="19"/>
                <w:color w:val="auto"/>
              </w:rPr>
            </w:pP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39,981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early exercised stock options</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1,548</w:t>
            </w: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38,701</w:t>
            </w:r>
          </w:p>
        </w:tc>
        <w:tc>
          <w:tcPr>
            <w:tcW w:w="18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222,000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jc w:val="right"/>
              <w:ind w:right="1970"/>
              <w:spacing w:after="0"/>
              <w:rPr>
                <w:sz w:val="20"/>
                <w:szCs w:val="20"/>
                <w:color w:val="auto"/>
              </w:rPr>
            </w:pPr>
            <w:r>
              <w:rPr>
                <w:rFonts w:ascii="Arial" w:cs="Arial" w:eastAsia="Arial" w:hAnsi="Arial"/>
                <w:sz w:val="18"/>
                <w:szCs w:val="18"/>
                <w:color w:val="auto"/>
              </w:rPr>
              <w:t>23</w:t>
            </w: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8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8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 Q and our audited consolidated financial statements and the related notes and the discussion under the heading “Management’s Discussion and Analysis of Financial Condition and Results of Operations” for the fiscal year ended December 31, 2018 included in the Final Prospectus for our initial public offering, or our IPO, dated as of September 18, 2019 and filed with the Securities and Exchange Commission, or the SEC, pursuant to Rule 424(b)(4) on September 19, 2019.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SaaS platform integrates and automates infrastructure monitoring, application performance monitoring and log management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8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generate revenue from the sale of subscriptions to customers using our cloud-based platform. Our paid subscriptions are available in Pro and Enterprise tiers. The terms of our subscription agreements are primarily monthly or annual. Customers also have the option to purchase additional products, such as additional containers to monitor, custom metrics packages, anomaly detection and trace search and analytics. Professional services are generally not required for the implementation of our products and revenue from such services has been immaterial to date.</w:t>
      </w:r>
    </w:p>
    <w:p>
      <w:pPr>
        <w:spacing w:after="0" w:line="17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As of September 30, 2019, we had $770.9 million in cash, cash equivalents and restricted cash. We generated revenue of $95.9 million and $51.1 million in the three months ended September 30, 2019 and 2018, respectively, representing year-over-year growth of 88%. For the nine months ended September 30, 2019 and 2018, our revenue was $249.1 million and $136.5 million, respectively, representing year-over-year growth of 83%. Substantially all of our revenue is subscription software sales. Our net loss was $(4.2) million and $(4.7) million for the three months ended September 30, 2019 and 2018, respectively, and $(17.6) million and $(4.2) million for the nine months ended September 30, 2019 and 2018, respectively. We generated operating cash flow of $6.8 million and $15.4 million in the nine months ended September 30, 2019 and 2018, respectively. Our free cash flow was ($10.1) million and $2.6 million in the nine months ended September 30, 2019 and 2018, respectively. See the section titled “—Liquidity and Capital Resources—Non-GAAP Free Cash Flow”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225"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September 30, 2019, we had approximately 9,500 customers spanning organizations of a broad range of sizes and industries. Our ability to attract new customers will depend on a number of factors, including the effectiveness and pricing of our products, offerings of our competitors, and the effectiveness of our marketing efforts.</w:t>
      </w:r>
    </w:p>
    <w:p>
      <w:pPr>
        <w:spacing w:after="0" w:line="15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225"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Our base of customers represents a significant opportunity for further sales expansion. As of September 30, 2019, we had approximately 727 customers with annual run-rate revenue, or ARR, of $100,000 or more, up from 377 as of September 30, 2018. We define ARR as the annual run-rate revenue of subscription agreements from all customers at a point in time. We calculate ARR by taking the monthly run-rate revenue, or MRR, and multiplying it by</w:t>
      </w:r>
    </w:p>
    <w:p>
      <w:pPr>
        <w:jc w:val="both"/>
        <w:ind w:firstLine="8"/>
        <w:spacing w:after="0" w:line="273" w:lineRule="auto"/>
        <w:tabs>
          <w:tab w:leader="none" w:pos="274" w:val="left"/>
        </w:tabs>
        <w:numPr>
          <w:ilvl w:val="0"/>
          <w:numId w:val="6"/>
        </w:numPr>
        <w:rPr>
          <w:rFonts w:ascii="Arial" w:cs="Arial" w:eastAsia="Arial" w:hAnsi="Arial"/>
          <w:sz w:val="17"/>
          <w:szCs w:val="17"/>
          <w:color w:val="auto"/>
        </w:rPr>
      </w:pPr>
      <w:r>
        <w:rPr>
          <w:rFonts w:ascii="Arial" w:cs="Arial" w:eastAsia="Arial" w:hAnsi="Arial"/>
          <w:sz w:val="17"/>
          <w:szCs w:val="17"/>
          <w:color w:val="auto"/>
        </w:rPr>
        <w:t>MRR for each month is calculated by aggregating, for all customers during that month, monthly revenue from committed contractual amounts, additional usage and monthly subscriptions. ARR and MRR should be viewed independently of revenue, and do not represent our revenue under U.S. generally accepted accounting principles, or GAAP, on a monthly or annualized basis, as they are operating metrics that can be impacted by contract start and end dates and renewal rates. ARR and MRR are not intended to be replacements or forecasts of revenue.</w:t>
      </w:r>
    </w:p>
    <w:p>
      <w:pPr>
        <w:spacing w:after="0" w:line="17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Sustaining Innovation and Technology Leadership</w:t>
      </w:r>
    </w:p>
    <w:p>
      <w:pPr>
        <w:spacing w:after="0" w:line="22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proven initial success of our platform approach, through expansion beyond our initial infrastructure monitoring solution, to include APM in 2017, logs in 2018, and both user experience and network performance monitoring in 2019. As of September 30, 2019, approximately 50% of our customers were using more than one product, up from approximately 15% a year earlier. We believe these metrics indicate strong momentum in the uptake of our newer platform products.</w:t>
      </w:r>
    </w:p>
    <w:p>
      <w:pPr>
        <w:spacing w:after="0" w:line="17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22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believe there is a significant opportunity to expand usage of our platform outside of North America. Revenue, as determined based on the billing address of our customers, from regions outside of North America was 25% for the nine months ended September 30, 2019. In addition, we have made and plan to continue to make significant investments to expand geographically, particularly in Europe, the Middle East, Africa and in the Asia Pacific region. Although these investments may adversely affect our operating results in the near term, we believe that they will contribute to our long-term growth. Beyond North America, we now have sales presence internationally, including in Dublin, London, Paris, Singapore, Sydney and Tokyo.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generate revenue from the sale of subscriptions to customers using our cloud-based platform. The terms of our subscription agreements 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both"/>
        <w:ind w:firstLine="518"/>
        <w:spacing w:after="0" w:line="259" w:lineRule="auto"/>
        <w:rPr>
          <w:sz w:val="20"/>
          <w:szCs w:val="20"/>
          <w:color w:val="auto"/>
        </w:rPr>
      </w:pPr>
      <w:r>
        <w:rPr>
          <w:rFonts w:ascii="Arial" w:cs="Arial" w:eastAsia="Arial" w:hAnsi="Arial"/>
          <w:sz w:val="18"/>
          <w:szCs w:val="18"/>
          <w:color w:val="auto"/>
        </w:rPr>
        <w:t>Usage is measured primarily by the number of hosts or by the volume of data indexed. A host is generally defined as a server, either in the cloud or on-premise. Our infrastructure monitoring and APM products are priced per host, while the logs product is priced primarily per log events indexed and secondarily by events ingested. Customers also have the option to purchase additional products, such as additional container or serverless monitoring, custom metrics packages, anomaly detection, synthetic monitoring and trace search and analytics.</w:t>
      </w:r>
    </w:p>
    <w:p>
      <w:pPr>
        <w:spacing w:after="0" w:line="18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Due to ease of implementation of our products, professional services generally are not required and revenue from such services has been immaterial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 related expenses, including depreciation expense.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and continue to be our largest operating expense for the foreseeable future as we expand our sales and marketing efforts. However, we expect that our sales and marketing expense will decrease as a percentage of our revenue over the long term.</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66"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expect to incur additional expenses as a result of operating as a newly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 However, we expect that our general and administrative expense will decrease as a percentage of our revenue as our revenue grows over the longer term.</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consists of income earned on our money market funds included in cash and cash equivalents and restricted cash.</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Provision for income taxes consists of U.S. federal and state income taxes and income taxes in certain foreign jurisdictions in which we conduct business. We maintain a full valuation allowance on our federal and state deferred tax assets as we have concluded that it is not more likely than not that the deferred tax assets will be realized.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8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4"/>
                <w:szCs w:val="14"/>
                <w:color w:val="auto"/>
              </w:rPr>
            </w:pPr>
          </w:p>
        </w:tc>
      </w:tr>
      <w:tr>
        <w:trPr>
          <w:trHeight w:val="156"/>
        </w:trPr>
        <w:tc>
          <w:tcPr>
            <w:tcW w:w="15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15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30"/>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6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95,864</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51,074</w:t>
            </w:r>
          </w:p>
        </w:tc>
        <w:tc>
          <w:tcPr>
            <w:tcW w:w="54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249,136</w:t>
            </w:r>
          </w:p>
        </w:tc>
        <w:tc>
          <w:tcPr>
            <w:tcW w:w="5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136,467</w:t>
            </w:r>
          </w:p>
        </w:tc>
      </w:tr>
      <w:tr>
        <w:trPr>
          <w:trHeight w:val="230"/>
        </w:trPr>
        <w:tc>
          <w:tcPr>
            <w:tcW w:w="4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5"/>
                <w:szCs w:val="15"/>
                <w:color w:val="auto"/>
              </w:rPr>
              <w:t>(1)(2)</w:t>
            </w:r>
          </w:p>
        </w:tc>
        <w:tc>
          <w:tcPr>
            <w:tcW w:w="13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23,297</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12,098</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63,225</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30,690</w:t>
            </w:r>
          </w:p>
        </w:tc>
      </w:tr>
      <w:tr>
        <w:trPr>
          <w:trHeight w:val="223"/>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72,567</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38,976</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185,911</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105,777</w:t>
            </w: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w:t>
            </w: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28,684</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14,159</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75,531</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37,456</w:t>
            </w:r>
          </w:p>
        </w:tc>
      </w:tr>
      <w:tr>
        <w:trPr>
          <w:trHeight w:val="230"/>
        </w:trPr>
        <w:tc>
          <w:tcPr>
            <w:tcW w:w="4180" w:type="dxa"/>
            <w:vAlign w:val="bottom"/>
            <w:gridSpan w:val="2"/>
          </w:tcPr>
          <w:p>
            <w:pPr>
              <w:ind w:left="26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5"/>
                <w:szCs w:val="15"/>
                <w:color w:val="auto"/>
              </w:rPr>
              <w:t>(1)</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38,836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25,130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105,061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59,747</w:t>
            </w:r>
          </w:p>
        </w:tc>
      </w:tr>
      <w:tr>
        <w:trPr>
          <w:trHeight w:val="230"/>
        </w:trPr>
        <w:tc>
          <w:tcPr>
            <w:tcW w:w="4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13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9,265</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4,322</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23,193</w:t>
            </w:r>
          </w:p>
        </w:tc>
        <w:tc>
          <w:tcPr>
            <w:tcW w:w="1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12,933</w:t>
            </w:r>
          </w:p>
        </w:tc>
      </w:tr>
      <w:tr>
        <w:trPr>
          <w:trHeight w:val="223"/>
        </w:trPr>
        <w:tc>
          <w:tcPr>
            <w:tcW w:w="41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76,785</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43,611</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203,785</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110,136</w:t>
            </w:r>
          </w:p>
        </w:tc>
      </w:tr>
      <w:tr>
        <w:trPr>
          <w:trHeight w:val="223"/>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(17,874)</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w:t>
            </w:r>
          </w:p>
        </w:tc>
      </w:tr>
      <w:tr>
        <w:trPr>
          <w:trHeight w:val="230"/>
        </w:trPr>
        <w:tc>
          <w:tcPr>
            <w:tcW w:w="4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income, net</w:t>
            </w:r>
          </w:p>
        </w:tc>
        <w:tc>
          <w:tcPr>
            <w:tcW w:w="13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646</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612</w:t>
            </w:r>
          </w:p>
        </w:tc>
      </w:tr>
      <w:tr>
        <w:trPr>
          <w:trHeight w:val="223"/>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(4,324)</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(17,228)</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w:t>
            </w:r>
          </w:p>
        </w:tc>
      </w:tr>
      <w:tr>
        <w:trPr>
          <w:trHeight w:val="230"/>
        </w:trPr>
        <w:tc>
          <w:tcPr>
            <w:tcW w:w="4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223"/>
        </w:trPr>
        <w:tc>
          <w:tcPr>
            <w:tcW w:w="4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3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(4,161)</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(4,673)</w:t>
            </w: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(17,601)</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(4,175)</w:t>
            </w:r>
          </w:p>
        </w:tc>
      </w:tr>
      <w:tr>
        <w:trPr>
          <w:trHeight w:val="20"/>
        </w:trPr>
        <w:tc>
          <w:tcPr>
            <w:tcW w:w="1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26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22"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00" w:type="dxa"/>
            <w:vAlign w:val="bottom"/>
            <w:gridSpan w:val="4"/>
          </w:tcPr>
          <w:p>
            <w:pPr>
              <w:jc w:val="right"/>
              <w:ind w:right="20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8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2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4"/>
                <w:szCs w:val="14"/>
                <w:color w:val="auto"/>
              </w:rPr>
            </w:pPr>
          </w:p>
        </w:tc>
      </w:tr>
      <w:tr>
        <w:trPr>
          <w:trHeight w:val="156"/>
        </w:trPr>
        <w:tc>
          <w:tcPr>
            <w:tcW w:w="1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1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3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600" w:type="dxa"/>
            <w:vAlign w:val="bottom"/>
            <w:gridSpan w:val="2"/>
            <w:shd w:val="clear" w:color="auto" w:fill="CFF0FC"/>
          </w:tcPr>
          <w:p>
            <w:pPr>
              <w:jc w:val="right"/>
              <w:ind w:right="64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74</w:t>
            </w:r>
          </w:p>
        </w:tc>
        <w:tc>
          <w:tcPr>
            <w:tcW w:w="54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372</w:t>
            </w:r>
          </w:p>
        </w:tc>
        <w:tc>
          <w:tcPr>
            <w:tcW w:w="5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182</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w w:val="93"/>
              </w:rPr>
              <w:t>1,934</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3,709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931</w:t>
            </w:r>
          </w:p>
        </w:tc>
      </w:tr>
      <w:tr>
        <w:trPr>
          <w:trHeight w:val="23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w w:val="93"/>
              </w:rPr>
              <w:t>1,540</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3,276</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1,241</w:t>
            </w:r>
          </w:p>
        </w:tc>
      </w:tr>
      <w:tr>
        <w:trPr>
          <w:trHeight w:val="230"/>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3"/>
              </w:rPr>
              <w:t>1,042</w:t>
            </w:r>
          </w:p>
        </w:tc>
        <w:tc>
          <w:tcPr>
            <w:tcW w:w="1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2,659</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697</w:t>
            </w:r>
          </w:p>
        </w:tc>
      </w:tr>
      <w:tr>
        <w:trPr>
          <w:trHeight w:val="223"/>
        </w:trPr>
        <w:tc>
          <w:tcPr>
            <w:tcW w:w="37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w w:val="93"/>
              </w:rPr>
              <w:t>4,677</w:t>
            </w: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w w:val="93"/>
              </w:rPr>
              <w:t>1,308</w:t>
            </w: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10,016</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3,051</w:t>
            </w:r>
          </w:p>
        </w:tc>
      </w:tr>
      <w:tr>
        <w:trPr>
          <w:trHeight w:val="20"/>
        </w:trPr>
        <w:tc>
          <w:tcPr>
            <w:tcW w:w="1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22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22"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34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w w:val="93"/>
              </w:rPr>
              <w:t>Nine Months Ended</w:t>
            </w:r>
          </w:p>
        </w:tc>
        <w:tc>
          <w:tcPr>
            <w:tcW w:w="520" w:type="dxa"/>
            <w:vAlign w:val="bottom"/>
          </w:tcPr>
          <w:p>
            <w:pPr>
              <w:spacing w:after="0"/>
              <w:rPr>
                <w:sz w:val="14"/>
                <w:szCs w:val="14"/>
                <w:color w:val="auto"/>
              </w:rPr>
            </w:pPr>
          </w:p>
        </w:tc>
      </w:tr>
      <w:tr>
        <w:trPr>
          <w:trHeight w:val="171"/>
        </w:trPr>
        <w:tc>
          <w:tcPr>
            <w:tcW w:w="3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387"/>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399"/>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4"/>
                <w:szCs w:val="14"/>
                <w:color w:val="auto"/>
              </w:rPr>
            </w:pPr>
          </w:p>
        </w:tc>
      </w:tr>
      <w:tr>
        <w:trPr>
          <w:trHeight w:val="156"/>
        </w:trPr>
        <w:tc>
          <w:tcPr>
            <w:tcW w:w="33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r>
      <w:tr>
        <w:trPr>
          <w:trHeight w:val="156"/>
        </w:trPr>
        <w:tc>
          <w:tcPr>
            <w:tcW w:w="33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00" w:type="dxa"/>
            <w:vAlign w:val="bottom"/>
            <w:gridSpan w:val="3"/>
          </w:tcPr>
          <w:p>
            <w:pPr>
              <w:jc w:val="right"/>
              <w:ind w:right="468"/>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04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112</w:t>
            </w:r>
          </w:p>
        </w:tc>
        <w:tc>
          <w:tcPr>
            <w:tcW w:w="98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332</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our consolidated statements of operations data expressed as a percentage of revenue for the periods indicated: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center"/>
              <w:ind w:right="452"/>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6"/>
              </w:rPr>
              <w:t>September 30,</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1"/>
              </w:rPr>
              <w:t>September 30,</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1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gridSpan w:val="6"/>
          </w:tcPr>
          <w:p>
            <w:pPr>
              <w:jc w:val="right"/>
              <w:ind w:right="534"/>
              <w:spacing w:after="0" w:line="155" w:lineRule="exact"/>
              <w:rPr>
                <w:sz w:val="20"/>
                <w:szCs w:val="20"/>
                <w:color w:val="auto"/>
              </w:rPr>
            </w:pPr>
            <w:r>
              <w:rPr>
                <w:rFonts w:ascii="Arial" w:cs="Arial" w:eastAsia="Arial" w:hAnsi="Arial"/>
                <w:sz w:val="14"/>
                <w:szCs w:val="14"/>
                <w:b w:val="1"/>
                <w:bCs w:val="1"/>
                <w:color w:val="auto"/>
                <w:w w:val="92"/>
              </w:rPr>
              <w:t>(as a percentage of total revenue)</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9"/>
                <w:szCs w:val="19"/>
                <w:color w:val="auto"/>
              </w:rPr>
            </w:pP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rPr>
              <w:t>76</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rPr>
              <w:t>76</w:t>
            </w: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154"/>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500" w:type="dxa"/>
            <w:vAlign w:val="bottom"/>
            <w:gridSpan w:val="2"/>
          </w:tcPr>
          <w:p>
            <w:pPr>
              <w:ind w:left="26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9"/>
                <w:szCs w:val="19"/>
                <w:color w:val="auto"/>
              </w:rPr>
            </w:pP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w w:val="91"/>
              </w:rPr>
              <w:t>Comparison of the Three Months Ended September 30, 2019 and 2018</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gridSpan w:val="2"/>
          </w:tcPr>
          <w:p>
            <w:pPr>
              <w:ind w:left="520"/>
              <w:spacing w:after="0"/>
              <w:rPr>
                <w:sz w:val="20"/>
                <w:szCs w:val="20"/>
                <w:color w:val="auto"/>
              </w:rPr>
            </w:pPr>
            <w:r>
              <w:rPr>
                <w:rFonts w:ascii="Arial" w:cs="Arial" w:eastAsia="Arial" w:hAnsi="Arial"/>
                <w:sz w:val="18"/>
                <w:szCs w:val="18"/>
                <w:b w:val="1"/>
                <w:bCs w:val="1"/>
                <w:i w:val="1"/>
                <w:iCs w:val="1"/>
                <w:color w:val="auto"/>
              </w:rPr>
              <w:t>Revenue</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5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1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5"/>
          </w:tcPr>
          <w:p>
            <w:pPr>
              <w:ind w:left="5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95,864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51,074</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44,790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Revenue increased by $44.8 million, or 88%, for the three months ended September 30, 2019 compared to the three months ended September 30, 2018. The increase in revenue was primarily due to growth from existing customers, with the remaining increase attributable to new customers.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left="482"/>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4"/>
                <w:szCs w:val="14"/>
                <w:color w:val="auto"/>
              </w:rPr>
            </w:pPr>
          </w:p>
        </w:tc>
        <w:tc>
          <w:tcPr>
            <w:tcW w:w="14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42"/>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23,297</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12,098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11,199</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518"/>
        <w:spacing w:after="0" w:line="257" w:lineRule="auto"/>
        <w:rPr>
          <w:sz w:val="20"/>
          <w:szCs w:val="20"/>
          <w:color w:val="auto"/>
        </w:rPr>
      </w:pPr>
      <w:r>
        <w:rPr>
          <w:rFonts w:ascii="Arial" w:cs="Arial" w:eastAsia="Arial" w:hAnsi="Arial"/>
          <w:sz w:val="18"/>
          <w:szCs w:val="18"/>
          <w:color w:val="auto"/>
        </w:rPr>
        <w:t>Cost of revenue increased by $11.2 million, or 93%, for the three months ended September 30, 2019 compared to the three months ended September 30, 2018. This increase was primarily due to an increase of $9.1 million in third-party cloud infrastructure hosting and software costs, $1.1 million of depreciation and amortization, $0.8 million in personnel expenses as a result of increased headcount, $0.1 million of credit card processing fees and other fees, and $0.1 million in allocated overhead costs as a result of an increase in overall costs necessary to support the growth of the business and related infrastructure.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gross margin remained relatively constant in the three months ended September 30, 2019 compared to the three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left="482"/>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642"/>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1040" w:type="dxa"/>
            <w:vAlign w:val="bottom"/>
          </w:tcPr>
          <w:p>
            <w:pPr>
              <w:jc w:val="right"/>
              <w:ind w:right="576"/>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80" w:type="dxa"/>
            <w:vAlign w:val="bottom"/>
            <w:tcBorders>
              <w:top w:val="single" w:sz="8" w:color="auto"/>
            </w:tcBorders>
            <w:gridSpan w:val="3"/>
          </w:tcPr>
          <w:p>
            <w:pPr>
              <w:jc w:val="center"/>
              <w:ind w:right="396"/>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28,684</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14,159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14,525</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Research and development expense increased by $14.5 million, or 103%, for the three months ended September 30, 2019 compared to the three months ended September 30, 2018. This increase was primarily due to an increase of $10.4 million in personnel costs for our engineering, product and design teams as a result of increased headcount and an increase of $4.1 million in cloud infrastructure related investments and in allocated overhead costs necessary for supporting the growth of the business.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left="482"/>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642"/>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1040" w:type="dxa"/>
            <w:vAlign w:val="bottom"/>
          </w:tcPr>
          <w:p>
            <w:pPr>
              <w:jc w:val="right"/>
              <w:ind w:right="576"/>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80" w:type="dxa"/>
            <w:vAlign w:val="bottom"/>
            <w:tcBorders>
              <w:top w:val="single" w:sz="8" w:color="auto"/>
            </w:tcBorders>
            <w:gridSpan w:val="3"/>
          </w:tcPr>
          <w:p>
            <w:pPr>
              <w:jc w:val="center"/>
              <w:ind w:right="396"/>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38,836</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25,130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13,706</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518"/>
        <w:spacing w:after="0" w:line="276" w:lineRule="auto"/>
        <w:rPr>
          <w:sz w:val="20"/>
          <w:szCs w:val="20"/>
          <w:color w:val="auto"/>
        </w:rPr>
      </w:pPr>
      <w:r>
        <w:rPr>
          <w:rFonts w:ascii="Arial" w:cs="Arial" w:eastAsia="Arial" w:hAnsi="Arial"/>
          <w:sz w:val="17"/>
          <w:szCs w:val="17"/>
          <w:color w:val="auto"/>
        </w:rPr>
        <w:t>Sales and marketing expense increased by $13.7 million, or 55%, for the three months ended September 30, 2019 compared to the three months ended September 30, 2018. This increase was primarily due to an increase of $10.3 million in personnel costs for our sales and marketing organization as a result of increased headcount and increased amortization of deferred contract costs related to increased variable compensation for sales personnel due to increased sales, an increase of $1.2 million in marketing and promotional activities, and an increase of $2.2 million in allocated overhead costs as a result of increased overall costs necessary to support the growth of the business and related infrastructure.</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340" w:type="dxa"/>
            <w:vAlign w:val="bottom"/>
            <w:gridSpan w:val="3"/>
          </w:tcPr>
          <w:p>
            <w:pPr>
              <w:jc w:val="center"/>
              <w:ind w:left="344"/>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279"/>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340" w:type="dxa"/>
            <w:vAlign w:val="bottom"/>
            <w:tcBorders>
              <w:top w:val="single" w:sz="8" w:color="auto"/>
            </w:tcBorders>
            <w:gridSpan w:val="3"/>
          </w:tcPr>
          <w:p>
            <w:pPr>
              <w:jc w:val="center"/>
              <w:ind w:left="344"/>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FF0FC"/>
          </w:tcPr>
          <w:p>
            <w:pPr>
              <w:jc w:val="right"/>
              <w:ind w:right="6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93"/>
              </w:rPr>
              <w:t>9,265</w:t>
            </w:r>
          </w:p>
        </w:tc>
        <w:tc>
          <w:tcPr>
            <w:tcW w:w="88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3"/>
              </w:rPr>
              <w:t>4,322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4,943</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Percentage of revenue</w:t>
            </w:r>
          </w:p>
        </w:tc>
        <w:tc>
          <w:tcPr>
            <w:tcW w:w="7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420" w:type="dxa"/>
            <w:vAlign w:val="bottom"/>
          </w:tcPr>
          <w:p>
            <w:pPr>
              <w:spacing w:after="0"/>
              <w:rPr>
                <w:sz w:val="24"/>
                <w:szCs w:val="24"/>
                <w:color w:val="auto"/>
              </w:rPr>
            </w:pPr>
          </w:p>
        </w:tc>
        <w:tc>
          <w:tcPr>
            <w:tcW w:w="780" w:type="dxa"/>
            <w:vAlign w:val="bottom"/>
          </w:tcPr>
          <w:p>
            <w:pPr>
              <w:jc w:val="right"/>
              <w:ind w:right="324"/>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0" w:name="page31"/>
    <w:bookmarkEnd w:id="30"/>
    <w:p>
      <w:pPr>
        <w:jc w:val="both"/>
        <w:ind w:firstLine="518"/>
        <w:spacing w:after="0" w:line="279" w:lineRule="auto"/>
        <w:rPr>
          <w:sz w:val="20"/>
          <w:szCs w:val="20"/>
          <w:color w:val="auto"/>
        </w:rPr>
      </w:pPr>
      <w:r>
        <w:rPr>
          <w:rFonts w:ascii="Arial" w:cs="Arial" w:eastAsia="Arial" w:hAnsi="Arial"/>
          <w:sz w:val="17"/>
          <w:szCs w:val="17"/>
          <w:color w:val="auto"/>
        </w:rPr>
        <w:t>General and administrative expense increased by $4.9 million, or 114%, for the three months ended September 30, 2019 compared to the three months ended September 30, 2018. This increase was primarily due to an increase of $2.9 million in personnel costs as a result of increased headcount, an increase of $1.4 million related to outside professional fees primarily related to legal and accounting services, and an increase of $0.6 million in allocated overhead costs as a result of an increase in overall costs necessary to support the growth of the business and related infrastructure.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2019 and 2018</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3"/>
          </w:tcPr>
          <w:p>
            <w:pPr>
              <w:jc w:val="center"/>
              <w:ind w:right="319"/>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524"/>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96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560" w:type="dxa"/>
            <w:vAlign w:val="bottom"/>
            <w:tcBorders>
              <w:top w:val="single" w:sz="8" w:color="auto"/>
            </w:tcBorders>
            <w:gridSpan w:val="3"/>
          </w:tcPr>
          <w:p>
            <w:pPr>
              <w:jc w:val="center"/>
              <w:ind w:right="33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249,136</w:t>
            </w:r>
          </w:p>
        </w:tc>
        <w:tc>
          <w:tcPr>
            <w:tcW w:w="5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136,467</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112,669</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increased by $112.7 million, or 83%, in the nine months ended September 30, 2019 compared to the nine months ended September 30,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revenue was primarily due to growth from existing customers, with the remaining increase attributable to new customers.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left="402"/>
              <w:spacing w:after="0"/>
              <w:rPr>
                <w:sz w:val="20"/>
                <w:szCs w:val="20"/>
                <w:color w:val="auto"/>
              </w:rPr>
            </w:pPr>
            <w:r>
              <w:rPr>
                <w:rFonts w:ascii="Arial" w:cs="Arial" w:eastAsia="Arial" w:hAnsi="Arial"/>
                <w:sz w:val="14"/>
                <w:szCs w:val="14"/>
                <w:b w:val="1"/>
                <w:bCs w:val="1"/>
                <w:color w:val="auto"/>
                <w:w w:val="93"/>
              </w:rPr>
              <w:t>Nine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left="422"/>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642"/>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960" w:type="dxa"/>
            <w:vAlign w:val="bottom"/>
          </w:tcPr>
          <w:p>
            <w:pPr>
              <w:jc w:val="right"/>
              <w:ind w:right="576"/>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3"/>
          </w:tcPr>
          <w:p>
            <w:pPr>
              <w:jc w:val="center"/>
              <w:ind w:right="396"/>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63,225</w:t>
            </w:r>
          </w:p>
        </w:tc>
        <w:tc>
          <w:tcPr>
            <w:tcW w:w="5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30,690</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32,535</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Gross margin</w:t>
            </w:r>
          </w:p>
        </w:tc>
        <w:tc>
          <w:tcPr>
            <w:tcW w:w="2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Arial" w:cs="Arial" w:eastAsia="Arial" w:hAnsi="Arial"/>
                <w:sz w:val="18"/>
                <w:szCs w:val="18"/>
                <w:color w:val="auto"/>
              </w:rPr>
              <w:t>75%</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Cost of revenue increased by $32.5 million, or 106%, in the nine months ended September 30, 2019 compared to the nine months ended September 30, 2018. This increase was primarily due to an increase of $26.9 million in third-party cloud infrastructure hosting and software costs, an increase of $2.4 million in personnel expenses as a result of increased headcount, an increase of $2.1 million of depreciation and amortization expense, an increase of $0.6 million in credit card processing fees and other fees, and an increase of $0.6 million in allocated overhead costs as a result of an increase in overall costs necessary to support the growth of the business and related infrastructure.</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gross margin declined by 3% for the nine months ended September 30, 2019 compared to the nine months ended September 30, 2018, primarily as the result of the timing and amount of our investments to expand the capacity of our third-party cloud infrastructure providers.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left="402"/>
              <w:spacing w:after="0"/>
              <w:rPr>
                <w:sz w:val="20"/>
                <w:szCs w:val="20"/>
                <w:color w:val="auto"/>
              </w:rPr>
            </w:pPr>
            <w:r>
              <w:rPr>
                <w:rFonts w:ascii="Arial" w:cs="Arial" w:eastAsia="Arial" w:hAnsi="Arial"/>
                <w:sz w:val="14"/>
                <w:szCs w:val="14"/>
                <w:b w:val="1"/>
                <w:bCs w:val="1"/>
                <w:color w:val="auto"/>
                <w:w w:val="94"/>
              </w:rPr>
              <w:t>Nine Months Ended</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left="402"/>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642"/>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960" w:type="dxa"/>
            <w:vAlign w:val="bottom"/>
          </w:tcPr>
          <w:p>
            <w:pPr>
              <w:jc w:val="right"/>
              <w:ind w:right="576"/>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80" w:type="dxa"/>
            <w:vAlign w:val="bottom"/>
            <w:tcBorders>
              <w:top w:val="single" w:sz="8" w:color="auto"/>
            </w:tcBorders>
            <w:gridSpan w:val="3"/>
          </w:tcPr>
          <w:p>
            <w:pPr>
              <w:jc w:val="center"/>
              <w:ind w:right="396"/>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75,531</w:t>
            </w:r>
          </w:p>
        </w:tc>
        <w:tc>
          <w:tcPr>
            <w:tcW w:w="5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37,456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38,075</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Research and development expense increased by $38.1 million, or 102%, in the nine months ended September 30, 2019 compared to the nine months ended September 30, 2018. This increase was primarily due to an increase of $23.8 million in personnel costs for our engineering, product and design teams as a result of increased headcount, and an increase of $14.3 million in cloud infrastructure related investments and in allocated overhead costs necessary for supporting the growth of the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left="402"/>
              <w:spacing w:after="0"/>
              <w:rPr>
                <w:sz w:val="20"/>
                <w:szCs w:val="20"/>
                <w:color w:val="auto"/>
              </w:rPr>
            </w:pPr>
            <w:r>
              <w:rPr>
                <w:rFonts w:ascii="Arial" w:cs="Arial" w:eastAsia="Arial" w:hAnsi="Arial"/>
                <w:sz w:val="14"/>
                <w:szCs w:val="14"/>
                <w:b w:val="1"/>
                <w:bCs w:val="1"/>
                <w:color w:val="auto"/>
                <w:w w:val="94"/>
              </w:rPr>
              <w:t>Nine Months Ended</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left="402"/>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642"/>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960" w:type="dxa"/>
            <w:vAlign w:val="bottom"/>
          </w:tcPr>
          <w:p>
            <w:pPr>
              <w:jc w:val="right"/>
              <w:ind w:right="576"/>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80" w:type="dxa"/>
            <w:vAlign w:val="bottom"/>
            <w:tcBorders>
              <w:top w:val="single" w:sz="8" w:color="auto"/>
            </w:tcBorders>
            <w:gridSpan w:val="3"/>
          </w:tcPr>
          <w:p>
            <w:pPr>
              <w:jc w:val="center"/>
              <w:ind w:right="396"/>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105,061</w:t>
            </w:r>
          </w:p>
        </w:tc>
        <w:tc>
          <w:tcPr>
            <w:tcW w:w="5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59,747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45,314</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Sales and marketing expense increased by $45.3 million, or 76%, in the nine months ended September 30, 2019 compared to the nine months ended September 30, 2018. This increase was primarily due to an increase of $30.0 million in personnel costs for our sales and marketing organization as a result of increased headcount and increased variable compensation for our sales personnel, an increase of $8.1 million in allocated overhead costs as a result of an increase in overall costs necessary to support the growth of the business and related infrastructure, and an increase of $7.2 million in marketing and promotional activities.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left="402"/>
              <w:spacing w:after="0"/>
              <w:rPr>
                <w:sz w:val="20"/>
                <w:szCs w:val="20"/>
                <w:color w:val="auto"/>
              </w:rPr>
            </w:pPr>
            <w:r>
              <w:rPr>
                <w:rFonts w:ascii="Arial" w:cs="Arial" w:eastAsia="Arial" w:hAnsi="Arial"/>
                <w:sz w:val="14"/>
                <w:szCs w:val="14"/>
                <w:b w:val="1"/>
                <w:bCs w:val="1"/>
                <w:color w:val="auto"/>
                <w:w w:val="94"/>
              </w:rPr>
              <w:t>Nine Months Ended</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left="402"/>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642"/>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960" w:type="dxa"/>
            <w:vAlign w:val="bottom"/>
          </w:tcPr>
          <w:p>
            <w:pPr>
              <w:jc w:val="right"/>
              <w:ind w:right="576"/>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80" w:type="dxa"/>
            <w:vAlign w:val="bottom"/>
            <w:tcBorders>
              <w:top w:val="single" w:sz="8" w:color="auto"/>
            </w:tcBorders>
            <w:gridSpan w:val="3"/>
          </w:tcPr>
          <w:p>
            <w:pPr>
              <w:jc w:val="center"/>
              <w:ind w:right="396"/>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23,193</w:t>
            </w:r>
          </w:p>
        </w:tc>
        <w:tc>
          <w:tcPr>
            <w:tcW w:w="5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12,933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10,260</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General and administrative expense increased by $10.3 million, or 79%, in the nine months ended September 30, 2019 compared to the nine months ended September 30, 2018. This increase was primarily due to an increase of $4.9 million in personnel expenses as a result of increased headcount, an increase of $4.1 million related to outside professional fees primarily related to legal and accounting services, an increase of $1.3 million in allocated overhead expenses related to an increase in overall costs necessary to support the growth of the business and related infrastructure.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Since inception, we have financed operations primarily through sales of subscriptions and the net proceeds we have received from sales of equity securities as further detailed below. As of September 30, 2019, we had cash and cash equivalents totaling $760.9 million.</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cash and cash equivalents primarily consist of bank deposits and money market funds. In September 2019, we closed our IPO of 27,600,000 shares of our Class A common stock at an offering price of $27.00 per share, including 3,600,000 shares pursuant to the underwriters’ option to purchase shares of our Class A common stock, resulting in aggregate net proceeds to us of $705.9 million after deducting underwriting discounts and commissions of $37.3 million and net offering expenses of $2.0 million.</w:t>
      </w:r>
    </w:p>
    <w:p>
      <w:pPr>
        <w:spacing w:after="0" w:line="18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customers, the expansion of sales and marketing activities, the timing and extent of spending to support development efforts, the introduction of new and enhanced products, and the continuing market adoption of our platform. 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7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 substantial source of our cash from operations is from our deferred revenue, which is included in the liabilities section of our consolidated balance sheet. Deferred revenue consists of the unearned portion of customer billings, which is recognized as revenue in accordance with our revenue recognition policy. As of September 30, 2019, we had deferred revenue of $121.8 million, of which $117.0 million was recorded as a current liability and expected to be recognized as revenue in the next 12 months, provided all other revenue recognition criteria have been met.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280" w:type="dxa"/>
            <w:vAlign w:val="bottom"/>
          </w:tcPr>
          <w:p>
            <w:pPr>
              <w:spacing w:after="0"/>
              <w:rPr>
                <w:sz w:val="14"/>
                <w:szCs w:val="14"/>
                <w:color w:val="auto"/>
              </w:rPr>
            </w:pPr>
          </w:p>
        </w:tc>
      </w:tr>
      <w:tr>
        <w:trPr>
          <w:trHeight w:val="171"/>
        </w:trPr>
        <w:tc>
          <w:tcPr>
            <w:tcW w:w="5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280" w:type="dxa"/>
            <w:vAlign w:val="bottom"/>
            <w:tcBorders>
              <w:bottom w:val="single" w:sz="8" w:color="auto"/>
            </w:tcBorders>
          </w:tcPr>
          <w:p>
            <w:pPr>
              <w:spacing w:after="0"/>
              <w:rPr>
                <w:sz w:val="14"/>
                <w:szCs w:val="14"/>
                <w:color w:val="auto"/>
              </w:rPr>
            </w:pPr>
          </w:p>
        </w:tc>
      </w:tr>
      <w:tr>
        <w:trPr>
          <w:trHeight w:val="156"/>
        </w:trPr>
        <w:tc>
          <w:tcPr>
            <w:tcW w:w="50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774"/>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50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80" w:type="dxa"/>
            <w:vAlign w:val="bottom"/>
          </w:tcPr>
          <w:p>
            <w:pPr>
              <w:spacing w:after="0"/>
              <w:rPr>
                <w:sz w:val="13"/>
                <w:szCs w:val="13"/>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operating activities</w:t>
            </w:r>
          </w:p>
        </w:tc>
        <w:tc>
          <w:tcPr>
            <w:tcW w:w="348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6,804</w:t>
            </w:r>
          </w:p>
        </w:tc>
        <w:tc>
          <w:tcPr>
            <w:tcW w:w="72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15,384</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(16,871)</w:t>
            </w:r>
          </w:p>
        </w:tc>
        <w:tc>
          <w:tcPr>
            <w:tcW w:w="7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(14,363)</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348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98"/>
              </w:rPr>
              <w:t>715,965</w:t>
            </w:r>
          </w:p>
        </w:tc>
        <w:tc>
          <w:tcPr>
            <w:tcW w:w="72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6,833</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largest source of operating cash is cash collection from sales of subscriptions to our customers. Our primary uses of cash from operating activities are for personnel expenses, marketing expenses, hosting expenses and overhead expenses. We have generated positive cash flows and have supplemented working capital requirements through net proceeds from the sale of equity securities.</w:t>
      </w:r>
    </w:p>
    <w:p>
      <w:pPr>
        <w:spacing w:after="0" w:line="18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Cash provided by operating activities for the nine months ended September 30, 2019 of $6.8 million was primarily related to our net loss of $(17.6) million, adjusted for non-cash charges of $32.2 million and net cash outflows of $7.8 million provided by changes in our operating assets and liabilities. Non-cash charges primarily consisted of stock-based compensation, depreciation and amortization of property and equipment, amortization of capitalized software, and amortization of acquired intangibles. The main drivers of the changes in operating assets and liabilities were related to a $51.1 million increase in deferred revenue, resulting primarily from increased billings for subscriptions and a $4.2 million increase in accounts payable. These amounts were partially offset by a $2.0 million decrease in accrued expenses and other liabilities, a $32.2 million increase in accounts receivable, net, due to increases in sales, a $9.5 million increase in prepaid expenses and other current assets, primarily driven by prepaid hosting services, a $10.9 million increase in deferred contract costs related to commissions paid on new bookings, and a $8.5 million increase in other assets.</w:t>
      </w:r>
    </w:p>
    <w:p>
      <w:pPr>
        <w:spacing w:after="0" w:line="179"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Cash provided by operating activities for the nine months ended September 30, 2018 of $15.4 million was primarily related to our net loss of $(4.2) million, adjusted for non-cash charges of $9.4 million and net cash inflows of $10.2 million provided by changes in our operating assets and liabilities. Non-cash charges primarily consisted of stock-based compensation, depreciation and amortization of property and equipment, amortization of capitalized software, and amortization of acquired intangibles. The main drivers of the changes in operating assets and liabilities were related to a $19.4 million increase in deferred revenue, resulting primarily from increased billings for subscriptions, a $4.8 million increase in accounts payable, and a $6.3 million increase in accrued expenses and other liabilities, due to an increase in headcount. These amounts were partially offset by an $8.6 million increase in accounts receivable, net, due to increases in sales, a $0.7 million increase in prepaid expenses and other current assets, primarily driven by prepaid hosting services, a $6.0 million increase in deferred contract costs related to commissions paid on new bookings, and a $4.9 million increase in other assets.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Cash used in investing activities for the nine months ended September 30, 2019 and 2018 was $16.9 million and $14.4 million, respectively, and was primarily the result of increases in capital expenditures to purchase property and equipment to support additional office space and site operations, increases in capitalization of software development costs and increases in acquired intangibles.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Cash provided by financing activities for the nine months ended September 30, 2019 was $716.0 million and was primarily the result of aggregate net proceeds from our IPO in the amount of $708.7 million, and proceeds from the exercise of stock options in the amount of $7.3 million. Cash provided by financing activities for the nine months ended September 30, 2018 was $6.8 million and was the result of proceeds from the exercise of stock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Free Cash Flow</w:t>
      </w:r>
    </w:p>
    <w:p>
      <w:pPr>
        <w:spacing w:after="0" w:line="22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report our financial results in accordance with generally accepted accounting principles in the United States, or GAAP. To supplement our consolidated financial statements, we provide investors with the amount of free cash flow, which is a non-GAAP financial measure. Free cash flow represents net cash used in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investors and others 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jc w:val="both"/>
        <w:spacing w:after="0" w:line="255" w:lineRule="auto"/>
        <w:rPr>
          <w:sz w:val="20"/>
          <w:szCs w:val="20"/>
          <w:color w:val="auto"/>
        </w:rPr>
      </w:pPr>
      <w:r>
        <w:rPr>
          <w:rFonts w:ascii="Arial" w:cs="Arial" w:eastAsia="Arial" w:hAnsi="Arial"/>
          <w:sz w:val="18"/>
          <w:szCs w:val="18"/>
          <w:color w:val="auto"/>
        </w:rPr>
        <w:t>understanding and evaluating the strength of our liquidity and future ability to generate cash that can be used for strategic opportunities or investing in our business in the same manner as our management and board of directors.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 The following table presents a reconciliation of free cash flow to net cash used in operating activities, the most directly comparable GAAP measure, for each of the periods indicated.</w:t>
      </w:r>
    </w:p>
    <w:p>
      <w:pPr>
        <w:spacing w:after="0" w:line="18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presents our cash flows for the periods presented and a reconciliation of free cash flow to net cash provided by operating activities, the most directly comparable financial measure calculated in accordance with GAAP:</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280" w:type="dxa"/>
            <w:vAlign w:val="bottom"/>
          </w:tcPr>
          <w:p>
            <w:pPr>
              <w:spacing w:after="0"/>
              <w:rPr>
                <w:sz w:val="14"/>
                <w:szCs w:val="14"/>
                <w:color w:val="auto"/>
              </w:rPr>
            </w:pPr>
          </w:p>
        </w:tc>
      </w:tr>
      <w:tr>
        <w:trPr>
          <w:trHeight w:val="171"/>
        </w:trPr>
        <w:tc>
          <w:tcPr>
            <w:tcW w:w="5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280" w:type="dxa"/>
            <w:vAlign w:val="bottom"/>
            <w:tcBorders>
              <w:bottom w:val="single" w:sz="8" w:color="auto"/>
            </w:tcBorders>
          </w:tcPr>
          <w:p>
            <w:pPr>
              <w:spacing w:after="0"/>
              <w:rPr>
                <w:sz w:val="14"/>
                <w:szCs w:val="14"/>
                <w:color w:val="auto"/>
              </w:rPr>
            </w:pPr>
          </w:p>
        </w:tc>
      </w:tr>
      <w:tr>
        <w:trPr>
          <w:trHeight w:val="156"/>
        </w:trPr>
        <w:tc>
          <w:tcPr>
            <w:tcW w:w="55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0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774"/>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55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80" w:type="dxa"/>
            <w:vAlign w:val="bottom"/>
          </w:tcPr>
          <w:p>
            <w:pPr>
              <w:spacing w:after="0"/>
              <w:rPr>
                <w:sz w:val="13"/>
                <w:szCs w:val="13"/>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060" w:type="dxa"/>
            <w:vAlign w:val="bottom"/>
            <w:gridSpan w:val="2"/>
            <w:shd w:val="clear" w:color="auto" w:fill="CFF0FC"/>
          </w:tcPr>
          <w:p>
            <w:pPr>
              <w:jc w:val="right"/>
              <w:ind w:right="9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6,804</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15,384</w:t>
            </w: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Less: Purchases of property and equipment</w:t>
            </w:r>
          </w:p>
        </w:tc>
        <w:tc>
          <w:tcPr>
            <w:tcW w:w="1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(9,813)</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(8,205)</w:t>
            </w: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Capitalized software development costs</w:t>
            </w:r>
          </w:p>
        </w:tc>
        <w:tc>
          <w:tcPr>
            <w:tcW w:w="196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(7,058)</w:t>
            </w:r>
          </w:p>
        </w:tc>
        <w:tc>
          <w:tcPr>
            <w:tcW w:w="2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Free cash flow</w:t>
            </w:r>
          </w:p>
        </w:tc>
        <w:tc>
          <w:tcPr>
            <w:tcW w:w="1960" w:type="dxa"/>
            <w:vAlign w:val="bottom"/>
          </w:tcPr>
          <w:p>
            <w:pPr>
              <w:spacing w:after="0"/>
              <w:rPr>
                <w:sz w:val="19"/>
                <w:szCs w:val="19"/>
                <w:color w:val="auto"/>
              </w:rPr>
            </w:pPr>
          </w:p>
        </w:tc>
        <w:tc>
          <w:tcPr>
            <w:tcW w:w="1100" w:type="dxa"/>
            <w:vAlign w:val="bottom"/>
            <w:tcBorders>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(10,067)</w:t>
            </w:r>
          </w:p>
        </w:tc>
        <w:tc>
          <w:tcPr>
            <w:tcW w:w="2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2,639</w:t>
            </w:r>
          </w:p>
        </w:tc>
      </w:tr>
      <w:tr>
        <w:trPr>
          <w:trHeight w:val="20"/>
        </w:trPr>
        <w:tc>
          <w:tcPr>
            <w:tcW w:w="5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Our principal commitments consist of obligations under our operating leases, which are primarily for office space, and purchase commitments to our cloud hosting providers and other vendors. We entered into an agreement with Google Cloud Platform, or GCP, in September 2019, which we refer to as the GCP Agreement. Under the GCP Agreement, we are required to purchase an aggregate of at least $37.5 million of cloud services from GCP through September 2022. The aggregate amount of $37.5 million is to be paid over the course of three periods, or Commitment Periods, with each period being 12 months. The amount to be paid for each of the three Commitment Periods is $8.0 million, $12.0 million and $17.5 million, respectively. Except in limited circumstances, such as our termination of the GCP Agreement for cause, if we fail to meet the minimum purchase commitment during any Commitment Period, we are required to pay the difference. Neither party may terminate the GCP Agreement for convenience during this three-year term. Other than as described above, there have been no material changes to our obligations under our operating leases and purchase commitments as compared to those disclosed in the Final Prospectus for our IPO dated as of September 18, 2019 and filed with the SEC pursuant to Rule 424(b)(4) on September 19,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September 30, 2019 we did not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as compared to those disclosed in the Final Prospectus for our IPO dated as of September 18, 2019 and filed with the SEC pursuant to Rule 424(b)(4) on September 19,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See Note 2, Summary of Significant Accounting Policies, in our Notes to Unaudited Condensed Consolidated Financial Statements included in Part I, Item 1 of this Quarterly Report on Form 10-Q for a discussion of recent accounting pronouncements.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(1) are no longer an emerging growth company or</w:t>
      </w:r>
    </w:p>
    <w:p>
      <w:pPr>
        <w:spacing w:after="0" w:line="2" w:lineRule="exact"/>
        <w:rPr>
          <w:sz w:val="20"/>
          <w:szCs w:val="20"/>
          <w:color w:val="auto"/>
        </w:rPr>
      </w:pPr>
    </w:p>
    <w:p>
      <w:pPr>
        <w:ind w:firstLine="8"/>
        <w:spacing w:after="0" w:line="261" w:lineRule="auto"/>
        <w:tabs>
          <w:tab w:leader="none" w:pos="284" w:val="left"/>
        </w:tabs>
        <w:numPr>
          <w:ilvl w:val="0"/>
          <w:numId w:val="9"/>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September 30, 2019, we had $755.0 million of cash equivalents invested in money market funds. In addition, we had $10.0 million of restricted cash due to the outstanding letters of credit established in connection with lease agreements for our facilities. Our cash and cash equivalents are held for working capital purposes. We do not enter into investments for trading or speculative purposes. As of September 30, 2019, a hypothetical 10% relative change in interest rates would not have a material impact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Our reporting currency and the functional currency of our wholly 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Canada, France, the United Kingdom, Japan and Australia.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2019. Based on the evaluation of our disclosure controls and procedures as of September 30, 2019, our Chief Executive Officer and Chief Financial Officer concluded that, as of such date,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7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revenue was $249.1 million, $136.5 million, $198.1 million and $100.8 million for the nine months ended September 30, 2019 and 2018 and the years ended December 31, 2018 and 2017,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46"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our products effectively so that we are able to attract new customers and expand sales to our existing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the functionality and use cases for the products we offer on our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and expand the rates at which customers purchase and renew subscriptions to our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our customers with support that meets their needs;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introduce our products to new markets outside of the United States;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identify and acquire or invest in businesses, products or technologies that we believe could complement or expand our platform;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117"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sales and marketing organization to engage our existing and prospective customers, increase brand awareness and drive adoption of our products;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expansion;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have experienced net losses in each period since inception. We generated net losses of $(17.6) million, $(4.2) million, $(10.8) million and $(2.6) million for the nine months ended September 30, 2019 and 2018 and the years ended December 31, 2018 and 2017, respectively. As of September 30, 2019, we had an accumulated deficit of $124.5 million. While we have experienced significant revenue growth in recent periods, we are not certain whether or when we will obtain a high enough volume of sales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forecast our future results of operations.</w:t>
      </w:r>
    </w:p>
    <w:p>
      <w:pPr>
        <w:spacing w:after="0" w:line="22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were founded in June 2010. As a result of our limited operating history,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70"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the effects of global economic conditions, or reductions in our customers’ spending on IT solutions or their spending levels generally.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If we are unable to attract new customers, our business, financial condition and results of operations will be adversely affected.</w:t>
      </w:r>
    </w:p>
    <w:p>
      <w:pPr>
        <w:spacing w:after="0" w:line="22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0"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or our third-party service providers experience a security breach or unauthorized parties otherwise obtain access to our customers’ data, our data or our platform, our solution may be perceived as not being secure, our reputation may be harmed, demand for our platform and products may be reduced, and we may incur significant liabilities.</w:t>
      </w:r>
    </w:p>
    <w:p>
      <w:pPr>
        <w:spacing w:after="0" w:line="18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Our platform and products involve the storage and transmission of data, including personally identifiable information, and security breaches or unauthorized access to our platform and products could result in the loss of our or our customers’ data,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we reset customer passwords and instructed customers to revoke credentials that had been shared with us. 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social engineering (including spear phishing and ransomware attacks), and general hacking have become more prevalent in our industry, particularly against cloud services. In addition, we do not directly control content that our customers store in our products. If our customers use our products for the transmission or storage of personally identifiable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7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also process, store and transmit our own data as part of our business and operations. This data may include personally identifiable, confidential or proprietary information. There can be no assurance that any security measures that we or our third-party service providers have implemented will be effective against current or future security threats. While we have developed systems and processes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jc w:val="both"/>
        <w:ind w:firstLine="518"/>
        <w:spacing w:after="0" w:line="291" w:lineRule="auto"/>
        <w:rPr>
          <w:sz w:val="20"/>
          <w:szCs w:val="20"/>
          <w:color w:val="auto"/>
        </w:rPr>
      </w:pPr>
      <w:r>
        <w:rPr>
          <w:rFonts w:ascii="Arial" w:cs="Arial" w:eastAsia="Arial" w:hAnsi="Arial"/>
          <w:sz w:val="16"/>
          <w:szCs w:val="16"/>
          <w:color w:val="auto"/>
        </w:rPr>
        <w:t>Because there are many different security breach techniques and such techniques continue to evolve, we may be unable to anticipate attempted security breaches, react in a timely manner or implement adequate preventative measures. 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6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use third-party technology and systems in a variety of contexts, including, without limitation, encryption and authentication technology, employee email, content delivery to customers, back-office support, credit card processing and other functions. Although we have developed systems and processes that are designed to protect customer data and prevent data loss and other security breaches, including systems and processes designed to reduce the impact of a security breach at a third-party service provider, such measures cannot provide absolute security.</w:t>
      </w:r>
    </w:p>
    <w:p>
      <w:pPr>
        <w:spacing w:after="0" w:line="17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Additionally, we cannot be certain that our insurance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7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154"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70"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7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success of our platform depends, in part, on its ability to be deployed in a self-service installation process. We currently offer more than 350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7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Micro Focus International plc, BMC Software, Inc. and Computer Associates International, Inc. With respect to APM, we compete with Cisco Systems, Inc., New Relic, Inc. and Dynatrace Software Inc. With respect to log management, we compete with Splunk Inc. and Elastic N.V. With respect to cloud monitoring, we compete with native solutions from cloud providers such as Amazon.com, Inc. (Amazon Web Services, or AWS), Alphabet Inc. (Google Cloud Platform, or GCP) and Microsoft Corporation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8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compete on the basis of a number of factors, including:</w:t>
      </w:r>
    </w:p>
    <w:p>
      <w:pPr>
        <w:spacing w:after="0" w:line="117"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9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70"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24"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8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5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4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73"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and products;</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usage of our platform and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expansion rates and the pricing and quantity of subscriptions renewed;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pricing of subscriptions from customers in our cloud-provider marketplaces;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and amount of our investments to expand the capacity of our third-party cloud infrastructure providers;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seasonality driven by industry conferences;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investment in new products and features relative to investments in our existing infrastructure and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our customer purchases;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enhancements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128" w:lineRule="exact"/>
        <w:rPr>
          <w:rFonts w:ascii="Arial" w:cs="Arial" w:eastAsia="Arial" w:hAnsi="Arial"/>
          <w:sz w:val="17"/>
          <w:szCs w:val="17"/>
          <w:color w:val="auto"/>
        </w:rPr>
      </w:pPr>
    </w:p>
    <w:p>
      <w:pPr>
        <w:ind w:left="1040" w:right="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regulatory or legal environments that may cause us to incur, among other elements, expenses associated with compliance;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significant security breaches of, technical difficulties with, or interruptions to, the delivery and use of our products and platform capabilities.</w:t>
      </w:r>
    </w:p>
    <w:p>
      <w:pPr>
        <w:spacing w:after="0" w:line="23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color w:val="auto"/>
        </w:rPr>
        <w:t>Historically, we have experienced seasonality in new customer bookings, as we typically we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Downturns or upturns in our sales may not be immediately reflected in our financial position and results of operations.</w:t>
      </w:r>
    </w:p>
    <w:p>
      <w:pPr>
        <w:spacing w:after="0" w:line="2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Because we recognize the majority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70"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We have a field sales team that targets enterprise customers. As of September 30, 2019, we had approximately 727 customers with an ARR of $100,000 or more.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70"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6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70"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solutions may develop more slowly or differently than we expect.</w:t>
      </w:r>
    </w:p>
    <w:p>
      <w:pPr>
        <w:spacing w:after="0" w:line="225"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8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7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jc w:val="both"/>
        <w:spacing w:after="0" w:line="286" w:lineRule="auto"/>
        <w:rPr>
          <w:sz w:val="20"/>
          <w:szCs w:val="20"/>
          <w:color w:val="auto"/>
        </w:rPr>
      </w:pPr>
      <w:r>
        <w:rPr>
          <w:rFonts w:ascii="Arial" w:cs="Arial" w:eastAsia="Arial" w:hAnsi="Arial"/>
          <w:sz w:val="17"/>
          <w:szCs w:val="17"/>
          <w:color w:val="auto"/>
        </w:rPr>
        <w:t>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24"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Further, following the receipt of proceeds from our IPO, there is an increased likelihood that we will devote resources to exploring larger and more complex acquisitions and investments than we have previously attempted.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subject to stringent and changing privacy laws, regulations and standards, information security policies and contractual obligations related to data privacy and security. Our actual or perceived failure to comply with such obligations could harm our business.</w:t>
      </w:r>
    </w:p>
    <w:p>
      <w:pPr>
        <w:spacing w:after="0" w:line="14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have legal and contractual obligations regarding the protection of confidentiality and appropriate use of personally identifiable information. We are subject to a variety of federal, state, local and international laws, directives and regulations relating to the collection, use, retention, security, disclosure, transfer and other processing of personally identifiable information. The regulatory framework for privacy and security issues worldwide is rapidly evolving and as a result implementation standards and enforcement practices are likely to remain uncertain for the foreseeable future. We publicly post documentation regarding our practices concerning the collection, processing, use and disclosure of data. Although we endeavor to comply with our published policies and documentation, we may at times fail to do so or be alleged to have failed to do so. The publication of our privacy policy and other documentation that provide promises and assurances about privacy and security can subject us to potential state and federal action if they are found to be deceptive, unfair, or misrepresentative of our actual practices. Any failure by us, our suppliers or other parties with whom we do business to comply with this documentation or with federal, state, local or international regulations could result in proceedings against us by governmental entities or others. In many jurisdictions, enforcement actions and consequences for noncompliance are rising. In the United States, these include enforcement actions in response to rules and regulations promulgated under the authority of federal agencies and state attorneys general and legislatures and consumer protection agencies. In addition, privacy advocates and industry groups have regularly proposed, and may propose in the future, self-regulatory standards with which we must legally comply or that contractually apply to us. If we fail to follow these security standards even if no customer information is compromised, we may incur significant fines or experience a significant increase in costs.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jc w:val="both"/>
        <w:ind w:firstLine="518"/>
        <w:spacing w:after="0" w:line="268" w:lineRule="auto"/>
        <w:rPr>
          <w:sz w:val="20"/>
          <w:szCs w:val="20"/>
          <w:color w:val="auto"/>
        </w:rPr>
      </w:pPr>
      <w:r>
        <w:rPr>
          <w:rFonts w:ascii="Arial" w:cs="Arial" w:eastAsia="Arial" w:hAnsi="Arial"/>
          <w:sz w:val="17"/>
          <w:szCs w:val="17"/>
          <w:color w:val="auto"/>
        </w:rPr>
        <w:t>Internationally, virtually every jurisdiction in which we operate has established its own data security and privacy legal framework with which we or our customers must comply, including but not limited to the European Union, or EU. The EU’s data protection landscape is currently unstable, resulting in possible significant operational costs for internal compliance and risk to our business. The EU has adopted the General Data Protection Regulation, or GDPR, which went into effect in May 2018 and contains numerous requirements and changes from previously existing EU law, including more robust obligations on data processors and heavier documentation requirements for data protection compliance programs by companies. Among other requirements, the GDPR regulates transfers of personal data subject to the GDPR to third countries that have not been found to provide adequate protection to such personal data, including the United States. While we have taken steps to mitigate the impact on us with respect to transfers of data, such as implementing standard contractual clauses and self-certifying under the EU-US Privacy Shield, the efficacy and longevity of these transfer mechanisms remains uncertain. The GDPR also introduced numerous privacy-related changes for companies operating in the EU, including greater control for data subjects (including, for example, the “right to be forgotten”), increased data portability for EU consumers, data breach notification requirements and increased fines. In particular, under the GDPR, fines of up to 20 million euros or up to 4% of the annual global revenue of the noncompliant company, whichever is greater, could be imposed for violations of certain of the GDPR’s requirements. Such penalties are in addition to any civil litigation claims by customers and data subjects. The GDPR requirements apply not only to third-party transactions, but also to transfers of information between us and our subsidiaries, including employee information.</w:t>
      </w:r>
    </w:p>
    <w:p>
      <w:pPr>
        <w:spacing w:after="0" w:line="18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In addition to the GDPR, the European Commission has another draft regulation in the approval process that focuses on a person’s right to conduct a private life (in contrast to the GDPR, which focuses on protection of personal data). The proposed legislation, known as the Regulation on Privacy and Electronic Communications, or ePrivacy Regulation, would replace the current ePrivacy Directive. Originally planned to be adopted and implemented at the same time as the GDPR, the ePrivacy Regulation will likely be enacted sometime in 2019. While the new legislation contains protections for those using communications services (for example, protections against online tracking technologies), the timing of its proposed enactment following the GDPR means that additional time and effort may need to be spent addressing differences between the ePrivacy Regulation and the GDPR. New rules related to the ePrivacy Regulation are likely to include enhanced consent requirements in order to use communications content and communications metadata, which may negatively impact our platform and products and our relationships with our customers.</w:t>
      </w:r>
    </w:p>
    <w:p>
      <w:pPr>
        <w:spacing w:after="0" w:line="17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Complying with the GDPR and the ePrivacy Regulation, when it becomes effective, may cause us to incur substantial operational costs or require us to change our business practices. Despite our efforts to bring practices into compliance before the effective date of the GDPR and ePrivacy Regulation,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European Economic Area to maintain certain customer data (which may include personal data) originating from the EU in the European Economic Area, we may find it necessary to establish additional systems and processes to maintain such data in the European Economic Area, which may involve substantial expense and distraction from other aspects of our business.</w:t>
      </w:r>
    </w:p>
    <w:p>
      <w:pPr>
        <w:spacing w:after="0" w:line="16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Domestic laws in this area are also complex and developing rapidly. Many state legislatures have adopted legislation that regulates how businesses operate online, including measures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Further, California recently enacted the California Consumer Privacy Act, or CCPA, which is expected to take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7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Because the interpretation and application of many privacy and data protection laws along with contractually imposed industry standards are uncertain, it is possible that these laws may be interpreted and applied in a manner that is inconsistent with our existing data management practices or the features of our products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jc w:val="both"/>
        <w:ind w:right="20"/>
        <w:spacing w:after="0" w:line="264" w:lineRule="auto"/>
        <w:rPr>
          <w:sz w:val="20"/>
          <w:szCs w:val="20"/>
          <w:color w:val="auto"/>
        </w:rPr>
      </w:pPr>
      <w:r>
        <w:rPr>
          <w:rFonts w:ascii="Arial" w:cs="Arial" w:eastAsia="Arial" w:hAnsi="Arial"/>
          <w:sz w:val="18"/>
          <w:szCs w:val="18"/>
          <w:color w:val="auto"/>
        </w:rPr>
        <w:t>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changing laws, regulations, and standards related to the internet, our business may be harmed.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0"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7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8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government entities and highly regulated organizations are subject to a number of challenges and risks.</w:t>
      </w:r>
    </w:p>
    <w:p>
      <w:pPr>
        <w:spacing w:after="0" w:line="2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jc w:val="both"/>
        <w:ind w:firstLine="518"/>
        <w:spacing w:after="0" w:line="297" w:lineRule="auto"/>
        <w:rPr>
          <w:sz w:val="20"/>
          <w:szCs w:val="20"/>
          <w:color w:val="auto"/>
        </w:rPr>
      </w:pPr>
      <w:r>
        <w:rPr>
          <w:rFonts w:ascii="Arial" w:cs="Arial" w:eastAsia="Arial" w:hAnsi="Arial"/>
          <w:sz w:val="16"/>
          <w:szCs w:val="16"/>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Additionally, the Trump administration has been critical of existing trade agreements and may impose more stringent export controls.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5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70"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70"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 xml:space="preserve">Our success depends to a significant degree on our ability to obtain, maintain, protect and enforce our intellectual property rights, including our proprietary technology, know-how and our brand. We rely on a combination of trademarks, trade secret laws, patents, copyrights, service marks,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Despite our pending U.S.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 may not be available to us in every country in which our products are available. For example, as we have expanded internationally, we have been unable to register and obtain the right to use the Datadog trademark in certain jurisdictions, including in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oppose or challenge our trademarks or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jc w:val="both"/>
        <w:ind w:firstLine="518"/>
        <w:spacing w:after="0" w:line="293"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6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subject to intellectual property disputes, which are costly and may subject us to significant liability and increased costs of doing business.</w:t>
      </w:r>
    </w:p>
    <w:p>
      <w:pPr>
        <w:spacing w:after="0" w:line="260"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We may become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65"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cease selling or using products or services that incorporate the intellectual property rights that we allegedly infringe, misappropriate or violate;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jc w:val="both"/>
        <w:ind w:firstLine="518"/>
        <w:spacing w:after="0" w:line="255" w:lineRule="auto"/>
        <w:rPr>
          <w:sz w:val="20"/>
          <w:szCs w:val="20"/>
          <w:color w:val="auto"/>
        </w:rPr>
      </w:pPr>
      <w:r>
        <w:rPr>
          <w:rFonts w:ascii="Arial" w:cs="Arial" w:eastAsia="Arial" w:hAnsi="Arial"/>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use open source software in our products, which could negatively affect our ability to sell our services or subject us to litigation or other actions.</w:t>
      </w:r>
    </w:p>
    <w:p>
      <w:pPr>
        <w:spacing w:after="0" w:line="248"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70"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Our results of operations may vary based on the impact of changes in our industry or the global economy on us or our customers and potential customers. Negative conditions in the general economy both in the United States and abroad, including conditions resulting from changes in gross domestic product growth, financial and credit market fluctuations, international trade relations, political turmoil, natural catastrophes, warfare and terrorist attacks on the United States, Europe, the Asia Pacific region, Japan or elsewhere, could cause a decrease in business investments, including spending on information technology, and negatively affect the growth of our business. Competitors, many of whom are larger and have greater financial resources than we do, may respond to challenging market conditions by lowering prices in an attempt to attract our customers. In addition, the increased pace of consolidation in certain industries may result in reduced overall spending on our products and solutions. We cannot predict the timing, strength, or duration of any economic slowdown, instability, or recovery, generally or within any particular industry.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i w:val="1"/>
          <w:iCs w:val="1"/>
          <w:color w:val="auto"/>
        </w:rPr>
        <w:t>Our current operations are international in scope, and we plan further geographic expansion, creating a variety of operational challenges.</w:t>
      </w:r>
    </w:p>
    <w:p>
      <w:pPr>
        <w:spacing w:after="0" w:line="23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Revenue, as determined based on the billing address of our customers, from regions outside of North America was 25% for the nine months ended September 30, 2019. Beyond North America, we now have sales presence internationally, including in Dublin, Paris, London, Singapore, Tokyo, Seoul and Sydney.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September 30, 2019, approximately 33% of our full-time employees were located outside of the United States, 48%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17"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and hybrid IT infrastructures by international businesses;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including in the United Kingdom as a result of the United Kingdom exiting the EU, or Brexit;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changes in trade relations, regulations, or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or tax laws;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Europe;</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62"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local employees due to Brexit;</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FCPA, U.S. bribery laws, the UK Bribery Act, and similar laws and regulations in other jurisdictions;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jc w:val="both"/>
        <w:spacing w:after="0" w:line="264" w:lineRule="auto"/>
        <w:rPr>
          <w:sz w:val="20"/>
          <w:szCs w:val="20"/>
          <w:color w:val="auto"/>
        </w:rPr>
      </w:pPr>
      <w:r>
        <w:rPr>
          <w:rFonts w:ascii="Arial" w:cs="Arial" w:eastAsia="Arial" w:hAnsi="Arial"/>
          <w:sz w:val="18"/>
          <w:szCs w:val="18"/>
          <w:b w:val="1"/>
          <w:bCs w:val="1"/>
          <w:i w:val="1"/>
          <w:iCs w:val="1"/>
          <w:color w:val="auto"/>
        </w:rPr>
        <w:t>Legal, political and economic uncertainty surrounding the planned exit of the United Kingdom from the EU may be a source of instability in international markets, create significant currency fluctuations, adversely affect our operations in the United Kingdom and pose additional risks to our business, financial condition and results of operations.</w:t>
      </w:r>
    </w:p>
    <w:p>
      <w:pPr>
        <w:spacing w:after="0" w:line="18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On March 29, 2017, the United Kingdom formally notified the European Council of its intention to leave the EU pursuant to Article 50 of the Treaty on European Union. The United Kingdom will cease to be an EU Member State either on the effective date of a withdrawal agreement (entry into such a withdrawal agreement will require the approval of the United Kingdom Parliament, or Parliament) or, failing that, two years following such notification of its intention to leave the EU, or the Brexit Date, unless the European Council (together with the United Kingdom) unanimously decides to extend the two year period. It is unclear how long it will take to negotiate a withdrawal agreement, but it appears likely that Brexit will continue to involve a process of lengthy negotiations between the United Kingdom and EU member states to determine the future terms of the United Kingdom’s relationship with the EU. To date, no formal withdrawal arrangements have been agreed, and there have been several extensions to the Brexit Date. On October 28, 2019, the EU granted the United Kingdom a further extension to the Brexit Date until January 31, 2020. Under the terms of the extension, the Brexit Date may be earlier than January 31, 2020 if a formal withdrawal agreement is ratified by Parliament. In addition, the United Kingdom will hold a general election on December 12, 2019. Until the post-election government is formed, there can be no guarantee or certainty as to which form Brexit will take and on which terms a withdrawal agreement with the EU will be agreed, if at all.</w:t>
      </w:r>
    </w:p>
    <w:p>
      <w:pPr>
        <w:spacing w:after="0" w:line="18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Lack of clarity about future U.K. laws and regulations as the United Kingdom determines which EU rules and regulations to replace or replicate in the event of a withdrawal, including financial laws and regulations, tax and free trade agreements, intellectual property rights, supply chain logistics, environmental, health and safety laws and regulations, immigration laws and employment laws, could decrease foreign direct investment in the United Kingdom, increase costs, depress economic activity, and restrict access to capital. In addition, depending on the terms of the United Kingdom’s withdrawal from the EU, the United Kingdom could lose the benefits of global trade agreements negotiated by the EU on behalf of its members. The long-term effects of Brexit will depend on any agreements (or lack thereof) between the United Kingdom and the EU and, in particular, any arrangements for the United Kingdom to retain access to EU markets either during a transitional period or more permanently.</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Such a withdrawal from the EU is unprecedented, and it is unclear how the United Kingdom’s access to the European single market for goods, capital, services and labor within the EU, or the European single market, and the wider commercial, legal and regulatory environment, will impact our U.K. operations, including our customers in the United Kingdom. We may also face new regulatory costs and challenges that could have an adverse effect on our operations. The announcement of Brexit has already created economic uncertainty, and its consequences could adversely impact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results of operations.</w:t>
      </w:r>
    </w:p>
    <w:p>
      <w:pPr>
        <w:spacing w:after="0" w:line="22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portion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 adverse tax consequences.</w:t>
      </w:r>
    </w:p>
    <w:p>
      <w:pPr>
        <w:spacing w:after="0" w:line="22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7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Tax Cuts and Jobs Act, or the Tax Act, makes broad and complex changes to the U.S. tax code including, among other things, changes to U.S. federal tax rates, imposes additional limitations on the deductibility of interest, has both positive and negative changes to the utilization of future net operating loss, or NOL, carryforwards, allows for the expensing of certain capital expenditures, and puts into effect the migration from a “worldwide” system of taxation to a territorial system. We completed our accounting with respect to the Tax Act in 2018, and did not make any measurement-period adjustments.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70"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 xml:space="preserve">An increasing number of states have considered or adopted laws that attempt to impose tax collection obligations on out-of-state companies. Additionally, the Supreme Court of the United States recently ruled in </w:t>
      </w:r>
      <w:r>
        <w:rPr>
          <w:rFonts w:ascii="Arial" w:cs="Arial" w:eastAsia="Arial" w:hAnsi="Arial"/>
          <w:sz w:val="18"/>
          <w:szCs w:val="18"/>
          <w:i w:val="1"/>
          <w:iCs w:val="1"/>
          <w:color w:val="auto"/>
        </w:rPr>
        <w:t>South Dakota v. Wayfair, Inc. et al</w:t>
      </w:r>
      <w:r>
        <w:rPr>
          <w:rFonts w:ascii="Arial" w:cs="Arial" w:eastAsia="Arial" w:hAnsi="Arial"/>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As of December 31, 2018, we had NOL carryforwards for federal and state income tax purposes of approximately $28.0 million and $24.2 million, respectively, which may be available to offset taxable income in the future, and which expire in various years beginning in 2031 for federal purposes and 2029 for state purposes if not utilized.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17"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Act;</w:t>
      </w:r>
    </w:p>
    <w:p>
      <w:pPr>
        <w:spacing w:after="0" w:line="117"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developments could adversely affect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U.S. GAAP are subject to interpretation by the Financial Accounting Standards Board,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24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“Basis of Presentation and Summary of Significant Accounting Policies” in the Notes to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revenue recognition, deferred contract costs, and the valuation of our stock-based compensation awards, including the determination of fair value of our common stock (prior to the closing of the IPO),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require additional capital to support the growth of our business, and this capital might not be available on acceptable terms, if at all.</w:t>
      </w:r>
    </w:p>
    <w:p>
      <w:pPr>
        <w:spacing w:after="0" w:line="23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We have funded our operations since inception primarily through equity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62"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pricing of subscriptions to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platform and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software;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 as well as the anticipation of lock-up releases;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jc w:val="both"/>
        <w:ind w:firstLine="518"/>
        <w:spacing w:after="0" w:line="259" w:lineRule="auto"/>
        <w:rPr>
          <w:sz w:val="20"/>
          <w:szCs w:val="20"/>
          <w:color w:val="auto"/>
        </w:rPr>
      </w:pPr>
      <w:r>
        <w:rPr>
          <w:rFonts w:ascii="Arial" w:cs="Arial" w:eastAsia="Arial" w:hAnsi="Arial"/>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dual class structure of our common stock has the effect of concentrating voting control with our executive officers, directors and their affiliates, which will limit the ability of holders of our Class A common stock to influence the outcome of important transactions.</w:t>
      </w:r>
    </w:p>
    <w:p>
      <w:pPr>
        <w:spacing w:after="0" w:line="14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Our Class B common stock has ten votes per share and our Class A common stock has one vote per share. As a result, as of September 30, 2019, holders of our Class B common stock collectively beneficially owned shares representing approximately 99% of the voting power of our outstanding capital stock and our directors and executive officers and their affiliates collectively beneficially owned, in the aggregate, shares representing approximately 85% of the voting power of our outstanding capital stock. As a result, the holders of our Class B common stock will be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will limit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8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 For example, as of September 30, 2019, Olivier Pomel and Alexis Lê-Quôc represented approximately 24% of the voting power of our outstanding capital stock, and if they retain a significant portion of their holdings of our Class B common stock for an extended period of time, they could control a significant portion of the voting power of our capital stock for the foreseeable future. As board members, Messrs. Pomel and Lê-Quôc each owe a fiduciary duty to our stockholders and must act in good faith and in a manner they each reasonably believe to be in the best interests of our stockholders. As stockholders, Messrs. Pomel and Lê-Quôc are entitled to vote their shares in their own interests, which may not always be in the interests of our stockholders generally.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5"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cannot predict whether our dual class structure, combined with the concentrated control of our stockholders who held our capital stock prior to the completion of our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public trading market for our Class A common stock may not develop or be sustained.</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Prior to the closing of our IPO in September 2019, no public market for our Class A common stock existed. An active public trading market for our Class A common stock may not continue to develop or, if further developed, it may not be sustained. The lack of an active market may impair the ability of holders of our Class A common stock to sell their shares at the time they wish to sell them or at a price that the holders of our Class A common stock consider reasonable. The lack of an active market may also reduce the fair value of shares of our Class A common stock. An inactive market may also impair our ability to raise capital to continue to fund operations by selling shares and may impair our ability to acquire other companies or technologies by using our shares as consideration.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Class A common stock in the public market could cause the market price of our Class A common stock to decline.</w:t>
      </w:r>
    </w:p>
    <w:p>
      <w:pPr>
        <w:spacing w:after="0" w:line="23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jc w:val="both"/>
        <w:ind w:firstLine="518"/>
        <w:spacing w:after="0" w:line="268" w:lineRule="auto"/>
        <w:rPr>
          <w:sz w:val="20"/>
          <w:szCs w:val="20"/>
          <w:color w:val="auto"/>
        </w:rPr>
      </w:pPr>
      <w:r>
        <w:rPr>
          <w:rFonts w:ascii="Arial" w:cs="Arial" w:eastAsia="Arial" w:hAnsi="Arial"/>
          <w:sz w:val="17"/>
          <w:szCs w:val="17"/>
          <w:color w:val="auto"/>
        </w:rPr>
        <w:t>All of our directors and officers and the holders of a substantial majority all of our capital stock and securities convertible into our capital stock are subject to lock-up agreements that restrict their ability to transfer shares of our capital stock through end of day on March 16, 2020, subject to certain exceptions; provided that such restricted period will end with respect to 20% of the shares subject to each lock-up agreement if at any time beginning December 17, 2019, (1) we have filed at least one quarterly report on Form 10-Q or annual report on Form 10-K and (2) the last reported closing price of our Class A common stock is at least $35.91 for 10 out of any 15 consecutive trading days, including the last day, ending on or after December 17, 2019; and provided further that, if December 17, 2019 occurs within five trading days of a trading black-out period, the above referenced early expiration period will be the sixth trading day immediately preceding the commencement of the trading black-out period. In addition, with respect to shares not released as a result of such early release, if end of day on March 16, 2020 occurs within five trading days of a trading black-out period, the lock-up period will expire on the sixth trading day immediately preceding the commencement of the trading black-out period. Morgan Stanley &amp; Co. LLC and either of Goldman Sachs &amp; Co. LLC or J.P. Morgan Securities LLC may, in their sole discretion, permit our stockholders who are subject to these lock-up agreements to sell shares prior to the expiration of the lock-up agreements, subject to applicable notice requirements. If not earlier released, all of the shares of Class A common stock sold in our IPO will become eligible for sale upon expiration of the 180-day lock-up period, except for any shares held by our affiliates as defined in Rule 144 under the Securities Act.</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there were zero shares of Class A common stock and 37,153,194 shares of Class B common stock issuable upon the exercise of options outstanding as of September 30, 2019. 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the lock-up agreements described above and compliance with applicable securities laws.</w:t>
      </w:r>
    </w:p>
    <w:p>
      <w:pPr>
        <w:spacing w:after="0" w:line="188"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Further, based on shares outstanding as of September 30, 2019, holders of approximately 196,312,314 shares of our Class B common stock, or 66% of our capital stock outstanding as of such date, had rights, subject to some conditions, to require us to file registration statements covering the sale of their shares or to include their shares in registration statements that we may file for ourselves or other stockholders.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17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market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17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or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will remain an emerging growth company until the earliest of: (1) December 31, 2024; (2) the last day of the first fiscal year in which our annual gross revenue is $1.07 billion or more; (3) the date on which we have, during the previous rolling three-year period, issued more than $1 billion in non-convertible debt securities; and (4) the last day of the fiscal year in which the market value of our Class A common stock held by non-affiliates exceeded $700 million as of June 30 of such fiscal year.</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70"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8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are required, pursuant to Section 404 to furnish a report by management on, among other things, the effectiveness of our internal control over financial reporting for the fiscal year ending December 31, 2020.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7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73" w:lineRule="exact"/>
        <w:rPr>
          <w:sz w:val="20"/>
          <w:szCs w:val="20"/>
          <w:color w:val="auto"/>
        </w:rPr>
      </w:pPr>
    </w:p>
    <w:p>
      <w:pPr>
        <w:ind w:left="10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 that our directors may be removed for cause only upon the vote of at least 66 2/3% of our outstanding shares of voting stock;</w:t>
      </w:r>
    </w:p>
    <w:p>
      <w:pPr>
        <w:spacing w:after="0" w:line="128" w:lineRule="exact"/>
        <w:rPr>
          <w:rFonts w:ascii="Arial" w:cs="Arial" w:eastAsia="Arial" w:hAnsi="Arial"/>
          <w:sz w:val="17"/>
          <w:szCs w:val="17"/>
          <w:color w:val="auto"/>
        </w:rPr>
      </w:pPr>
    </w:p>
    <w:p>
      <w:pPr>
        <w:ind w:left="1040" w:right="2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70"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4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jc w:val="both"/>
        <w:ind w:firstLine="518"/>
        <w:spacing w:after="0" w:line="253"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The Court of Chancery’s decision has been appealed to the Delaware Supreme Court. If the Delaware Supreme Court reverses the Court of Chancery’s decision and holds that such a provision is cognizable under Delaware law, we will enforce the federal district court exclusive forum provision. Until such time as the Delaware courts declare the federal district court exclusive forum provision legally cognizable, we do not intend to enforce that provision of our amended and restated certificate of incorporation.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Recent Sales of Unregistered Equity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information regarding all unregistered securities sold since June 30, 2019:</w:t>
      </w:r>
    </w:p>
    <w:p>
      <w:pPr>
        <w:spacing w:after="0" w:line="117" w:lineRule="exact"/>
        <w:rPr>
          <w:sz w:val="20"/>
          <w:szCs w:val="20"/>
          <w:color w:val="auto"/>
        </w:rPr>
      </w:pPr>
    </w:p>
    <w:p>
      <w:pPr>
        <w:jc w:val="both"/>
        <w:ind w:left="104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From June 30, 2019 to September 23, 2019 (the date of the filing of our registration statement on Form S-8, File No. 333-233903), we granted stock options to purchase an aggregate of 5,219,550 shares of our Class B common stock at exercise prices ranging from $10.74 to $27.00 per share to a total of 153 employees under our 2012 Equity Incentive Plan.</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From June 30, 2019 to September 23, 2019 (the date of the filing of our registration statement on Form S-8, File No. 333-233903), we issued an aggregate of 2,261,730 shares of our Class B common stock upon the exercise of options under our 2012 Equity Incentive Plan at exercise prices ranging from $0.08 to $6.37 per share, for an aggregate purchase price of $2.1 million.</w:t>
      </w:r>
    </w:p>
    <w:p>
      <w:pPr>
        <w:spacing w:after="0" w:line="18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offers, sales, and issuances of the securities described above were deemed to be exempt from registration under the Securities Act in reliance on Section 4(2) of the Securities Act or Regulation D promulgated thereunder or Rule 701 promulgated under the Securities Act as transactions by an issuer not involving a public offering or under benefit plans and contracts relating to compensation as provided under Rule 701.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or sophisticated person and had adequate access, through employment, business, or other relationships, to information about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In September 2019, we closed our IPO of 27,600,000 shares of our Class A common stock at an offering price of $27.00 per share, including 3,600,000 shares pursuant to the underwriters’ option to purchase additional shares of our Class A common stock, resulting in gross proceeds to us of $745.2 million. All of the shares issued and sold in our IPO were registered under the Securities Act pursuant to a registration statement on Form S-1 (File No. 333-233428), which was declared effective by the SEC on September 18, 2019. Morgan Stanley &amp; Co. LLC, Goldman Sachs &amp; Co. LLC, J.P. Morgan Securities LLC, Credit Suisse Securities (USA) LLC, Barclays Capital Inc., Jefferies LLC, RBC Capital Markets, LLC, JMP Securities LLC, Raymond James &amp; Associates, Inc., Stifel, Nicolaus &amp; Company, Incorporated, William Blair &amp; Company, L.L.C. and Needham &amp; Company, LLC acted as underwriters for the offering. The offering commenced on September 18, 2019 and, following the sale of all the shares upon the closing of the IPO, the offer terminated.</w:t>
      </w:r>
    </w:p>
    <w:p>
      <w:pPr>
        <w:spacing w:after="0" w:line="16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net proceeds to us after deducting underwriting discounts and commissions of $37.3 million and net offering expenses of $2.0 million were $705.9 million. No offering expenses were paid directly or indirectly to any of our directors or officers (or their associates) or persons owning ten percent or more of any class of our equity securities or to any other affiliates. There has been no material change in the planned use of proceeds from our IPO from those disclosed in the Final Prospectus for our IPO dated as of September 18, 2019 and filed with the SEC pursuant to Rule 424(b)(4) on September 19, 2019.</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2019, $2.7 million of expenses incurred in connection with our IPO had not yet been paid.</w:t>
      </w:r>
    </w:p>
    <w:p>
      <w:pPr>
        <w:spacing w:after="0" w:line="221" w:lineRule="exact"/>
        <w:rPr>
          <w:sz w:val="20"/>
          <w:szCs w:val="20"/>
          <w:color w:val="auto"/>
        </w:rPr>
      </w:pPr>
    </w:p>
    <w:p>
      <w:pPr>
        <w:ind w:left="520" w:right="8320" w:hanging="512"/>
        <w:spacing w:after="0" w:line="503" w:lineRule="auto"/>
        <w:tabs>
          <w:tab w:leader="none" w:pos="247"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Not applicable.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0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w w:val="99"/>
              </w:rPr>
              <w:t>Incorporated by Reference</w:t>
            </w:r>
          </w:p>
        </w:tc>
        <w:tc>
          <w:tcPr>
            <w:tcW w:w="2740" w:type="dxa"/>
            <w:vAlign w:val="bottom"/>
          </w:tcPr>
          <w:p>
            <w:pPr>
              <w:jc w:val="center"/>
              <w:ind w:left="1633"/>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2"/>
            <w:vMerge w:val="continue"/>
          </w:tcPr>
          <w:p>
            <w:pPr>
              <w:spacing w:after="0"/>
              <w:rPr>
                <w:sz w:val="14"/>
                <w:szCs w:val="14"/>
                <w:color w:val="auto"/>
              </w:rPr>
            </w:pPr>
          </w:p>
        </w:tc>
        <w:tc>
          <w:tcPr>
            <w:tcW w:w="2740" w:type="dxa"/>
            <w:vAlign w:val="bottom"/>
            <w:tcBorders>
              <w:bottom w:val="single" w:sz="8" w:color="auto"/>
            </w:tcBorders>
          </w:tcPr>
          <w:p>
            <w:pPr>
              <w:jc w:val="center"/>
              <w:ind w:left="1633"/>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19"/>
        </w:trPr>
        <w:tc>
          <w:tcPr>
            <w:tcW w:w="880" w:type="dxa"/>
            <w:vAlign w:val="bottom"/>
          </w:tcPr>
          <w:p>
            <w:pPr>
              <w:jc w:val="right"/>
              <w:ind w:right="112"/>
              <w:spacing w:after="0" w:line="119" w:lineRule="exact"/>
              <w:rPr>
                <w:sz w:val="20"/>
                <w:szCs w:val="20"/>
                <w:color w:val="auto"/>
              </w:rPr>
            </w:pPr>
            <w:r>
              <w:rPr>
                <w:rFonts w:ascii="Arial" w:cs="Arial" w:eastAsia="Arial" w:hAnsi="Arial"/>
                <w:sz w:val="13"/>
                <w:szCs w:val="13"/>
                <w:b w:val="1"/>
                <w:bCs w:val="1"/>
                <w:color w:val="auto"/>
              </w:rPr>
              <w:t>Exhibit</w:t>
            </w:r>
          </w:p>
        </w:tc>
        <w:tc>
          <w:tcPr>
            <w:tcW w:w="120" w:type="dxa"/>
            <w:vAlign w:val="bottom"/>
          </w:tcPr>
          <w:p>
            <w:pPr>
              <w:spacing w:after="0"/>
              <w:rPr>
                <w:sz w:val="10"/>
                <w:szCs w:val="10"/>
                <w:color w:val="auto"/>
              </w:rPr>
            </w:pPr>
          </w:p>
        </w:tc>
        <w:tc>
          <w:tcPr>
            <w:tcW w:w="426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4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File No.</w:t>
            </w:r>
          </w:p>
        </w:tc>
        <w:tc>
          <w:tcPr>
            <w:tcW w:w="11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27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4260" w:type="dxa"/>
            <w:vAlign w:val="bottom"/>
            <w:gridSpan w:val="1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900" w:type="dxa"/>
            <w:vAlign w:val="bottom"/>
            <w:tcBorders>
              <w:top w:val="single" w:sz="8" w:color="auto"/>
              <w:bottom w:val="single" w:sz="8" w:color="0000EE"/>
            </w:tcBorders>
            <w:gridSpan w:val="7"/>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Amended and Restated Certificate of Incorporation of</w:t>
              </w:r>
            </w:hyperlink>
          </w:p>
        </w:tc>
        <w:tc>
          <w:tcPr>
            <w:tcW w:w="360" w:type="dxa"/>
            <w:vAlign w:val="bottom"/>
            <w:tcBorders>
              <w:top w:val="single" w:sz="8" w:color="auto"/>
            </w:tcBorders>
            <w:gridSpan w:val="5"/>
          </w:tcPr>
          <w:p>
            <w:pPr>
              <w:spacing w:after="0"/>
              <w:rPr>
                <w:sz w:val="24"/>
                <w:szCs w:val="24"/>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001-39051</w:t>
            </w:r>
          </w:p>
        </w:tc>
        <w:tc>
          <w:tcPr>
            <w:tcW w:w="1100" w:type="dxa"/>
            <w:vAlign w:val="bottom"/>
            <w:tcBorders>
              <w:top w:val="single" w:sz="8" w:color="auto"/>
            </w:tcBorders>
          </w:tcPr>
          <w:p>
            <w:pPr>
              <w:jc w:val="center"/>
              <w:ind w:right="33"/>
              <w:spacing w:after="0"/>
              <w:rPr>
                <w:sz w:val="20"/>
                <w:szCs w:val="20"/>
                <w:color w:val="auto"/>
              </w:rPr>
            </w:pPr>
            <w:r>
              <w:rPr>
                <w:rFonts w:ascii="Arial" w:cs="Arial" w:eastAsia="Arial" w:hAnsi="Arial"/>
                <w:sz w:val="18"/>
                <w:szCs w:val="18"/>
                <w:color w:val="auto"/>
                <w:w w:val="87"/>
              </w:rPr>
              <w:t>3.1</w:t>
            </w:r>
          </w:p>
        </w:tc>
        <w:tc>
          <w:tcPr>
            <w:tcW w:w="2740" w:type="dxa"/>
            <w:vAlign w:val="bottom"/>
            <w:tcBorders>
              <w:top w:val="single" w:sz="8" w:color="auto"/>
            </w:tcBorders>
          </w:tcPr>
          <w:p>
            <w:pPr>
              <w:jc w:val="center"/>
              <w:ind w:right="933"/>
              <w:spacing w:after="0"/>
              <w:rPr>
                <w:sz w:val="20"/>
                <w:szCs w:val="20"/>
                <w:color w:val="auto"/>
              </w:rPr>
            </w:pPr>
            <w:r>
              <w:rPr>
                <w:rFonts w:ascii="Arial" w:cs="Arial" w:eastAsia="Arial" w:hAnsi="Arial"/>
                <w:sz w:val="18"/>
                <w:szCs w:val="18"/>
                <w:color w:val="auto"/>
                <w:w w:val="88"/>
              </w:rPr>
              <w:t>September 23, 2019</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gridSpan w:val="12"/>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Datadog, Inc.</w:t>
              </w:r>
            </w:hyperlink>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jc w:val="right"/>
              <w:ind w:right="47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480" w:type="dxa"/>
            <w:vAlign w:val="bottom"/>
            <w:tcBorders>
              <w:bottom w:val="single" w:sz="8" w:color="0000EE"/>
            </w:tcBorders>
            <w:gridSpan w:val="5"/>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Amended and Restated Bylaws of Datadog, Inc.</w:t>
              </w:r>
            </w:hyperlink>
          </w:p>
        </w:tc>
        <w:tc>
          <w:tcPr>
            <w:tcW w:w="780" w:type="dxa"/>
            <w:vAlign w:val="bottom"/>
            <w:gridSpan w:val="7"/>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100" w:type="dxa"/>
            <w:vAlign w:val="bottom"/>
          </w:tcPr>
          <w:p>
            <w:pPr>
              <w:jc w:val="center"/>
              <w:ind w:right="33"/>
              <w:spacing w:after="0"/>
              <w:rPr>
                <w:sz w:val="20"/>
                <w:szCs w:val="20"/>
                <w:color w:val="auto"/>
              </w:rPr>
            </w:pPr>
            <w:r>
              <w:rPr>
                <w:rFonts w:ascii="Arial" w:cs="Arial" w:eastAsia="Arial" w:hAnsi="Arial"/>
                <w:sz w:val="18"/>
                <w:szCs w:val="18"/>
                <w:color w:val="auto"/>
                <w:w w:val="87"/>
              </w:rPr>
              <w:t>3.4</w:t>
            </w:r>
          </w:p>
        </w:tc>
        <w:tc>
          <w:tcPr>
            <w:tcW w:w="2740" w:type="dxa"/>
            <w:vAlign w:val="bottom"/>
          </w:tcPr>
          <w:p>
            <w:pPr>
              <w:jc w:val="center"/>
              <w:ind w:right="933"/>
              <w:spacing w:after="0"/>
              <w:rPr>
                <w:sz w:val="20"/>
                <w:szCs w:val="20"/>
                <w:color w:val="auto"/>
              </w:rPr>
            </w:pPr>
            <w:r>
              <w:rPr>
                <w:rFonts w:ascii="Arial" w:cs="Arial" w:eastAsia="Arial" w:hAnsi="Arial"/>
                <w:sz w:val="18"/>
                <w:szCs w:val="18"/>
                <w:color w:val="auto"/>
                <w:w w:val="91"/>
              </w:rPr>
              <w:t>August 23, 2019</w:t>
            </w:r>
          </w:p>
        </w:tc>
        <w:tc>
          <w:tcPr>
            <w:tcW w:w="0" w:type="dxa"/>
            <w:vAlign w:val="bottom"/>
          </w:tcPr>
          <w:p>
            <w:pPr>
              <w:spacing w:after="0"/>
              <w:rPr>
                <w:sz w:val="1"/>
                <w:szCs w:val="1"/>
                <w:color w:val="auto"/>
              </w:rPr>
            </w:pPr>
          </w:p>
        </w:tc>
      </w:tr>
      <w:tr>
        <w:trPr>
          <w:trHeight w:val="304"/>
        </w:trPr>
        <w:tc>
          <w:tcPr>
            <w:tcW w:w="880" w:type="dxa"/>
            <w:vAlign w:val="bottom"/>
          </w:tcPr>
          <w:p>
            <w:pPr>
              <w:jc w:val="right"/>
              <w:ind w:right="472"/>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Datadog, Inc. 2012 Equity Incentive Plan, and terms of</w:t>
              </w:r>
            </w:hyperlink>
          </w:p>
        </w:tc>
        <w:tc>
          <w:tcPr>
            <w:tcW w:w="260" w:type="dxa"/>
            <w:vAlign w:val="bottom"/>
            <w:gridSpan w:val="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100" w:type="dxa"/>
            <w:vAlign w:val="bottom"/>
          </w:tcPr>
          <w:p>
            <w:pPr>
              <w:jc w:val="center"/>
              <w:ind w:right="53"/>
              <w:spacing w:after="0"/>
              <w:rPr>
                <w:sz w:val="20"/>
                <w:szCs w:val="20"/>
                <w:color w:val="auto"/>
              </w:rPr>
            </w:pPr>
            <w:r>
              <w:rPr>
                <w:rFonts w:ascii="Arial" w:cs="Arial" w:eastAsia="Arial" w:hAnsi="Arial"/>
                <w:sz w:val="18"/>
                <w:szCs w:val="18"/>
                <w:color w:val="auto"/>
                <w:w w:val="91"/>
              </w:rPr>
              <w:t>10.2</w:t>
            </w:r>
          </w:p>
        </w:tc>
        <w:tc>
          <w:tcPr>
            <w:tcW w:w="2740" w:type="dxa"/>
            <w:vAlign w:val="bottom"/>
          </w:tcPr>
          <w:p>
            <w:pPr>
              <w:jc w:val="center"/>
              <w:ind w:right="933"/>
              <w:spacing w:after="0"/>
              <w:rPr>
                <w:sz w:val="20"/>
                <w:szCs w:val="20"/>
                <w:color w:val="auto"/>
              </w:rPr>
            </w:pPr>
            <w:r>
              <w:rPr>
                <w:rFonts w:ascii="Arial" w:cs="Arial" w:eastAsia="Arial" w:hAnsi="Arial"/>
                <w:sz w:val="18"/>
                <w:szCs w:val="18"/>
                <w:color w:val="auto"/>
                <w:w w:val="91"/>
              </w:rPr>
              <w:t>August 23, 2019</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88">
              <w:r>
                <w:rPr>
                  <w:rFonts w:ascii="Arial" w:cs="Arial" w:eastAsia="Arial" w:hAnsi="Arial"/>
                  <w:sz w:val="18"/>
                  <w:szCs w:val="18"/>
                  <w:color w:val="0000EE"/>
                  <w:w w:val="86"/>
                </w:rPr>
                <w:t>agreements thereunder.</w:t>
              </w:r>
            </w:hyperlink>
          </w:p>
        </w:tc>
        <w:tc>
          <w:tcPr>
            <w:tcW w:w="258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472"/>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3940" w:type="dxa"/>
            <w:vAlign w:val="bottom"/>
            <w:tcBorders>
              <w:bottom w:val="single" w:sz="8" w:color="0000EE"/>
            </w:tcBorders>
            <w:gridSpan w:val="8"/>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Datadog, Inc. 2019 Equity Incentive Plan and terms of</w:t>
              </w:r>
            </w:hyperlink>
          </w:p>
        </w:tc>
        <w:tc>
          <w:tcPr>
            <w:tcW w:w="320" w:type="dxa"/>
            <w:vAlign w:val="bottom"/>
            <w:gridSpan w:val="4"/>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100" w:type="dxa"/>
            <w:vAlign w:val="bottom"/>
          </w:tcPr>
          <w:p>
            <w:pPr>
              <w:jc w:val="center"/>
              <w:ind w:right="53"/>
              <w:spacing w:after="0"/>
              <w:rPr>
                <w:sz w:val="20"/>
                <w:szCs w:val="20"/>
                <w:color w:val="auto"/>
              </w:rPr>
            </w:pPr>
            <w:r>
              <w:rPr>
                <w:rFonts w:ascii="Arial" w:cs="Arial" w:eastAsia="Arial" w:hAnsi="Arial"/>
                <w:sz w:val="18"/>
                <w:szCs w:val="18"/>
                <w:color w:val="auto"/>
                <w:w w:val="91"/>
              </w:rPr>
              <w:t>10.3</w:t>
            </w:r>
          </w:p>
        </w:tc>
        <w:tc>
          <w:tcPr>
            <w:tcW w:w="2740" w:type="dxa"/>
            <w:vAlign w:val="bottom"/>
          </w:tcPr>
          <w:p>
            <w:pPr>
              <w:jc w:val="center"/>
              <w:ind w:right="933"/>
              <w:spacing w:after="0"/>
              <w:rPr>
                <w:sz w:val="20"/>
                <w:szCs w:val="20"/>
                <w:color w:val="auto"/>
              </w:rPr>
            </w:pPr>
            <w:r>
              <w:rPr>
                <w:rFonts w:ascii="Arial" w:cs="Arial" w:eastAsia="Arial" w:hAnsi="Arial"/>
                <w:sz w:val="18"/>
                <w:szCs w:val="18"/>
                <w:color w:val="auto"/>
                <w:w w:val="88"/>
              </w:rPr>
              <w:t>September 9, 2019</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89">
              <w:r>
                <w:rPr>
                  <w:rFonts w:ascii="Arial" w:cs="Arial" w:eastAsia="Arial" w:hAnsi="Arial"/>
                  <w:sz w:val="18"/>
                  <w:szCs w:val="18"/>
                  <w:color w:val="0000EE"/>
                  <w:w w:val="86"/>
                </w:rPr>
                <w:t>agreements thereunder.</w:t>
              </w:r>
            </w:hyperlink>
          </w:p>
        </w:tc>
        <w:tc>
          <w:tcPr>
            <w:tcW w:w="258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472"/>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4"/>
                <w:szCs w:val="24"/>
                <w:color w:val="auto"/>
              </w:rPr>
            </w:pPr>
          </w:p>
        </w:tc>
        <w:tc>
          <w:tcPr>
            <w:tcW w:w="4260" w:type="dxa"/>
            <w:vAlign w:val="bottom"/>
            <w:gridSpan w:val="12"/>
          </w:tcPr>
          <w:p>
            <w:pPr>
              <w:spacing w:after="0"/>
              <w:rPr>
                <w:rFonts w:ascii="Arial" w:cs="Arial" w:eastAsia="Arial" w:hAnsi="Arial"/>
                <w:sz w:val="18"/>
                <w:szCs w:val="18"/>
                <w:color w:val="0000EE"/>
              </w:rPr>
            </w:pPr>
            <w:hyperlink r:id="rId90">
              <w:r>
                <w:rPr>
                  <w:rFonts w:ascii="Arial" w:cs="Arial" w:eastAsia="Arial" w:hAnsi="Arial"/>
                  <w:sz w:val="18"/>
                  <w:szCs w:val="18"/>
                  <w:color w:val="0000EE"/>
                </w:rPr>
                <w:t>Datadog, Inc. 2019 Employee Stock Purchase Plan.</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100" w:type="dxa"/>
            <w:vAlign w:val="bottom"/>
          </w:tcPr>
          <w:p>
            <w:pPr>
              <w:jc w:val="center"/>
              <w:ind w:right="53"/>
              <w:spacing w:after="0"/>
              <w:rPr>
                <w:sz w:val="20"/>
                <w:szCs w:val="20"/>
                <w:color w:val="auto"/>
              </w:rPr>
            </w:pPr>
            <w:r>
              <w:rPr>
                <w:rFonts w:ascii="Arial" w:cs="Arial" w:eastAsia="Arial" w:hAnsi="Arial"/>
                <w:sz w:val="18"/>
                <w:szCs w:val="18"/>
                <w:color w:val="auto"/>
                <w:w w:val="91"/>
              </w:rPr>
              <w:t>10.4</w:t>
            </w:r>
          </w:p>
        </w:tc>
        <w:tc>
          <w:tcPr>
            <w:tcW w:w="2740" w:type="dxa"/>
            <w:vAlign w:val="bottom"/>
          </w:tcPr>
          <w:p>
            <w:pPr>
              <w:jc w:val="center"/>
              <w:ind w:right="933"/>
              <w:spacing w:after="0"/>
              <w:rPr>
                <w:sz w:val="20"/>
                <w:szCs w:val="20"/>
                <w:color w:val="auto"/>
              </w:rPr>
            </w:pPr>
            <w:r>
              <w:rPr>
                <w:rFonts w:ascii="Arial" w:cs="Arial" w:eastAsia="Arial" w:hAnsi="Arial"/>
                <w:sz w:val="18"/>
                <w:szCs w:val="18"/>
                <w:color w:val="auto"/>
                <w:w w:val="88"/>
              </w:rPr>
              <w:t>September 9, 2019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jc w:val="right"/>
              <w:ind w:right="472"/>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Certification of Principal Executive Officer Pursuant to</w:t>
              </w:r>
            </w:hyperlink>
          </w:p>
        </w:tc>
        <w:tc>
          <w:tcPr>
            <w:tcW w:w="2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40" w:type="dxa"/>
            <w:vAlign w:val="bottom"/>
          </w:tcPr>
          <w:p>
            <w:pPr>
              <w:jc w:val="center"/>
              <w:ind w:left="16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Rules 13a-14(a) and 15d-14(a) under the Securities</w:t>
              </w:r>
            </w:hyperlink>
          </w:p>
        </w:tc>
        <w:tc>
          <w:tcPr>
            <w:tcW w:w="54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Exchange Act of 1934, as Adopted Pursuant to Section</w:t>
              </w:r>
            </w:hyperlink>
          </w:p>
        </w:tc>
        <w:tc>
          <w:tcPr>
            <w:tcW w:w="28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302 of the Sarbanes-Oxley Act of 2002.</w:t>
              </w:r>
            </w:hyperlink>
          </w:p>
        </w:tc>
        <w:tc>
          <w:tcPr>
            <w:tcW w:w="136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472"/>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4"/>
                <w:szCs w:val="24"/>
                <w:color w:val="auto"/>
              </w:rPr>
            </w:pPr>
          </w:p>
        </w:tc>
        <w:tc>
          <w:tcPr>
            <w:tcW w:w="4260" w:type="dxa"/>
            <w:vAlign w:val="bottom"/>
            <w:gridSpan w:val="1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Certification of Principal Financial Officer Pursuant to</w:t>
              </w:r>
            </w:hyperlink>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40" w:type="dxa"/>
            <w:vAlign w:val="bottom"/>
          </w:tcPr>
          <w:p>
            <w:pPr>
              <w:jc w:val="center"/>
              <w:ind w:left="16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Rules 13a-14(a) and 15d-14(a) under the Securities</w:t>
              </w:r>
            </w:hyperlink>
          </w:p>
        </w:tc>
        <w:tc>
          <w:tcPr>
            <w:tcW w:w="220" w:type="dxa"/>
            <w:vAlign w:val="bottom"/>
            <w:tcBorders>
              <w:top w:val="single" w:sz="8" w:color="0000EE"/>
            </w:tcBorders>
            <w:gridSpan w:val="2"/>
          </w:tcPr>
          <w:p>
            <w:pPr>
              <w:spacing w:after="0"/>
              <w:rPr>
                <w:sz w:val="17"/>
                <w:szCs w:val="17"/>
                <w:color w:val="auto"/>
              </w:rPr>
            </w:pPr>
          </w:p>
        </w:tc>
        <w:tc>
          <w:tcPr>
            <w:tcW w:w="32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Exchange Act of 1934, as Adopted Pursuant to Section</w:t>
              </w:r>
            </w:hyperlink>
          </w:p>
        </w:tc>
        <w:tc>
          <w:tcPr>
            <w:tcW w:w="28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302 of the Sarbanes-Oxley Act of 2002.</w:t>
              </w:r>
            </w:hyperlink>
          </w:p>
        </w:tc>
        <w:tc>
          <w:tcPr>
            <w:tcW w:w="136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372"/>
              <w:spacing w:after="0"/>
              <w:rPr>
                <w:sz w:val="20"/>
                <w:szCs w:val="20"/>
                <w:color w:val="auto"/>
              </w:rPr>
            </w:pPr>
            <w:r>
              <w:rPr>
                <w:rFonts w:ascii="Arial" w:cs="Arial" w:eastAsia="Arial" w:hAnsi="Arial"/>
                <w:sz w:val="18"/>
                <w:szCs w:val="18"/>
                <w:color w:val="auto"/>
                <w:w w:val="95"/>
              </w:rPr>
              <w:t>32.1*</w:t>
            </w:r>
          </w:p>
        </w:tc>
        <w:tc>
          <w:tcPr>
            <w:tcW w:w="12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Certification of Principal Executive Officer Pursuant to</w:t>
              </w:r>
            </w:hyperlink>
          </w:p>
        </w:tc>
        <w:tc>
          <w:tcPr>
            <w:tcW w:w="2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40" w:type="dxa"/>
            <w:vAlign w:val="bottom"/>
          </w:tcPr>
          <w:p>
            <w:pPr>
              <w:jc w:val="center"/>
              <w:ind w:left="16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18 U.S.C. Section 1350, as Adopted Pursuant to Section</w:t>
              </w:r>
            </w:hyperlink>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906 of the Sarbanes-Oxley Act of 2002.</w:t>
              </w:r>
            </w:hyperlink>
          </w:p>
        </w:tc>
        <w:tc>
          <w:tcPr>
            <w:tcW w:w="136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372"/>
              <w:spacing w:after="0"/>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24"/>
                <w:szCs w:val="24"/>
                <w:color w:val="auto"/>
              </w:rPr>
            </w:pPr>
          </w:p>
        </w:tc>
        <w:tc>
          <w:tcPr>
            <w:tcW w:w="4260" w:type="dxa"/>
            <w:vAlign w:val="bottom"/>
            <w:gridSpan w:val="1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Certification of Principal Financial Officer Pursuant to</w:t>
              </w:r>
            </w:hyperlink>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40" w:type="dxa"/>
            <w:vAlign w:val="bottom"/>
          </w:tcPr>
          <w:p>
            <w:pPr>
              <w:jc w:val="center"/>
              <w:ind w:left="16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18 U.S.C. Section 1350, as Adopted Pursuant to Section</w:t>
              </w:r>
            </w:hyperlink>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gridSpan w:val="1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906 of the Sarbanes-Oxley Act of 2002.</w:t>
              </w:r>
            </w:hyperlink>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8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1380" w:type="dxa"/>
            <w:vAlign w:val="bottom"/>
            <w:gridSpan w:val="9"/>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40" w:type="dxa"/>
            <w:vAlign w:val="bottom"/>
          </w:tcPr>
          <w:p>
            <w:pPr>
              <w:jc w:val="center"/>
              <w:ind w:left="16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2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40" w:type="dxa"/>
            <w:vAlign w:val="bottom"/>
          </w:tcPr>
          <w:p>
            <w:pPr>
              <w:jc w:val="center"/>
              <w:ind w:left="16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26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w:t>
            </w: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40" w:type="dxa"/>
            <w:vAlign w:val="bottom"/>
          </w:tcPr>
          <w:p>
            <w:pPr>
              <w:jc w:val="center"/>
              <w:ind w:left="16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26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w:t>
            </w: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40" w:type="dxa"/>
            <w:vAlign w:val="bottom"/>
          </w:tcPr>
          <w:p>
            <w:pPr>
              <w:jc w:val="center"/>
              <w:ind w:left="16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260" w:type="dxa"/>
            <w:vAlign w:val="bottom"/>
            <w:gridSpan w:val="12"/>
          </w:tcPr>
          <w:p>
            <w:pPr>
              <w:spacing w:after="0"/>
              <w:rPr>
                <w:sz w:val="20"/>
                <w:szCs w:val="20"/>
                <w:color w:val="auto"/>
              </w:rPr>
            </w:pPr>
            <w:r>
              <w:rPr>
                <w:rFonts w:ascii="Arial" w:cs="Arial" w:eastAsia="Arial" w:hAnsi="Arial"/>
                <w:sz w:val="18"/>
                <w:szCs w:val="18"/>
                <w:color w:val="auto"/>
                <w:w w:val="97"/>
              </w:rPr>
              <w:t>XBRL Taxonomy Extension Label Linkbase Document</w:t>
            </w: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40" w:type="dxa"/>
            <w:vAlign w:val="bottom"/>
          </w:tcPr>
          <w:p>
            <w:pPr>
              <w:jc w:val="center"/>
              <w:ind w:left="16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26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w:t>
            </w: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40" w:type="dxa"/>
            <w:vAlign w:val="bottom"/>
          </w:tcPr>
          <w:p>
            <w:pPr>
              <w:jc w:val="center"/>
              <w:ind w:left="16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jc w:val="both"/>
        <w:ind w:left="380" w:hanging="372"/>
        <w:spacing w:after="0" w:line="238"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8260" w:type="dxa"/>
            <w:vAlign w:val="bottom"/>
            <w:gridSpan w:val="2"/>
          </w:tcPr>
          <w:p>
            <w:pPr>
              <w:ind w:left="1260"/>
              <w:spacing w:after="0"/>
              <w:rPr>
                <w:sz w:val="20"/>
                <w:szCs w:val="20"/>
                <w:color w:val="auto"/>
              </w:rPr>
            </w:pPr>
            <w:r>
              <w:rPr>
                <w:rFonts w:ascii="Arial" w:cs="Arial" w:eastAsia="Arial" w:hAnsi="Arial"/>
                <w:sz w:val="18"/>
                <w:szCs w:val="18"/>
                <w:color w:val="auto"/>
              </w:rPr>
              <w:t>DATADOG, INC.</w:t>
            </w:r>
          </w:p>
        </w:tc>
      </w:tr>
      <w:tr>
        <w:trPr>
          <w:trHeight w:val="459"/>
        </w:trPr>
        <w:tc>
          <w:tcPr>
            <w:tcW w:w="3160" w:type="dxa"/>
            <w:vAlign w:val="bottom"/>
          </w:tcPr>
          <w:p>
            <w:pPr>
              <w:spacing w:after="0"/>
              <w:rPr>
                <w:sz w:val="20"/>
                <w:szCs w:val="20"/>
                <w:color w:val="auto"/>
              </w:rPr>
            </w:pPr>
            <w:r>
              <w:rPr>
                <w:rFonts w:ascii="Arial" w:cs="Arial" w:eastAsia="Arial" w:hAnsi="Arial"/>
                <w:sz w:val="18"/>
                <w:szCs w:val="18"/>
                <w:color w:val="auto"/>
              </w:rPr>
              <w:t>Date: November 13, 2019</w:t>
            </w:r>
          </w:p>
        </w:tc>
        <w:tc>
          <w:tcPr>
            <w:tcW w:w="1940" w:type="dxa"/>
            <w:vAlign w:val="bottom"/>
          </w:tcPr>
          <w:p>
            <w:pPr>
              <w:ind w:left="12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Pomel</w:t>
            </w:r>
          </w:p>
        </w:tc>
      </w:tr>
      <w:tr>
        <w:trPr>
          <w:trHeight w:val="209"/>
        </w:trPr>
        <w:tc>
          <w:tcPr>
            <w:tcW w:w="3160" w:type="dxa"/>
            <w:vAlign w:val="bottom"/>
          </w:tcPr>
          <w:p>
            <w:pPr>
              <w:spacing w:after="0"/>
              <w:rPr>
                <w:sz w:val="18"/>
                <w:szCs w:val="18"/>
                <w:color w:val="auto"/>
              </w:rPr>
            </w:pPr>
          </w:p>
        </w:tc>
        <w:tc>
          <w:tcPr>
            <w:tcW w:w="1940" w:type="dxa"/>
            <w:vAlign w:val="bottom"/>
          </w:tcPr>
          <w:p>
            <w:pPr>
              <w:ind w:left="1260"/>
              <w:spacing w:after="0"/>
              <w:rPr>
                <w:sz w:val="20"/>
                <w:szCs w:val="20"/>
                <w:color w:val="auto"/>
              </w:rPr>
            </w:pPr>
            <w:r>
              <w:rPr>
                <w:rFonts w:ascii="Arial" w:cs="Arial" w:eastAsia="Arial" w:hAnsi="Arial"/>
                <w:sz w:val="18"/>
                <w:szCs w:val="18"/>
                <w:color w:val="auto"/>
              </w:rPr>
              <w:t>Name:</w:t>
            </w:r>
          </w:p>
        </w:tc>
        <w:tc>
          <w:tcPr>
            <w:tcW w:w="6320" w:type="dxa"/>
            <w:vAlign w:val="bottom"/>
          </w:tcPr>
          <w:p>
            <w:pPr>
              <w:spacing w:after="0"/>
              <w:rPr>
                <w:sz w:val="20"/>
                <w:szCs w:val="20"/>
                <w:color w:val="auto"/>
              </w:rPr>
            </w:pPr>
            <w:r>
              <w:rPr>
                <w:rFonts w:ascii="Arial" w:cs="Arial" w:eastAsia="Arial" w:hAnsi="Arial"/>
                <w:sz w:val="18"/>
                <w:szCs w:val="18"/>
                <w:color w:val="auto"/>
              </w:rPr>
              <w:t>Olivier Pomel</w:t>
            </w:r>
          </w:p>
        </w:tc>
      </w:tr>
      <w:tr>
        <w:trPr>
          <w:trHeight w:val="216"/>
        </w:trPr>
        <w:tc>
          <w:tcPr>
            <w:tcW w:w="3160" w:type="dxa"/>
            <w:vAlign w:val="bottom"/>
          </w:tcPr>
          <w:p>
            <w:pPr>
              <w:spacing w:after="0"/>
              <w:rPr>
                <w:sz w:val="18"/>
                <w:szCs w:val="18"/>
                <w:color w:val="auto"/>
              </w:rPr>
            </w:pPr>
          </w:p>
        </w:tc>
        <w:tc>
          <w:tcPr>
            <w:tcW w:w="1940" w:type="dxa"/>
            <w:vAlign w:val="bottom"/>
          </w:tcPr>
          <w:p>
            <w:pPr>
              <w:ind w:left="1260"/>
              <w:spacing w:after="0"/>
              <w:rPr>
                <w:sz w:val="20"/>
                <w:szCs w:val="20"/>
                <w:color w:val="auto"/>
              </w:rPr>
            </w:pPr>
            <w:r>
              <w:rPr>
                <w:rFonts w:ascii="Arial" w:cs="Arial" w:eastAsia="Arial" w:hAnsi="Arial"/>
                <w:sz w:val="18"/>
                <w:szCs w:val="18"/>
                <w:color w:val="auto"/>
              </w:rPr>
              <w:t>Title:</w:t>
            </w:r>
          </w:p>
        </w:tc>
        <w:tc>
          <w:tcPr>
            <w:tcW w:w="63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November 13, 2019</w:t>
            </w:r>
          </w:p>
        </w:tc>
        <w:tc>
          <w:tcPr>
            <w:tcW w:w="1940" w:type="dxa"/>
            <w:vAlign w:val="bottom"/>
          </w:tcPr>
          <w:p>
            <w:pPr>
              <w:ind w:left="12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Obstler</w:t>
            </w:r>
          </w:p>
        </w:tc>
      </w:tr>
      <w:tr>
        <w:trPr>
          <w:trHeight w:val="209"/>
        </w:trPr>
        <w:tc>
          <w:tcPr>
            <w:tcW w:w="3160" w:type="dxa"/>
            <w:vAlign w:val="bottom"/>
          </w:tcPr>
          <w:p>
            <w:pPr>
              <w:spacing w:after="0"/>
              <w:rPr>
                <w:sz w:val="18"/>
                <w:szCs w:val="18"/>
                <w:color w:val="auto"/>
              </w:rPr>
            </w:pPr>
          </w:p>
        </w:tc>
        <w:tc>
          <w:tcPr>
            <w:tcW w:w="1940" w:type="dxa"/>
            <w:vAlign w:val="bottom"/>
          </w:tcPr>
          <w:p>
            <w:pPr>
              <w:ind w:left="1260"/>
              <w:spacing w:after="0"/>
              <w:rPr>
                <w:sz w:val="20"/>
                <w:szCs w:val="20"/>
                <w:color w:val="auto"/>
              </w:rPr>
            </w:pPr>
            <w:r>
              <w:rPr>
                <w:rFonts w:ascii="Arial" w:cs="Arial" w:eastAsia="Arial" w:hAnsi="Arial"/>
                <w:sz w:val="18"/>
                <w:szCs w:val="18"/>
                <w:color w:val="auto"/>
              </w:rPr>
              <w:t>Name:</w:t>
            </w:r>
          </w:p>
        </w:tc>
        <w:tc>
          <w:tcPr>
            <w:tcW w:w="6320" w:type="dxa"/>
            <w:vAlign w:val="bottom"/>
          </w:tcPr>
          <w:p>
            <w:pPr>
              <w:spacing w:after="0"/>
              <w:rPr>
                <w:sz w:val="20"/>
                <w:szCs w:val="20"/>
                <w:color w:val="auto"/>
              </w:rPr>
            </w:pPr>
            <w:r>
              <w:rPr>
                <w:rFonts w:ascii="Arial" w:cs="Arial" w:eastAsia="Arial" w:hAnsi="Arial"/>
                <w:sz w:val="18"/>
                <w:szCs w:val="18"/>
                <w:color w:val="auto"/>
              </w:rPr>
              <w:t>David Obstler</w:t>
            </w:r>
          </w:p>
        </w:tc>
      </w:tr>
      <w:tr>
        <w:trPr>
          <w:trHeight w:val="216"/>
        </w:trPr>
        <w:tc>
          <w:tcPr>
            <w:tcW w:w="3160" w:type="dxa"/>
            <w:vAlign w:val="bottom"/>
          </w:tcPr>
          <w:p>
            <w:pPr>
              <w:spacing w:after="0"/>
              <w:rPr>
                <w:sz w:val="18"/>
                <w:szCs w:val="18"/>
                <w:color w:val="auto"/>
              </w:rPr>
            </w:pPr>
          </w:p>
        </w:tc>
        <w:tc>
          <w:tcPr>
            <w:tcW w:w="1940" w:type="dxa"/>
            <w:vAlign w:val="bottom"/>
          </w:tcPr>
          <w:p>
            <w:pPr>
              <w:ind w:left="1260"/>
              <w:spacing w:after="0"/>
              <w:rPr>
                <w:sz w:val="20"/>
                <w:szCs w:val="20"/>
                <w:color w:val="auto"/>
              </w:rPr>
            </w:pPr>
            <w:r>
              <w:rPr>
                <w:rFonts w:ascii="Arial" w:cs="Arial" w:eastAsia="Arial" w:hAnsi="Arial"/>
                <w:sz w:val="18"/>
                <w:szCs w:val="18"/>
                <w:color w:val="auto"/>
              </w:rPr>
              <w:t>Title:</w:t>
            </w:r>
          </w:p>
        </w:tc>
        <w:tc>
          <w:tcPr>
            <w:tcW w:w="63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648"/>
        </w:trPr>
        <w:tc>
          <w:tcPr>
            <w:tcW w:w="3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320" w:type="dxa"/>
            <w:vAlign w:val="bottom"/>
          </w:tcPr>
          <w:p>
            <w:pPr>
              <w:ind w:left="52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Olivier Pomel, certify that:</w:t>
      </w:r>
    </w:p>
    <w:p>
      <w:pPr>
        <w:spacing w:after="0" w:line="225" w:lineRule="exact"/>
        <w:rPr>
          <w:sz w:val="20"/>
          <w:szCs w:val="20"/>
          <w:color w:val="auto"/>
        </w:rPr>
      </w:pPr>
    </w:p>
    <w:p>
      <w:pPr>
        <w:ind w:left="600" w:hanging="59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Datadog, Inc. (the “registrant”) for the fiscal quarter ended September 30, 2019;</w:t>
      </w:r>
    </w:p>
    <w:p>
      <w:pPr>
        <w:spacing w:after="0" w:line="225"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00" w:right="360" w:hanging="59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200" w:right="20" w:hanging="598"/>
        <w:spacing w:after="0" w:line="264" w:lineRule="auto"/>
        <w:tabs>
          <w:tab w:leader="none" w:pos="12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00" w:right="320" w:hanging="598"/>
        <w:spacing w:after="0" w:line="264" w:lineRule="auto"/>
        <w:tabs>
          <w:tab w:leader="none" w:pos="12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200" w:right="500" w:hanging="598"/>
        <w:spacing w:after="0" w:line="342" w:lineRule="auto"/>
        <w:tabs>
          <w:tab w:leader="none" w:pos="12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00" w:right="40" w:hanging="598"/>
        <w:spacing w:after="0" w:line="264" w:lineRule="auto"/>
        <w:tabs>
          <w:tab w:leader="none" w:pos="12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00" w:right="60" w:hanging="592"/>
        <w:spacing w:after="0" w:line="308" w:lineRule="auto"/>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00" w:right="440" w:hanging="598"/>
        <w:spacing w:after="0" w:line="277" w:lineRule="auto"/>
        <w:tabs>
          <w:tab w:leader="none" w:pos="12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November 13, 2019</w:t>
            </w:r>
          </w:p>
        </w:tc>
        <w:tc>
          <w:tcPr>
            <w:tcW w:w="2560" w:type="dxa"/>
            <w:vAlign w:val="bottom"/>
          </w:tcPr>
          <w:p>
            <w:pPr>
              <w:ind w:left="220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 Olivier Pomel</w:t>
            </w:r>
          </w:p>
        </w:tc>
      </w:tr>
      <w:tr>
        <w:trPr>
          <w:trHeight w:val="191"/>
        </w:trPr>
        <w:tc>
          <w:tcPr>
            <w:tcW w:w="40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780" w:type="dxa"/>
            <w:vAlign w:val="bottom"/>
          </w:tcPr>
          <w:p>
            <w:pPr>
              <w:spacing w:after="0" w:line="191" w:lineRule="exact"/>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Olivier Pomel</w:t>
            </w:r>
          </w:p>
        </w:tc>
      </w:tr>
      <w:tr>
        <w:trPr>
          <w:trHeight w:val="220"/>
        </w:trPr>
        <w:tc>
          <w:tcPr>
            <w:tcW w:w="40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Chief Executive Officer and Director</w:t>
            </w:r>
          </w:p>
        </w:tc>
      </w:tr>
      <w:tr>
        <w:trPr>
          <w:trHeight w:val="230"/>
        </w:trPr>
        <w:tc>
          <w:tcPr>
            <w:tcW w:w="4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780" w:type="dxa"/>
            <w:vAlign w:val="bottom"/>
          </w:tcPr>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bl>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Obstler, certify that:</w:t>
      </w:r>
    </w:p>
    <w:p>
      <w:pPr>
        <w:spacing w:after="0" w:line="225" w:lineRule="exact"/>
        <w:rPr>
          <w:sz w:val="20"/>
          <w:szCs w:val="20"/>
          <w:color w:val="auto"/>
        </w:rPr>
      </w:pPr>
    </w:p>
    <w:p>
      <w:pPr>
        <w:ind w:left="600" w:hanging="59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Datadog, Inc. (the “registrant”) for the fiscal quarter ended September 30, 2019;</w:t>
      </w:r>
    </w:p>
    <w:p>
      <w:pPr>
        <w:spacing w:after="0" w:line="225"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00" w:right="360" w:hanging="592"/>
        <w:spacing w:after="0" w:line="277"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200" w:right="20" w:hanging="598"/>
        <w:spacing w:after="0" w:line="264" w:lineRule="auto"/>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00" w:right="320" w:hanging="598"/>
        <w:spacing w:after="0" w:line="264" w:lineRule="auto"/>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200" w:right="500" w:hanging="598"/>
        <w:spacing w:after="0" w:line="342" w:lineRule="auto"/>
        <w:tabs>
          <w:tab w:leader="none" w:pos="12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00" w:right="40" w:hanging="598"/>
        <w:spacing w:after="0" w:line="264" w:lineRule="auto"/>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00" w:right="60" w:hanging="592"/>
        <w:spacing w:after="0" w:line="308"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00" w:right="440" w:hanging="598"/>
        <w:spacing w:after="0" w:line="277" w:lineRule="auto"/>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November 13, 2019</w:t>
            </w:r>
          </w:p>
        </w:tc>
        <w:tc>
          <w:tcPr>
            <w:tcW w:w="3040" w:type="dxa"/>
            <w:vAlign w:val="bottom"/>
            <w:gridSpan w:val="2"/>
          </w:tcPr>
          <w:p>
            <w:pPr>
              <w:ind w:left="2200"/>
              <w:spacing w:after="0"/>
              <w:rPr>
                <w:sz w:val="20"/>
                <w:szCs w:val="20"/>
                <w:color w:val="auto"/>
              </w:rPr>
            </w:pPr>
            <w:r>
              <w:rPr>
                <w:rFonts w:ascii="Arial" w:cs="Arial" w:eastAsia="Arial" w:hAnsi="Arial"/>
                <w:sz w:val="18"/>
                <w:szCs w:val="18"/>
                <w:color w:val="auto"/>
              </w:rPr>
              <w:t>By:</w:t>
            </w:r>
          </w:p>
        </w:tc>
        <w:tc>
          <w:tcPr>
            <w:tcW w:w="4300" w:type="dxa"/>
            <w:vAlign w:val="bottom"/>
          </w:tcPr>
          <w:p>
            <w:pPr>
              <w:ind w:left="80"/>
              <w:spacing w:after="0"/>
              <w:rPr>
                <w:sz w:val="20"/>
                <w:szCs w:val="20"/>
                <w:color w:val="auto"/>
              </w:rPr>
            </w:pPr>
            <w:r>
              <w:rPr>
                <w:rFonts w:ascii="Arial" w:cs="Arial" w:eastAsia="Arial" w:hAnsi="Arial"/>
                <w:sz w:val="18"/>
                <w:szCs w:val="18"/>
                <w:color w:val="auto"/>
              </w:rPr>
              <w:t>/s/ David Obstler</w:t>
            </w:r>
          </w:p>
        </w:tc>
      </w:tr>
      <w:tr>
        <w:trPr>
          <w:trHeight w:val="191"/>
        </w:trPr>
        <w:tc>
          <w:tcPr>
            <w:tcW w:w="40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8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David Obstler</w:t>
            </w:r>
          </w:p>
        </w:tc>
      </w:tr>
      <w:tr>
        <w:trPr>
          <w:trHeight w:val="220"/>
        </w:trPr>
        <w:tc>
          <w:tcPr>
            <w:tcW w:w="4080" w:type="dxa"/>
            <w:vAlign w:val="bottom"/>
          </w:tcPr>
          <w:p>
            <w:pPr>
              <w:spacing w:after="0"/>
              <w:rPr>
                <w:sz w:val="19"/>
                <w:szCs w:val="19"/>
                <w:color w:val="auto"/>
              </w:rPr>
            </w:pPr>
          </w:p>
        </w:tc>
        <w:tc>
          <w:tcPr>
            <w:tcW w:w="3040" w:type="dxa"/>
            <w:vAlign w:val="bottom"/>
            <w:gridSpan w:val="2"/>
          </w:tcPr>
          <w:p>
            <w:pPr>
              <w:ind w:left="2540"/>
              <w:spacing w:after="0"/>
              <w:rPr>
                <w:sz w:val="20"/>
                <w:szCs w:val="20"/>
                <w:color w:val="auto"/>
              </w:rPr>
            </w:pPr>
            <w:r>
              <w:rPr>
                <w:rFonts w:ascii="Arial" w:cs="Arial" w:eastAsia="Arial" w:hAnsi="Arial"/>
                <w:sz w:val="18"/>
                <w:szCs w:val="18"/>
                <w:b w:val="1"/>
                <w:bCs w:val="1"/>
                <w:color w:val="auto"/>
              </w:rPr>
              <w:t>Title:</w:t>
            </w:r>
          </w:p>
        </w:tc>
        <w:tc>
          <w:tcPr>
            <w:tcW w:w="430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30"/>
        </w:trPr>
        <w:tc>
          <w:tcPr>
            <w:tcW w:w="40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0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Olivier Pomel, certify, pursuant to 18 U.S.C. Section 1350, as adopted pursuant to Section 906 of the Sarbanes-Oxley Act of 2002, that the Quarterly Report on Form 10-Q of Datadog, Inc. for the fiscal quarter ended September 30, 2019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14" w:lineRule="exact"/>
        <w:rPr>
          <w:sz w:val="20"/>
          <w:szCs w:val="20"/>
          <w:color w:val="auto"/>
        </w:rPr>
      </w:pPr>
    </w:p>
    <w:p>
      <w:pPr>
        <w:ind w:left="40"/>
        <w:spacing w:after="0"/>
        <w:tabs>
          <w:tab w:leader="none" w:pos="5720" w:val="left"/>
          <w:tab w:leader="none" w:pos="6640" w:val="left"/>
        </w:tabs>
        <w:rPr>
          <w:sz w:val="20"/>
          <w:szCs w:val="20"/>
          <w:color w:val="auto"/>
        </w:rPr>
      </w:pPr>
      <w:r>
        <w:rPr>
          <w:rFonts w:ascii="Arial" w:cs="Arial" w:eastAsia="Arial" w:hAnsi="Arial"/>
          <w:sz w:val="18"/>
          <w:szCs w:val="18"/>
          <w:color w:val="auto"/>
        </w:rPr>
        <w:t>Date: November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Olivier Pomel</w:t>
      </w:r>
    </w:p>
    <w:p>
      <w:pPr>
        <w:spacing w:after="0" w:line="6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color w:val="auto"/>
        </w:rPr>
        <w:t>Chief Executive Officer and Director</w:t>
      </w:r>
    </w:p>
    <w:p>
      <w:pPr>
        <w:spacing w:after="0" w:line="6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5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David Obstler, certify, pursuant to 18 U.S.C. Section 1350, as adopted pursuant to Section 906 of the Sarbanes-Oxley Act of 2002, that the Quarterly Report on Form 10-Q of Datadog, Inc. for the fiscal quarter ended September 30, 2019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14" w:lineRule="exact"/>
        <w:rPr>
          <w:sz w:val="20"/>
          <w:szCs w:val="20"/>
          <w:color w:val="auto"/>
        </w:rPr>
      </w:pPr>
    </w:p>
    <w:p>
      <w:pPr>
        <w:ind w:left="40"/>
        <w:spacing w:after="0"/>
        <w:tabs>
          <w:tab w:leader="none" w:pos="5720" w:val="left"/>
          <w:tab w:leader="none" w:pos="6640" w:val="left"/>
        </w:tabs>
        <w:rPr>
          <w:sz w:val="20"/>
          <w:szCs w:val="20"/>
          <w:color w:val="auto"/>
        </w:rPr>
      </w:pPr>
      <w:r>
        <w:rPr>
          <w:rFonts w:ascii="Arial" w:cs="Arial" w:eastAsia="Arial" w:hAnsi="Arial"/>
          <w:sz w:val="18"/>
          <w:szCs w:val="18"/>
          <w:color w:val="auto"/>
        </w:rPr>
        <w:t>Date: November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Obstler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David Obstler</w:t>
      </w:r>
    </w:p>
    <w:p>
      <w:pPr>
        <w:spacing w:after="0" w:line="6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7"/>
          <w:szCs w:val="17"/>
          <w:color w:val="auto"/>
        </w:rPr>
        <w:t>Chief Financial Officer</w:t>
      </w:r>
    </w:p>
    <w:p>
      <w:pPr>
        <w:spacing w:after="0" w:line="6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5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2"/>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2"/>
    </w:lvl>
  </w:abstractNum>
  <w:abstractNum w:abstractNumId="8">
    <w:nsid w:val="4E6AFB66"/>
    <w:multiLevelType w:val="hybridMultilevel"/>
    <w:lvl w:ilvl="0">
      <w:lvlJc w:val="left"/>
      <w:lvlText w:val="(%1)"/>
      <w:numFmt w:val="decimal"/>
      <w:start w:val="2"/>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lowerLetter"/>
      <w:start w:val="3"/>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86" Type="http://schemas.openxmlformats.org/officeDocument/2006/relationships/hyperlink" Target="http://www.sec.gov/Archives/edgar/data/1561550/000119312519252279/d803834dex31.htm" TargetMode="External"/><Relationship Id="rId87" Type="http://schemas.openxmlformats.org/officeDocument/2006/relationships/hyperlink" Target="http://www.sec.gov/Archives/edgar/data/1561550/000119312519227783/d745413dex34.htm" TargetMode="External"/><Relationship Id="rId88" Type="http://schemas.openxmlformats.org/officeDocument/2006/relationships/hyperlink" Target="http://www.sec.gov/Archives/edgar/data/0001561550/000119312519227783/d745413dex102.htm" TargetMode="External"/><Relationship Id="rId89" Type="http://schemas.openxmlformats.org/officeDocument/2006/relationships/hyperlink" Target="http://www.sec.gov/Archives/edgar/data/1561550/000119312519240411/d745413dex103.htm" TargetMode="External"/><Relationship Id="rId90" Type="http://schemas.openxmlformats.org/officeDocument/2006/relationships/hyperlink" Target="http://www.sec.gov/Archives/edgar/data/1561550/000119312519240411/d745413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2019-12-28T01:33:25Z</dcterms:created>
  <dcterms:modified xsi:type="dcterms:W3CDTF">2019-12-28T01:33:25Z</dcterms:modified>
</cp:coreProperties>
</file>