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b w:val="1"/>
          <w:bCs w:val="1"/>
          <w:u w:val="single" w:color="auto"/>
          <w:color w:val="auto"/>
        </w:rPr>
        <w:t>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b w:val="1"/>
          <w:bCs w:val="1"/>
          <w:u w:val="single" w:color="auto"/>
          <w:color w:val="auto"/>
        </w:rPr>
        <w:t>______</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001-39051</w:t>
      </w:r>
    </w:p>
    <w:p>
      <w:pPr>
        <w:spacing w:after="0" w:line="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Datadog, Inc.</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350"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760" w:type="dxa"/>
            <w:vAlign w:val="bottom"/>
          </w:tcPr>
          <w:p>
            <w:pPr>
              <w:jc w:val="center"/>
              <w:ind w:left="17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40" w:type="dxa"/>
            <w:vAlign w:val="bottom"/>
          </w:tcPr>
          <w:p>
            <w:pPr>
              <w:jc w:val="right"/>
              <w:ind w:right="1703"/>
              <w:spacing w:after="0"/>
              <w:rPr>
                <w:sz w:val="20"/>
                <w:szCs w:val="20"/>
                <w:color w:val="auto"/>
              </w:rPr>
            </w:pPr>
            <w:r>
              <w:rPr>
                <w:rFonts w:ascii="Times New Roman" w:cs="Times New Roman" w:eastAsia="Times New Roman" w:hAnsi="Times New Roman"/>
                <w:sz w:val="18"/>
                <w:szCs w:val="18"/>
                <w:b w:val="1"/>
                <w:bCs w:val="1"/>
                <w:color w:val="auto"/>
              </w:rPr>
              <w:t>27-2825503</w:t>
            </w:r>
          </w:p>
        </w:tc>
        <w:tc>
          <w:tcPr>
            <w:tcW w:w="0" w:type="dxa"/>
            <w:vAlign w:val="bottom"/>
          </w:tcPr>
          <w:p>
            <w:pPr>
              <w:spacing w:after="0"/>
              <w:rPr>
                <w:sz w:val="1"/>
                <w:szCs w:val="1"/>
                <w:color w:val="auto"/>
              </w:rPr>
            </w:pPr>
          </w:p>
        </w:tc>
      </w:tr>
      <w:tr>
        <w:trPr>
          <w:trHeight w:val="205"/>
        </w:trPr>
        <w:tc>
          <w:tcPr>
            <w:tcW w:w="3760" w:type="dxa"/>
            <w:vAlign w:val="bottom"/>
          </w:tcPr>
          <w:p>
            <w:pPr>
              <w:jc w:val="center"/>
              <w:ind w:left="17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40" w:type="dxa"/>
            <w:vAlign w:val="bottom"/>
          </w:tcPr>
          <w:p>
            <w:pPr>
              <w:jc w:val="center"/>
              <w:ind w:right="1023"/>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760" w:type="dxa"/>
            <w:vAlign w:val="bottom"/>
          </w:tcPr>
          <w:p>
            <w:pPr>
              <w:jc w:val="center"/>
              <w:ind w:left="17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80"/>
        </w:trPr>
        <w:tc>
          <w:tcPr>
            <w:tcW w:w="376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620 8th Avenue,</w:t>
            </w:r>
          </w:p>
        </w:tc>
        <w:tc>
          <w:tcPr>
            <w:tcW w:w="4160" w:type="dxa"/>
            <w:vAlign w:val="bottom"/>
            <w:gridSpan w:val="2"/>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rPr>
              <w:t>45th Floor</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6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New York,</w:t>
            </w:r>
          </w:p>
        </w:tc>
        <w:tc>
          <w:tcPr>
            <w:tcW w:w="4160" w:type="dxa"/>
            <w:vAlign w:val="bottom"/>
            <w:gridSpan w:val="2"/>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9"/>
              </w:rPr>
              <w:t>NY</w:t>
            </w:r>
          </w:p>
        </w:tc>
        <w:tc>
          <w:tcPr>
            <w:tcW w:w="3340" w:type="dxa"/>
            <w:vAlign w:val="bottom"/>
          </w:tcPr>
          <w:p>
            <w:pPr>
              <w:jc w:val="right"/>
              <w:ind w:right="1923"/>
              <w:spacing w:after="0"/>
              <w:rPr>
                <w:sz w:val="20"/>
                <w:szCs w:val="20"/>
                <w:color w:val="auto"/>
              </w:rPr>
            </w:pPr>
            <w:r>
              <w:rPr>
                <w:rFonts w:ascii="Times New Roman" w:cs="Times New Roman" w:eastAsia="Times New Roman" w:hAnsi="Times New Roman"/>
                <w:sz w:val="18"/>
                <w:szCs w:val="18"/>
                <w:b w:val="1"/>
                <w:bCs w:val="1"/>
                <w:color w:val="auto"/>
              </w:rPr>
              <w:t>10018</w:t>
            </w:r>
          </w:p>
        </w:tc>
        <w:tc>
          <w:tcPr>
            <w:tcW w:w="0" w:type="dxa"/>
            <w:vAlign w:val="bottom"/>
          </w:tcPr>
          <w:p>
            <w:pPr>
              <w:spacing w:after="0"/>
              <w:rPr>
                <w:sz w:val="1"/>
                <w:szCs w:val="1"/>
                <w:color w:val="auto"/>
              </w:rPr>
            </w:pPr>
          </w:p>
        </w:tc>
      </w:tr>
      <w:tr>
        <w:trPr>
          <w:trHeight w:val="220"/>
        </w:trPr>
        <w:tc>
          <w:tcPr>
            <w:tcW w:w="7920" w:type="dxa"/>
            <w:vAlign w:val="bottom"/>
            <w:gridSpan w:val="3"/>
          </w:tcPr>
          <w:p>
            <w:pPr>
              <w:jc w:val="center"/>
              <w:ind w:right="23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40" w:type="dxa"/>
            <w:vAlign w:val="bottom"/>
          </w:tcPr>
          <w:p>
            <w:pPr>
              <w:jc w:val="center"/>
              <w:ind w:right="1023"/>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29"/>
        </w:trPr>
        <w:tc>
          <w:tcPr>
            <w:tcW w:w="112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(866) 329-4466</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________________________________________</w:t>
            </w:r>
          </w:p>
        </w:tc>
        <w:tc>
          <w:tcPr>
            <w:tcW w:w="4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376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20" w:type="dxa"/>
            <w:vAlign w:val="bottom"/>
            <w:tcBorders>
              <w:bottom w:val="single" w:sz="8" w:color="auto"/>
            </w:tcBorders>
          </w:tcPr>
          <w:p>
            <w:pPr>
              <w:spacing w:after="0"/>
              <w:rPr>
                <w:sz w:val="16"/>
                <w:szCs w:val="16"/>
                <w:color w:val="auto"/>
              </w:rPr>
            </w:pPr>
          </w:p>
        </w:tc>
        <w:tc>
          <w:tcPr>
            <w:tcW w:w="33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DDOG</w:t>
            </w:r>
          </w:p>
        </w:tc>
        <w:tc>
          <w:tcPr>
            <w:tcW w:w="420" w:type="dxa"/>
            <w:vAlign w:val="bottom"/>
          </w:tcPr>
          <w:p>
            <w:pPr>
              <w:spacing w:after="0"/>
              <w:rPr>
                <w:sz w:val="16"/>
                <w:szCs w:val="16"/>
                <w:color w:val="auto"/>
              </w:rPr>
            </w:pPr>
          </w:p>
        </w:tc>
        <w:tc>
          <w:tcPr>
            <w:tcW w:w="33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99"/>
        </w:trPr>
        <w:tc>
          <w:tcPr>
            <w:tcW w:w="3760" w:type="dxa"/>
            <w:vAlign w:val="bottom"/>
            <w:tcBorders>
              <w:left w:val="single" w:sz="8" w:color="auto"/>
              <w:right w:val="single" w:sz="8" w:color="auto"/>
            </w:tcBorders>
            <w:vMerge w:val="continue"/>
          </w:tcPr>
          <w:p>
            <w:pPr>
              <w:spacing w:after="0"/>
              <w:rPr>
                <w:sz w:val="8"/>
                <w:szCs w:val="8"/>
                <w:color w:val="auto"/>
              </w:rPr>
            </w:pPr>
          </w:p>
        </w:tc>
        <w:tc>
          <w:tcPr>
            <w:tcW w:w="374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3340" w:type="dxa"/>
            <w:vAlign w:val="bottom"/>
            <w:tcBorders>
              <w:right w:val="single" w:sz="8" w:color="auto"/>
            </w:tcBorders>
            <w:vMerge w:val="restart"/>
          </w:tcPr>
          <w:p>
            <w:pPr>
              <w:ind w:left="560"/>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 Yes</w:t>
            </w:r>
          </w:p>
        </w:tc>
        <w:tc>
          <w:tcPr>
            <w:tcW w:w="3340" w:type="dxa"/>
            <w:vAlign w:val="bottom"/>
          </w:tcPr>
          <w:p>
            <w:pPr>
              <w:ind w:left="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87" w:lineRule="exact"/>
        <w:rPr>
          <w:sz w:val="24"/>
          <w:szCs w:val="24"/>
          <w:color w:val="auto"/>
        </w:rPr>
      </w:pPr>
    </w:p>
    <w:p>
      <w:pPr>
        <w:jc w:val="both"/>
        <w:ind w:right="20"/>
        <w:spacing w:after="0" w:line="22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right="2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34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472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1" w:lineRule="exact"/>
        <w:rPr>
          <w:sz w:val="24"/>
          <w:szCs w:val="24"/>
          <w:color w:val="auto"/>
        </w:rPr>
      </w:pPr>
    </w:p>
    <w:p>
      <w:pPr>
        <w:jc w:val="both"/>
        <w:ind w:right="20"/>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right="4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right="40"/>
        <w:spacing w:after="0" w:line="23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2" w:lineRule="exact"/>
        <w:rPr>
          <w:sz w:val="24"/>
          <w:szCs w:val="24"/>
          <w:color w:val="auto"/>
        </w:rPr>
      </w:pPr>
    </w:p>
    <w:p>
      <w:pPr>
        <w:jc w:val="both"/>
        <w:ind w:right="2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73" w:lineRule="exact"/>
        <w:rPr>
          <w:sz w:val="24"/>
          <w:szCs w:val="24"/>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based on the closing price of the registrant’s shares of Class A common stock as reported by The Nasdaq Global Select Market on June 30, 2023 was approximately $29.3 billion.</w:t>
      </w:r>
    </w:p>
    <w:p>
      <w:pPr>
        <w:spacing w:after="0" w:line="3" w:lineRule="exact"/>
        <w:rPr>
          <w:sz w:val="24"/>
          <w:szCs w:val="24"/>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As of February 15, 2024, there were 305,929,910 shares of the registrant’s Class A common stock and 25,944,197 shares of the registrant’s Class B common stock, each with a par value of $0.00001 per share, outstanding.</w:t>
      </w:r>
    </w:p>
    <w:p>
      <w:pPr>
        <w:jc w:val="center"/>
        <w:ind w:right="20"/>
        <w:spacing w:after="0"/>
        <w:rPr>
          <w:sz w:val="20"/>
          <w:szCs w:val="20"/>
          <w:color w:val="auto"/>
        </w:rPr>
      </w:pPr>
      <w:r>
        <w:rPr>
          <w:rFonts w:ascii="Times New Roman" w:cs="Times New Roman" w:eastAsia="Times New Roman" w:hAnsi="Times New Roman"/>
          <w:sz w:val="16"/>
          <w:szCs w:val="16"/>
          <w:b w:val="1"/>
          <w:bCs w:val="1"/>
          <w:color w:val="212529"/>
        </w:rPr>
        <w:t>DOCUMENTS INCORPORATED BY REFERENCE</w:t>
      </w:r>
    </w:p>
    <w:p>
      <w:pPr>
        <w:spacing w:after="0" w:line="75" w:lineRule="exact"/>
        <w:rPr>
          <w:sz w:val="24"/>
          <w:szCs w:val="24"/>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212529"/>
        </w:rPr>
        <w:t>Portions of the registrant’s Proxy Statement for its 2024 Annual Meeting of Stockholders are incorporated by reference into Part III of this Annual Report on Form 10-K to the extent stated herein. Such Proxy Statement will be filed with the Securities and Exchange Commission within 120 days of the registrant’s fiscal year ended December 31, 2023.</w:t>
      </w:r>
    </w:p>
    <w:p>
      <w:pPr>
        <w:sectPr>
          <w:pgSz w:w="11900" w:h="16838" w:orient="portrait"/>
          <w:cols w:equalWidth="0" w:num="1">
            <w:col w:w="11260"/>
          </w:cols>
          <w:pgMar w:left="320" w:top="1316" w:right="319" w:bottom="0" w:gutter="0" w:footer="0" w:header="0"/>
        </w:sectPr>
      </w:pPr>
    </w:p>
    <w:bookmarkStart w:id="1" w:name="page2"/>
    <w:bookmarkEnd w:id="1"/>
    <w:p>
      <w:pPr>
        <w:jc w:val="both"/>
        <w:spacing w:after="0" w:line="26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950595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149225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60" w:type="dxa"/>
            <w:vAlign w:val="bottom"/>
            <w:gridSpan w:val="8"/>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8"/>
              </w:rPr>
              <w:t>DATADOG, INC.</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40" w:type="dxa"/>
            <w:vAlign w:val="bottom"/>
            <w:gridSpan w:val="11"/>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2023 ANNUAL REPORT ON FORM 10-K</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60" w:type="dxa"/>
            <w:vAlign w:val="bottom"/>
            <w:gridSpan w:val="8"/>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8140" w:type="dxa"/>
            <w:vAlign w:val="bottom"/>
            <w:gridSpan w:val="20"/>
          </w:tcPr>
          <w:p>
            <w:pPr>
              <w:spacing w:after="0"/>
              <w:rPr>
                <w:sz w:val="16"/>
                <w:szCs w:val="16"/>
                <w:color w:val="auto"/>
              </w:rPr>
            </w:pP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880" w:type="dxa"/>
            <w:vAlign w:val="bottom"/>
            <w:gridSpan w:val="17"/>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740" w:type="dxa"/>
            <w:vAlign w:val="bottom"/>
            <w:gridSpan w:val="11"/>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780" w:type="dxa"/>
            <w:vAlign w:val="bottom"/>
            <w:gridSpan w:val="16"/>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515"/>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7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[Reserved]</w:t>
            </w:r>
          </w:p>
        </w:tc>
        <w:tc>
          <w:tcPr>
            <w:tcW w:w="7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20" w:type="dxa"/>
            <w:vAlign w:val="bottom"/>
            <w:gridSpan w:val="3"/>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20" w:type="dxa"/>
            <w:vAlign w:val="bottom"/>
            <w:gridSpan w:val="6"/>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320" w:type="dxa"/>
            <w:vAlign w:val="bottom"/>
            <w:gridSpan w:val="3"/>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020" w:type="dxa"/>
            <w:vAlign w:val="bottom"/>
            <w:gridSpan w:val="13"/>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r>
              <w:rPr>
                <w:rFonts w:ascii="Times New Roman" w:cs="Times New Roman" w:eastAsia="Times New Roman" w:hAnsi="Times New Roman"/>
                <w:sz w:val="18"/>
                <w:szCs w:val="18"/>
                <w:color w:val="000000"/>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0" w:type="dxa"/>
            <w:vAlign w:val="bottom"/>
          </w:tcPr>
          <w:p>
            <w:pPr>
              <w:spacing w:after="0"/>
              <w:rPr>
                <w:sz w:val="1"/>
                <w:szCs w:val="1"/>
                <w:color w:val="auto"/>
              </w:rPr>
            </w:pPr>
          </w:p>
        </w:tc>
      </w:tr>
      <w:tr>
        <w:trPr>
          <w:trHeight w:val="515"/>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87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91</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5"/>
          </w:tcPr>
          <w:p>
            <w:pPr>
              <w:spacing w:after="0"/>
              <w:rPr>
                <w:sz w:val="18"/>
                <w:szCs w:val="18"/>
                <w:color w:val="auto"/>
              </w:rPr>
            </w:pPr>
          </w:p>
        </w:tc>
        <w:tc>
          <w:tcPr>
            <w:tcW w:w="4700" w:type="dxa"/>
            <w:vAlign w:val="bottom"/>
            <w:gridSpan w:val="7"/>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00" w:type="dxa"/>
            <w:vAlign w:val="bottom"/>
            <w:gridSpan w:val="2"/>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340" w:type="dxa"/>
            <w:vAlign w:val="bottom"/>
            <w:gridSpan w:val="4"/>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c>
          <w:tcPr>
            <w:tcW w:w="0" w:type="dxa"/>
            <w:vAlign w:val="bottom"/>
          </w:tcPr>
          <w:p>
            <w:pPr>
              <w:spacing w:after="0"/>
              <w:rPr>
                <w:sz w:val="1"/>
                <w:szCs w:val="1"/>
                <w:color w:val="auto"/>
              </w:rPr>
            </w:pPr>
          </w:p>
        </w:tc>
      </w:tr>
      <w:tr>
        <w:trPr>
          <w:trHeight w:val="515"/>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FF"/>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5880" w:type="dxa"/>
            <w:vAlign w:val="bottom"/>
            <w:gridSpan w:val="9"/>
          </w:tcPr>
          <w:p>
            <w:pPr>
              <w:spacing w:after="0"/>
              <w:rPr>
                <w:sz w:val="16"/>
                <w:szCs w:val="16"/>
                <w:color w:val="auto"/>
              </w:rPr>
            </w:pP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92</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87"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Our operations and financial results and an investment in our Class A common stock are subject to various risks and uncertainties, the most significant of which are summarized below. You should consider carefully the summary below and the risks and uncertainties described in the “Risk Factors” section of this Annual Report on Form 10-K, as well as the other information contained in this Annual Report on Form 10-K, including our consolidated financial statements and related notes. The risks and uncertainties described below and in “Risk Factors” are not the only ones we face. Additional risks and uncertainties that we are unaware of, or that we currently believe are not material, may also become important factors that adversely affect our business. If any of such risks or others not specified below or in “Risk Factors” materialize, our business, financial condition and results of operations could be materially and adversely affected. In that case, the trading price of our Class A common stock could decline.</w:t>
      </w:r>
    </w:p>
    <w:p>
      <w:pPr>
        <w:spacing w:after="0" w:line="77" w:lineRule="exact"/>
        <w:rPr>
          <w:sz w:val="20"/>
          <w:szCs w:val="20"/>
          <w:color w:val="auto"/>
        </w:rPr>
      </w:pPr>
    </w:p>
    <w:p>
      <w:pPr>
        <w:ind w:left="146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53"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achieve or sustain profitability in the future.</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forecast our future results of operations.</w:t>
      </w:r>
    </w:p>
    <w:p>
      <w:pPr>
        <w:spacing w:after="0" w:line="11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the growth of our business, and this capital might not be available on acceptable terms, if at all.</w:t>
      </w:r>
    </w:p>
    <w:p>
      <w:pPr>
        <w:spacing w:after="0" w:line="53"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business, financial condition and results of operations will be adversely affected.</w:t>
      </w:r>
    </w:p>
    <w:p>
      <w:pPr>
        <w:spacing w:after="0" w:line="11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sales and marketing capabilities could harm our ability to increase our customer base and achieve broader market acceptance of our products.</w:t>
      </w:r>
    </w:p>
    <w:p>
      <w:pPr>
        <w:spacing w:after="0" w:line="53" w:lineRule="exact"/>
        <w:rPr>
          <w:rFonts w:ascii="Times New Roman" w:cs="Times New Roman" w:eastAsia="Times New Roman" w:hAnsi="Times New Roman"/>
          <w:sz w:val="18"/>
          <w:szCs w:val="18"/>
          <w:color w:val="auto"/>
        </w:rPr>
      </w:pPr>
    </w:p>
    <w:p>
      <w:pPr>
        <w:jc w:val="both"/>
        <w:ind w:left="1460" w:hanging="480"/>
        <w:spacing w:after="0" w:line="261"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service providers experience, or are unable to protect against cyber-attacks,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71"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products and platform capabilities may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manage our growth, and if we are not able to grow efficiently,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competitive, and if we do not compete effectively,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9" w:lineRule="exact"/>
        <w:rPr>
          <w:sz w:val="20"/>
          <w:szCs w:val="20"/>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successfully retain existing customers;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platform and upsell and cross sell additional products;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our profitability;</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 and</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general market, political, economic, and business conditions in our industry, or reductions in information technology spending, on our business, results of operations and financial condition.</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in under the header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the statements are made, and we undertake no obligation to update them to reflect events or circumstances after the date of this Annual Report on Form 10-K or to reflect new information or the occurrence of unanticipated events, except as required by law.</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report to the terms “Datadog”, “the Company,” “we,” “our” and “us” refer to Datadog, Inc. and its subsidiaries.</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“Datadog” and other trade names and trademarks of ours appearing in this report are our property. This report contains trade names and trademarks of other companies, which are the property of their respective owners. We do not intend our use or display of other companies’ trade names or trademarks to imply an endorsement or sponsorship of us by such companies, or any relationship with any of these companies.</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(www.investors.datadoghq.com). We therefore encourage investors and others interested in Datadog to review the information that we make available on our website, in addition to following our filings with the Securities and Exchange Commission, or the SEC, webcasts, press releases and conference calls.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The statistical data, estimates and forecasts referenced throughout this Annual Report on Form 10-K are based on independent industry publications or other publicly available information, as well as information based on our internal sources. While we believe the industry and market data included in this Annual Report on Form 10-K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Annual Report on Form 10-K were prepared on our or on our affiliates’ behalf or at our expense. The industry in which we operate is subject to a high degree of uncertainty and risk due to a variety of factors, including those described in the section titled “Risk Factors” and “Special Note Regarding Forward-Looking Statements,” that could cause results to differ materially from those expressed in these publications and other publicly available information.</w:t>
      </w:r>
    </w:p>
    <w:p>
      <w:pPr>
        <w:spacing w:after="0" w:line="19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The Gartner content referenced herein (the “Gartner Content”) represents research opinion or viewpoints published, as part of a syndicated subscription service, by Gartner, Inc. (“Gartner”), and are not representations of fact. The Gartner Content speaks as of its original publication date in December 2023 (and not as of the date of this Annual Report on Form 10-K) and the opinions expressed in the Gartner Content are subject to change without notice.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Datadog is the observability and security platform for cloud applications.</w:t>
      </w:r>
    </w:p>
    <w:p>
      <w:pPr>
        <w:spacing w:after="0" w:line="225"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SaaS platform integrates and automates infrastructure monitoring, application performance monitoring, log management, user experience monitoring, cloud security, and many other capabilities to provide unified, real-time observability and security for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183"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Software applications are transforming how organizations engage with customers and operate their businesses. Companies across all industries are re-platforming their businesses to cloud native or hybrid on-premise and cloud infrastructures to enable this digital transformation. Historically, engineering teams have been siloed, making the development of next generation applications in dynamic cloud environments challenging. We started Datadog to break this model and facilitate collaboration among development and operations teams, enabling the adoption of DevOps practices. Since then we have continuously pushed to unify separate tools into an integrated monitoring and analytics platform, readily available to everyone who cares about applications and their impact on business. And while we continue to broaden our capabilities in observability, we have continued to expand our platform into use cases beyond observability. Starting in 2020, we began to develop products in cloud security, and in 2021, we expanded into developer-focused products.</w:t>
      </w:r>
    </w:p>
    <w:p>
      <w:pPr>
        <w:spacing w:after="0" w:line="19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From our founding goal of breaking down silos between Dev and Ops, we set out in 2010 to build a real-time data integration platform to turn chaos of having uncorrelated data from disparate sources into digestible and actionable insights. Since launching our first use case with Infrastructure Monitoring in 2012, we have expanded our platform rapidly, and today, we offer end-to-end monitoring and analytics, powered by a common data model that is extensible for use cases across observability, security, and software delivery. In 2023, we launched Application Vulnerability Management to detect vulnerabilities in open-source libraries in production, Data Streams Monitoring to track and improve the performance of event-driven applications, and Workflow Automation to easily automate actions based on observability insights.</w:t>
      </w:r>
    </w:p>
    <w:p>
      <w:pPr>
        <w:spacing w:after="0" w:line="18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proprietary platform combines the power of metrics, traces, logs, user sessions, security signals, and other data from a single agent and over 700 integrations to provide a unified view of infrastructure, application performance and the real-time events impacting performance. Datadog is designed to be cloud agnostic and easy to deploy, with hundreds of out-of-the-box integrations, a built-in understanding of modern technology stacks and extensive customizations. Customers can deploy our platform across their entire infrastructure, making it ubiquitous and a daily part of the lives of developers, operations engineers, security professionals, and business leaders.</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believe that our platform currently addresses a significant portion of the IT Operations Management market. According to Gartner, the IT Operations Management market represents a $81 billion opportunity in 2027. We believe a large portion of this spend is for legacy on-premise and private cloud environments but does not fully include the opportunity in modern multi-cloud and hybrid cloud environments. Our platform is designed to address both legacy and modern environments.</w:t>
      </w:r>
    </w:p>
    <w:p>
      <w:pPr>
        <w:spacing w:after="0" w:line="180"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 and Key Strengths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Datadog was founded on the premise that the old model of siloed developers and IT operations engineers is broken, and that legacy tools used for monitoring static on-premise architectures do not work in modern cloud or hybrid environments. Datadog’s cloud-native platform enables development and operations teams to collaborate, quickly build and improve applications, and drive business performance. Empowered by our out-of-the box functionality and simple, self-service installation, our customers are able to rapidly deploy our platform to provide application- and infrastructure-wide visibility, often within minutes.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both"/>
        <w:ind w:left="480" w:hanging="480"/>
        <w:spacing w:after="0" w:line="268" w:lineRule="auto"/>
        <w:tabs>
          <w:tab w:leader="none" w:pos="4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Built for dynamic cloud and hybrid infrastructures</w:t>
      </w:r>
      <w:r>
        <w:rPr>
          <w:rFonts w:ascii="Times New Roman" w:cs="Times New Roman" w:eastAsia="Times New Roman" w:hAnsi="Times New Roman"/>
          <w:sz w:val="18"/>
          <w:szCs w:val="18"/>
          <w:color w:val="auto"/>
        </w:rPr>
        <w:t>. Our innovative platform was born in the cloud and was built to work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ephemeral cloud technologies such as microservices, containers and serverless computing. Our data model was built to work at cloud scale with highly dynamic data sets and processes more than 10 trillion events a day.</w:t>
      </w:r>
    </w:p>
    <w:p>
      <w:pPr>
        <w:spacing w:after="0" w:line="62" w:lineRule="exact"/>
        <w:rPr>
          <w:rFonts w:ascii="Times New Roman" w:cs="Times New Roman" w:eastAsia="Times New Roman" w:hAnsi="Times New Roman"/>
          <w:sz w:val="18"/>
          <w:szCs w:val="18"/>
          <w:color w:val="auto"/>
        </w:rPr>
      </w:pPr>
    </w:p>
    <w:p>
      <w:pPr>
        <w:jc w:val="both"/>
        <w:ind w:left="480" w:hanging="480"/>
        <w:spacing w:after="0" w:line="257" w:lineRule="auto"/>
        <w:tabs>
          <w:tab w:leader="none" w:pos="4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Simple but not simplistic</w:t>
      </w:r>
      <w:r>
        <w:rPr>
          <w:rFonts w:ascii="Times New Roman" w:cs="Times New Roman" w:eastAsia="Times New Roman" w:hAnsi="Times New Roman"/>
          <w:sz w:val="18"/>
          <w:szCs w:val="18"/>
          <w:color w:val="auto"/>
        </w:rPr>
        <w:t>. Our platform is easy-to-use with out-of-the-box integrations, customizable drag-and-drop dashboards, real-time visualization and prioritized alerting. The platform is deployed in a self-service installation process within minutes, allowing new users to quickly derive value without any specialized training or heavy implementation or customization. It is highly extensible across a wide array of use cases to a broad set of developers, operations engineers, security professionals, product managers, product designers, platform engineers, customer support staff, and business users. As a result, our platform is integral to business operations and used every day, and our users find increasing value in the solution over time.</w:t>
      </w:r>
    </w:p>
    <w:p>
      <w:pPr>
        <w:spacing w:after="0" w:line="74" w:lineRule="exact"/>
        <w:rPr>
          <w:rFonts w:ascii="Times New Roman" w:cs="Times New Roman" w:eastAsia="Times New Roman" w:hAnsi="Times New Roman"/>
          <w:sz w:val="18"/>
          <w:szCs w:val="18"/>
          <w:color w:val="auto"/>
        </w:rPr>
      </w:pPr>
    </w:p>
    <w:p>
      <w:pPr>
        <w:jc w:val="both"/>
        <w:ind w:left="480" w:hanging="480"/>
        <w:spacing w:after="0" w:line="255" w:lineRule="auto"/>
        <w:tabs>
          <w:tab w:leader="none" w:pos="4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Integrated data platform</w:t>
      </w:r>
      <w:r>
        <w:rPr>
          <w:rFonts w:ascii="Times New Roman" w:cs="Times New Roman" w:eastAsia="Times New Roman" w:hAnsi="Times New Roman"/>
          <w:sz w:val="18"/>
          <w:szCs w:val="18"/>
          <w:color w:val="auto"/>
        </w:rPr>
        <w:t>. We were the first to combine the “three pillars of observability” - metrics, traces, and logs -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introduction of our log management solution in 2018. Today, our platform combines infrastructure monitoring, application performance monitoring, log management, user experience monitoring, security monitoring, incident management, continuous integration and continuous delivery, or CI/CD, pipeline and test monitoring in one integrated data platform. This approach increases efficiency by reducing both the expense and friction of attempting to glean insights from disparate systems. We are able to provide a unified view across the IT stack, including infrastructure and application performance, as well as the real-time events impacting performance. Each of our products is integrated and taken together, they provide the ability to view metrics, traces, logs, sessions, security signals, and other data side-by-side and to perform correlation analysis.</w:t>
      </w:r>
    </w:p>
    <w:p>
      <w:pPr>
        <w:spacing w:after="0" w:line="76" w:lineRule="exact"/>
        <w:rPr>
          <w:rFonts w:ascii="Times New Roman" w:cs="Times New Roman" w:eastAsia="Times New Roman" w:hAnsi="Times New Roman"/>
          <w:sz w:val="18"/>
          <w:szCs w:val="18"/>
          <w:color w:val="auto"/>
        </w:rPr>
      </w:pPr>
    </w:p>
    <w:p>
      <w:pPr>
        <w:jc w:val="both"/>
        <w:ind w:left="480" w:hanging="480"/>
        <w:spacing w:after="0" w:line="256" w:lineRule="auto"/>
        <w:tabs>
          <w:tab w:leader="none" w:pos="4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Built for collaboration</w:t>
      </w:r>
      <w:r>
        <w:rPr>
          <w:rFonts w:ascii="Times New Roman" w:cs="Times New Roman" w:eastAsia="Times New Roman" w:hAnsi="Times New Roman"/>
          <w:sz w:val="18"/>
          <w:szCs w:val="18"/>
          <w:color w:val="auto"/>
        </w:rPr>
        <w:t>. Our platform was built to break down the silos between developers and operations teams in order to help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organizations adopt DevOps practices and improve overall business performance. We provide development and operations teams with a common set of tools to develop a joint understanding of application performance and shared insights into the infrastructure supporting the applications. Additionally, our customizable and interactive dashboards can be shared with business teams to provide them with real-time actionable insights. Over time, as the use cases for our platform have expanded, the types of users that we can serve and help to collaborate have expanded as well, to include security professionals, product managers, product designers, platform engineers, customer support staff, and business users.</w:t>
      </w:r>
    </w:p>
    <w:p>
      <w:pPr>
        <w:spacing w:after="0" w:line="74" w:lineRule="exact"/>
        <w:rPr>
          <w:rFonts w:ascii="Times New Roman" w:cs="Times New Roman" w:eastAsia="Times New Roman" w:hAnsi="Times New Roman"/>
          <w:sz w:val="18"/>
          <w:szCs w:val="18"/>
          <w:color w:val="auto"/>
        </w:rPr>
      </w:pPr>
    </w:p>
    <w:p>
      <w:pPr>
        <w:ind w:left="480" w:hanging="480"/>
        <w:spacing w:after="0" w:line="286" w:lineRule="auto"/>
        <w:tabs>
          <w:tab w:leader="none" w:pos="4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Cloud agnostic</w:t>
      </w:r>
      <w:r>
        <w:rPr>
          <w:rFonts w:ascii="Times New Roman" w:cs="Times New Roman" w:eastAsia="Times New Roman" w:hAnsi="Times New Roman"/>
          <w:sz w:val="18"/>
          <w:szCs w:val="18"/>
          <w:color w:val="auto"/>
        </w:rPr>
        <w:t>. Our platform is designed to be deployable across all environments, including public cloud, private cloud, on-premise,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multi-cloud, and hybrid environments, allowing organizations to diversify their infrastructure and reduce single vendor dependence.</w:t>
      </w:r>
    </w:p>
    <w:p>
      <w:pPr>
        <w:spacing w:after="0" w:line="46" w:lineRule="exact"/>
        <w:rPr>
          <w:rFonts w:ascii="Times New Roman" w:cs="Times New Roman" w:eastAsia="Times New Roman" w:hAnsi="Times New Roman"/>
          <w:sz w:val="18"/>
          <w:szCs w:val="18"/>
          <w:color w:val="auto"/>
        </w:rPr>
      </w:pPr>
    </w:p>
    <w:p>
      <w:pPr>
        <w:jc w:val="both"/>
        <w:ind w:left="480" w:hanging="480"/>
        <w:spacing w:after="0" w:line="268" w:lineRule="auto"/>
        <w:tabs>
          <w:tab w:leader="none" w:pos="4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Ubiquitous</w:t>
      </w:r>
      <w:r>
        <w:rPr>
          <w:rFonts w:ascii="Times New Roman" w:cs="Times New Roman" w:eastAsia="Times New Roman" w:hAnsi="Times New Roman"/>
          <w:sz w:val="18"/>
          <w:szCs w:val="18"/>
          <w:color w:val="auto"/>
        </w:rPr>
        <w:t>. Datadog is frequently deployed across a customer’s entire infrastructure, making it ubiquitous. Compared to legacy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systems that are often used only by a few users in an organization’s IT operations team, Datadog is a daily part of the lives of developers, operations engineers and business leaders.</w:t>
      </w:r>
    </w:p>
    <w:p>
      <w:pPr>
        <w:spacing w:after="0" w:line="62" w:lineRule="exact"/>
        <w:rPr>
          <w:rFonts w:ascii="Times New Roman" w:cs="Times New Roman" w:eastAsia="Times New Roman" w:hAnsi="Times New Roman"/>
          <w:sz w:val="18"/>
          <w:szCs w:val="18"/>
          <w:color w:val="auto"/>
        </w:rPr>
      </w:pPr>
    </w:p>
    <w:p>
      <w:pPr>
        <w:jc w:val="both"/>
        <w:ind w:left="480" w:hanging="480"/>
        <w:spacing w:after="0" w:line="259" w:lineRule="auto"/>
        <w:tabs>
          <w:tab w:leader="none" w:pos="4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Integrates with our customers’ complex environments</w:t>
      </w:r>
      <w:r>
        <w:rPr>
          <w:rFonts w:ascii="Times New Roman" w:cs="Times New Roman" w:eastAsia="Times New Roman" w:hAnsi="Times New Roman"/>
          <w:sz w:val="18"/>
          <w:szCs w:val="18"/>
          <w:color w:val="auto"/>
        </w:rPr>
        <w:t>. We enable development and operations teams to harness the full spectrum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SaaS and open source tools. We have over 700 out-of-the-box integrations with technologies to provide significant value to our customers without the need for professional services. Our integrations provide for comprehensive data point aggregation and consistent, up-to-date, high-quality customer experiences across heterogeneous IT environments as they are fully maintained by Datadog.</w:t>
      </w:r>
    </w:p>
    <w:p>
      <w:pPr>
        <w:spacing w:after="0" w:line="71" w:lineRule="exact"/>
        <w:rPr>
          <w:rFonts w:ascii="Times New Roman" w:cs="Times New Roman" w:eastAsia="Times New Roman" w:hAnsi="Times New Roman"/>
          <w:sz w:val="18"/>
          <w:szCs w:val="18"/>
          <w:color w:val="auto"/>
        </w:rPr>
      </w:pPr>
    </w:p>
    <w:p>
      <w:pPr>
        <w:jc w:val="both"/>
        <w:ind w:left="480" w:hanging="480"/>
        <w:spacing w:after="0" w:line="259" w:lineRule="auto"/>
        <w:tabs>
          <w:tab w:leader="none" w:pos="4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Powered by robust machine-learning and artificial intelligence</w:t>
      </w:r>
      <w:r>
        <w:rPr>
          <w:rFonts w:ascii="Times New Roman" w:cs="Times New Roman" w:eastAsia="Times New Roman" w:hAnsi="Times New Roman"/>
          <w:sz w:val="18"/>
          <w:szCs w:val="18"/>
          <w:color w:val="auto"/>
        </w:rPr>
        <w:t>. Our platform ingests massive amounts of data into our unified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warehouse. We develop actionable insights using our advanced analytics capabilities. Our platform's Watchdog capabilities feature artificial intelligence and machine learning that can cross-correlate metrics, traces, logs, sessions, security signals, and other data to identify outliers and notify users of potential anomalies; discover and help resolve issues quickly with automated root cause analysis; augment the troubleshooting workflow with contextual insights; and minimize impact on customers.</w:t>
      </w:r>
    </w:p>
    <w:p>
      <w:pPr>
        <w:spacing w:after="0" w:line="71" w:lineRule="exact"/>
        <w:rPr>
          <w:rFonts w:ascii="Times New Roman" w:cs="Times New Roman" w:eastAsia="Times New Roman" w:hAnsi="Times New Roman"/>
          <w:sz w:val="18"/>
          <w:szCs w:val="18"/>
          <w:color w:val="auto"/>
        </w:rPr>
      </w:pPr>
    </w:p>
    <w:p>
      <w:pPr>
        <w:jc w:val="both"/>
        <w:ind w:left="480" w:hanging="480"/>
        <w:spacing w:after="0" w:line="262" w:lineRule="auto"/>
        <w:tabs>
          <w:tab w:leader="none" w:pos="4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Scalable</w:t>
      </w:r>
      <w:r>
        <w:rPr>
          <w:rFonts w:ascii="Times New Roman" w:cs="Times New Roman" w:eastAsia="Times New Roman" w:hAnsi="Times New Roman"/>
          <w:sz w:val="18"/>
          <w:szCs w:val="18"/>
          <w:color w:val="auto"/>
        </w:rPr>
        <w:t>. Our SaaS platform is highly scalable and is delivered through the cloud. Our platform is massively scalable, currently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monitoring more than tens of trillion events a day and millions of servers and containers at any point in time. We offer secure, easily accessible data retention at full granularity for extensive periods of time, which can provide customers with a complete view of their historical data.</w:t>
      </w:r>
    </w:p>
    <w:p>
      <w:pPr>
        <w:spacing w:after="0" w:line="200" w:lineRule="exact"/>
        <w:rPr>
          <w:sz w:val="20"/>
          <w:szCs w:val="20"/>
          <w:color w:val="auto"/>
        </w:rPr>
      </w:pPr>
    </w:p>
    <w:p>
      <w:pPr>
        <w:spacing w:after="0" w:line="31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99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Key Benefits to Our Customers</w:t>
      </w:r>
    </w:p>
    <w:p>
      <w:pPr>
        <w:spacing w:after="0" w:line="229"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Organizations of all sizes, in all industries, both private and public, purchase our products for a variety of use cases. As of December 31, 2023, we had approximately 27,300 customers in over 150 countries. Our platform provides the following key benefits to our customers:</w:t>
      </w:r>
    </w:p>
    <w:p>
      <w:pPr>
        <w:spacing w:after="0" w:line="50" w:lineRule="exact"/>
        <w:rPr>
          <w:sz w:val="20"/>
          <w:szCs w:val="20"/>
          <w:color w:val="auto"/>
        </w:rPr>
      </w:pPr>
    </w:p>
    <w:p>
      <w:pPr>
        <w:jc w:val="both"/>
        <w:ind w:left="1460" w:hanging="480"/>
        <w:spacing w:after="0" w:line="262" w:lineRule="auto"/>
        <w:tabs>
          <w:tab w:leader="none" w:pos="14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Accelerate digital transformation</w:t>
      </w:r>
      <w:r>
        <w:rPr>
          <w:rFonts w:ascii="Times New Roman" w:cs="Times New Roman" w:eastAsia="Times New Roman" w:hAnsi="Times New Roman"/>
          <w:sz w:val="18"/>
          <w:szCs w:val="18"/>
          <w:color w:val="auto"/>
        </w:rPr>
        <w:t>. We enable customers to take full advantage of the cloud to develop and maintain mission-critical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applications with agility and with confidence in the face of increasing business and time pressure and complexity of underlying infrastructure. As a result, our platform helps accelerate innovation cycles, deliver exceptional digital experiences and optimize business performance.</w:t>
      </w:r>
    </w:p>
    <w:p>
      <w:pPr>
        <w:spacing w:after="0" w:line="68" w:lineRule="exact"/>
        <w:rPr>
          <w:rFonts w:ascii="Times New Roman" w:cs="Times New Roman" w:eastAsia="Times New Roman" w:hAnsi="Times New Roman"/>
          <w:sz w:val="18"/>
          <w:szCs w:val="18"/>
          <w:color w:val="auto"/>
        </w:rPr>
      </w:pPr>
    </w:p>
    <w:p>
      <w:pPr>
        <w:jc w:val="both"/>
        <w:ind w:left="1460" w:hanging="480"/>
        <w:spacing w:after="0" w:line="262" w:lineRule="auto"/>
        <w:tabs>
          <w:tab w:leader="none" w:pos="14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Reduce time to problem detection and resolution</w:t>
      </w:r>
      <w:r>
        <w:rPr>
          <w:rFonts w:ascii="Times New Roman" w:cs="Times New Roman" w:eastAsia="Times New Roman" w:hAnsi="Times New Roman"/>
          <w:sz w:val="18"/>
          <w:szCs w:val="18"/>
          <w:color w:val="auto"/>
        </w:rPr>
        <w:t>. Using infrastructure, APM, log data, and data from integrations in our unified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our customers are able to quickly isolate the root cause of application issues in one place where they otherwise would be required to spend hours trying to investigate using multiple tools. The reduction in mean time to detection and mean time to resolution helps our customers avoid lost revenues and enhance customer experience.</w:t>
      </w:r>
    </w:p>
    <w:p>
      <w:pPr>
        <w:spacing w:after="0" w:line="68" w:lineRule="exact"/>
        <w:rPr>
          <w:rFonts w:ascii="Times New Roman" w:cs="Times New Roman" w:eastAsia="Times New Roman" w:hAnsi="Times New Roman"/>
          <w:sz w:val="18"/>
          <w:szCs w:val="18"/>
          <w:color w:val="auto"/>
        </w:rPr>
      </w:pPr>
    </w:p>
    <w:p>
      <w:pPr>
        <w:jc w:val="both"/>
        <w:ind w:left="1460" w:hanging="480"/>
        <w:spacing w:after="0" w:line="259" w:lineRule="auto"/>
        <w:tabs>
          <w:tab w:leader="none" w:pos="14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Improve agility of development, operations, security and business teams</w:t>
      </w:r>
      <w:r>
        <w:rPr>
          <w:rFonts w:ascii="Times New Roman" w:cs="Times New Roman" w:eastAsia="Times New Roman" w:hAnsi="Times New Roman"/>
          <w:sz w:val="18"/>
          <w:szCs w:val="18"/>
          <w:color w:val="auto"/>
        </w:rPr>
        <w:t>. We eliminate the historical silos of development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teams and provide a platform that enables efficient and agile development through the adoption of DevOps and DevSecOps. Our platform enables development, operations and security teams to collaborate closely with a shared understanding of data and analytics. This helps them develop a joint understanding of application performance and shared insights into the infrastructure supporting the applications.</w:t>
      </w:r>
    </w:p>
    <w:p>
      <w:pPr>
        <w:spacing w:after="0" w:line="71" w:lineRule="exact"/>
        <w:rPr>
          <w:rFonts w:ascii="Times New Roman" w:cs="Times New Roman" w:eastAsia="Times New Roman" w:hAnsi="Times New Roman"/>
          <w:sz w:val="18"/>
          <w:szCs w:val="18"/>
          <w:color w:val="auto"/>
        </w:rPr>
      </w:pPr>
    </w:p>
    <w:p>
      <w:pPr>
        <w:jc w:val="both"/>
        <w:ind w:left="1460" w:hanging="480"/>
        <w:spacing w:after="0" w:line="259" w:lineRule="auto"/>
        <w:tabs>
          <w:tab w:leader="none" w:pos="14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Enable operational efficiency</w:t>
      </w:r>
      <w:r>
        <w:rPr>
          <w:rFonts w:ascii="Times New Roman" w:cs="Times New Roman" w:eastAsia="Times New Roman" w:hAnsi="Times New Roman"/>
          <w:sz w:val="18"/>
          <w:szCs w:val="18"/>
          <w:color w:val="auto"/>
        </w:rPr>
        <w:t>. Our solution is easy to install, which eliminates the need for heavy implementation costs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professional services. We have hundreds of integrations with key technologies, from which our customers can derive significant value, avoiding internal development costs and professional services required to create those integrations. Our customer-centric pricing model is tailored to customers’ desired usage needs. Our platform empowers customers to better understand the operational needs of their applications and IT environments, enabling greater efficiency in resource allocation and spend on cloud infrastructure.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intend to pursue the following growth strategies:</w:t>
      </w:r>
    </w:p>
    <w:p>
      <w:pPr>
        <w:spacing w:after="0" w:line="113" w:lineRule="exact"/>
        <w:rPr>
          <w:sz w:val="20"/>
          <w:szCs w:val="20"/>
          <w:color w:val="auto"/>
        </w:rPr>
      </w:pPr>
    </w:p>
    <w:p>
      <w:pPr>
        <w:jc w:val="both"/>
        <w:ind w:left="1460" w:hanging="480"/>
        <w:spacing w:after="0" w:line="268" w:lineRule="auto"/>
        <w:tabs>
          <w:tab w:leader="none" w:pos="14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our customer base by acquiring new customers</w:t>
      </w:r>
      <w:r>
        <w:rPr>
          <w:rFonts w:ascii="Times New Roman" w:cs="Times New Roman" w:eastAsia="Times New Roman" w:hAnsi="Times New Roman"/>
          <w:sz w:val="18"/>
          <w:szCs w:val="18"/>
          <w:color w:val="auto"/>
        </w:rPr>
        <w:t>. Our market penetration is low. We believe there is a substantial opportunity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continue to grow our customer base. We intend to drive new customer additions by expanding our sales and marketing efforts in the markets we serve.</w:t>
      </w:r>
    </w:p>
    <w:p>
      <w:pPr>
        <w:spacing w:after="0" w:line="62" w:lineRule="exact"/>
        <w:rPr>
          <w:rFonts w:ascii="Times New Roman" w:cs="Times New Roman" w:eastAsia="Times New Roman" w:hAnsi="Times New Roman"/>
          <w:sz w:val="18"/>
          <w:szCs w:val="18"/>
          <w:color w:val="auto"/>
        </w:rPr>
      </w:pPr>
    </w:p>
    <w:p>
      <w:pPr>
        <w:jc w:val="both"/>
        <w:ind w:left="1460" w:hanging="480"/>
        <w:spacing w:after="0" w:line="262" w:lineRule="auto"/>
        <w:tabs>
          <w:tab w:leader="none" w:pos="14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within our existing customer base through broader deployments, new use cases and new product adoption</w:t>
      </w:r>
      <w:r>
        <w:rPr>
          <w:rFonts w:ascii="Times New Roman" w:cs="Times New Roman" w:eastAsia="Times New Roman" w:hAnsi="Times New Roman"/>
          <w:sz w:val="18"/>
          <w:szCs w:val="18"/>
          <w:color w:val="auto"/>
        </w:rPr>
        <w:t>. Our base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27,300 customers as of December 31, 2023 represents a significant opportunity for further sales expansion. We plan to continue to increase sales within our existing customer base through increased usage of our platform and the cross selling of additional products.</w:t>
      </w:r>
    </w:p>
    <w:p>
      <w:pPr>
        <w:spacing w:after="0" w:line="68" w:lineRule="exact"/>
        <w:rPr>
          <w:rFonts w:ascii="Times New Roman" w:cs="Times New Roman" w:eastAsia="Times New Roman" w:hAnsi="Times New Roman"/>
          <w:sz w:val="18"/>
          <w:szCs w:val="18"/>
          <w:color w:val="auto"/>
        </w:rPr>
      </w:pPr>
    </w:p>
    <w:p>
      <w:pPr>
        <w:jc w:val="both"/>
        <w:ind w:left="1460" w:hanging="480"/>
        <w:spacing w:after="0" w:line="255" w:lineRule="auto"/>
        <w:tabs>
          <w:tab w:leader="none" w:pos="14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our technology leadership through continued investment and new products</w:t>
      </w:r>
      <w:r>
        <w:rPr>
          <w:rFonts w:ascii="Times New Roman" w:cs="Times New Roman" w:eastAsia="Times New Roman" w:hAnsi="Times New Roman"/>
          <w:sz w:val="18"/>
          <w:szCs w:val="18"/>
          <w:color w:val="auto"/>
        </w:rPr>
        <w:t>. We intend to invest in expanding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functionality of our current platform and adding capabilities that address new market opportunities. We have a history of continued innovation. For example, in 2017 we launched APM, in 2018 we launched Log Management, in 2019 we launched Digital Experience Monitoring and Network Performance Monitoring, in 2020 we launched Cloud SIEM, Continuous Profiler and Incident Management, in 2021 we launched Cloud Security Posture Management, Cloud Workload Security, Database Monitoring, and Sensitive Data Scanner, in 2022 we launched Application Security Management, Cloud Security Management, Audit Trail, Observability Pipelines, Cloud Cost Management, and Universal Service Monitoring, and in 2023 we launched Application Vulnerability Management, Data Streams Monitoring, and Workflow Automation.</w:t>
      </w:r>
    </w:p>
    <w:p>
      <w:pPr>
        <w:spacing w:after="0" w:line="76" w:lineRule="exact"/>
        <w:rPr>
          <w:rFonts w:ascii="Times New Roman" w:cs="Times New Roman" w:eastAsia="Times New Roman" w:hAnsi="Times New Roman"/>
          <w:sz w:val="18"/>
          <w:szCs w:val="18"/>
          <w:color w:val="auto"/>
        </w:rPr>
      </w:pPr>
    </w:p>
    <w:p>
      <w:pPr>
        <w:ind w:left="1460" w:hanging="480"/>
        <w:spacing w:after="0" w:line="286" w:lineRule="auto"/>
        <w:tabs>
          <w:tab w:leader="none" w:pos="14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our customer base internationally</w:t>
      </w:r>
      <w:r>
        <w:rPr>
          <w:rFonts w:ascii="Times New Roman" w:cs="Times New Roman" w:eastAsia="Times New Roman" w:hAnsi="Times New Roman"/>
          <w:sz w:val="18"/>
          <w:szCs w:val="18"/>
          <w:color w:val="auto"/>
        </w:rPr>
        <w:t>. We believe there is a significant opportunity to continue to expand usage of our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outside of the United States, as international markets have increased the shift of their IT spend to the cloud.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 w:name="page10"/>
    <w:bookmarkEnd w:id="9"/>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Our proprietary platform provides real-time insights into software applications and IT infrastructure performance to enable better user experiences, faster problem detection and resolution and smarter, more impactful business decisions. Our platform is modular and includes infrastructure monitoring, application performance monitoring, log management, user experience monitoring, network performance monitoring, cloud and application security, developer-focused observability, and incident management, as well as a range of shared features such as sophisticated dashboards, advanced analytics, collaboration tools, workflow automation, and alerting capabilities. Many of our products are fully capable stand-alone so clients can choose to use different capabilities incrementally or deploy many at once. When deployed together, our products automatically enable cross-correlation, which in turn allows customers to gain greater levels of visibility across their infrastructure and applications to more rapidly troubleshoot problems.</w:t>
      </w:r>
    </w:p>
    <w:p>
      <w:pPr>
        <w:spacing w:after="0" w:line="18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platform is supported by more than 700 integrations to seamlessly aggregate metrics and events across all of the systems and services that power digital businesses. Our easy-to-use platform is deployed through a self-service installation process. Users can derive value from our platform within minutes without any specialized training or heavy implementation or customization. Customers can easily expand their usage of our platform on a self-serve basis, adding hosts or volumes of data monitored. Our platform is massively scalable currently monitoring more than tens of trillion events a day and millions of servers and containers.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key elements that can be leveraged across our platform:</w:t>
      </w:r>
    </w:p>
    <w:p>
      <w:pPr>
        <w:spacing w:after="0" w:line="113" w:lineRule="exact"/>
        <w:rPr>
          <w:sz w:val="20"/>
          <w:szCs w:val="20"/>
          <w:color w:val="auto"/>
        </w:rPr>
      </w:pPr>
    </w:p>
    <w:p>
      <w:pPr>
        <w:jc w:val="both"/>
        <w:ind w:left="1460" w:hanging="480"/>
        <w:spacing w:after="0" w:line="262"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Single Pane of Glass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ability to provide a unified source of data enables users to access information from a single platform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easily explore multiple data sources. Through a single dashboard and with a common data framework, users are able to access and explore all of the relevant performance data. Users are able to more quickly assess and resolve their issues without having to toggle between multiple products.</w:t>
      </w:r>
    </w:p>
    <w:p>
      <w:pPr>
        <w:spacing w:after="0" w:line="68" w:lineRule="exact"/>
        <w:rPr>
          <w:rFonts w:ascii="Times New Roman" w:cs="Times New Roman" w:eastAsia="Times New Roman" w:hAnsi="Times New Roman"/>
          <w:sz w:val="18"/>
          <w:szCs w:val="18"/>
          <w:color w:val="auto"/>
        </w:rPr>
      </w:pPr>
    </w:p>
    <w:p>
      <w:pPr>
        <w:jc w:val="both"/>
        <w:ind w:left="1460" w:hanging="480"/>
        <w:spacing w:after="0" w:line="262"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Robust, Deep Data Set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client-side collection technology relies on installation of a single agent for metrics, traces, logs,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allowing for a simple, seamless deployment experience for the customers. We ingest massive amounts of complex data and normalize it. The volume of data associated with combining infrastructure, APM and log management provides for a dramatically more robust data set than any of the individual data sources would provide on their own.</w:t>
      </w:r>
    </w:p>
    <w:p>
      <w:pPr>
        <w:spacing w:after="0" w:line="68" w:lineRule="exact"/>
        <w:rPr>
          <w:rFonts w:ascii="Times New Roman" w:cs="Times New Roman" w:eastAsia="Times New Roman" w:hAnsi="Times New Roman"/>
          <w:sz w:val="18"/>
          <w:szCs w:val="18"/>
          <w:color w:val="auto"/>
        </w:rPr>
      </w:pPr>
    </w:p>
    <w:p>
      <w:pPr>
        <w:ind w:left="1460" w:hanging="480"/>
        <w:spacing w:after="0" w:line="286"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SaaS Platform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cloud based multi-tenant SaaS platform allows for real-time ingestion, and analysis of massive amounts of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our customers needing to worry about the provisioning, sizing and capacity of their monitoring platform.</w:t>
      </w:r>
    </w:p>
    <w:p>
      <w:pPr>
        <w:spacing w:after="0" w:line="46" w:lineRule="exact"/>
        <w:rPr>
          <w:rFonts w:ascii="Times New Roman" w:cs="Times New Roman" w:eastAsia="Times New Roman" w:hAnsi="Times New Roman"/>
          <w:sz w:val="18"/>
          <w:szCs w:val="18"/>
          <w:color w:val="auto"/>
        </w:rPr>
      </w:pPr>
    </w:p>
    <w:p>
      <w:pPr>
        <w:jc w:val="both"/>
        <w:ind w:left="1460" w:hanging="480"/>
        <w:spacing w:after="0" w:line="268"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One Data Model. </w:t>
      </w:r>
      <w:r>
        <w:rPr>
          <w:rFonts w:ascii="Times New Roman" w:cs="Times New Roman" w:eastAsia="Times New Roman" w:hAnsi="Times New Roman"/>
          <w:sz w:val="18"/>
          <w:szCs w:val="18"/>
          <w:color w:val="auto"/>
        </w:rPr>
        <w:t>Every piece of data that is ingested by our platform is consistently tagged with metadata regardless of its type.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allows for different kinds of performance data, such as a log event and an application trace, to be queried together, correlated, alerted on, and visualized in a common user interface.</w:t>
      </w:r>
    </w:p>
    <w:p>
      <w:pPr>
        <w:spacing w:after="0" w:line="62" w:lineRule="exact"/>
        <w:rPr>
          <w:rFonts w:ascii="Times New Roman" w:cs="Times New Roman" w:eastAsia="Times New Roman" w:hAnsi="Times New Roman"/>
          <w:sz w:val="18"/>
          <w:szCs w:val="18"/>
          <w:color w:val="auto"/>
        </w:rPr>
      </w:pPr>
    </w:p>
    <w:p>
      <w:pPr>
        <w:ind w:left="1460" w:hanging="480"/>
        <w:spacing w:after="0" w:line="286"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Cross-Correlation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of our solutions are integrated and work cohesively to provide a deep level of context and insight into what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occurring in a customer’s IT environment and power faster troubleshooting.</w:t>
      </w:r>
    </w:p>
    <w:p>
      <w:pPr>
        <w:spacing w:after="0" w:line="46" w:lineRule="exact"/>
        <w:rPr>
          <w:rFonts w:ascii="Times New Roman" w:cs="Times New Roman" w:eastAsia="Times New Roman" w:hAnsi="Times New Roman"/>
          <w:sz w:val="18"/>
          <w:szCs w:val="18"/>
          <w:color w:val="auto"/>
        </w:rPr>
      </w:pPr>
    </w:p>
    <w:p>
      <w:pPr>
        <w:ind w:left="1460" w:hanging="480"/>
        <w:spacing w:after="0" w:line="286"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Out-Of-The-Box, Actionable Insights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moment of installation, our platform provides actionable insights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customizable dashboards, predictive analytics, automated correlations, visualizations and alerting.</w:t>
      </w:r>
    </w:p>
    <w:p>
      <w:pPr>
        <w:spacing w:after="0" w:line="46" w:lineRule="exact"/>
        <w:rPr>
          <w:rFonts w:ascii="Times New Roman" w:cs="Times New Roman" w:eastAsia="Times New Roman" w:hAnsi="Times New Roman"/>
          <w:sz w:val="18"/>
          <w:szCs w:val="18"/>
          <w:color w:val="auto"/>
        </w:rPr>
      </w:pPr>
    </w:p>
    <w:p>
      <w:pPr>
        <w:jc w:val="both"/>
        <w:ind w:left="1460" w:hanging="480"/>
        <w:spacing w:after="0" w:line="262"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 Accuracy Machine-Learning Capabilities and Predictive Capabilities Powered by the Network Effect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multi-tenant cloud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analyzes massive data sets ingested across our customers and their IT environments. It uses machine learning to predict and identify sources of performance or availability issues that customers share due to dependencies on common service providers or third-party services.</w:t>
      </w:r>
    </w:p>
    <w:p>
      <w:pPr>
        <w:spacing w:after="0" w:line="68" w:lineRule="exact"/>
        <w:rPr>
          <w:rFonts w:ascii="Times New Roman" w:cs="Times New Roman" w:eastAsia="Times New Roman" w:hAnsi="Times New Roman"/>
          <w:sz w:val="18"/>
          <w:szCs w:val="18"/>
          <w:color w:val="auto"/>
        </w:rPr>
      </w:pPr>
    </w:p>
    <w:p>
      <w:pPr>
        <w:ind w:left="1460" w:hanging="480"/>
        <w:spacing w:after="0" w:line="286"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700+ Fully Supported Integrations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more than 700 out-of-the-box integrations including public cloud, private cloud, on-premise hardware, databases and third-party software.</w:t>
      </w:r>
    </w:p>
    <w:p>
      <w:pPr>
        <w:spacing w:after="0" w:line="46" w:lineRule="exact"/>
        <w:rPr>
          <w:rFonts w:ascii="Times New Roman" w:cs="Times New Roman" w:eastAsia="Times New Roman" w:hAnsi="Times New Roman"/>
          <w:sz w:val="18"/>
          <w:szCs w:val="18"/>
          <w:color w:val="auto"/>
        </w:rPr>
      </w:pPr>
    </w:p>
    <w:p>
      <w:pPr>
        <w:ind w:left="1460" w:hanging="480"/>
        <w:spacing w:after="0" w:line="286"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Automated Alerts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sophisticated real time alerting capabilities in the platform that detects issues, alerts users, and integrates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their service management systems.</w:t>
      </w:r>
    </w:p>
    <w:p>
      <w:pPr>
        <w:spacing w:after="0" w:line="159" w:lineRule="exact"/>
        <w:rPr>
          <w:sz w:val="20"/>
          <w:szCs w:val="20"/>
          <w:color w:val="auto"/>
        </w:rPr>
      </w:pPr>
    </w:p>
    <w:p>
      <w:pPr>
        <w:ind w:right="20" w:firstLine="972"/>
        <w:spacing w:after="0" w:line="282" w:lineRule="auto"/>
        <w:rPr>
          <w:sz w:val="20"/>
          <w:szCs w:val="20"/>
          <w:color w:val="auto"/>
        </w:rPr>
      </w:pPr>
      <w:r>
        <w:rPr>
          <w:rFonts w:ascii="Times New Roman" w:cs="Times New Roman" w:eastAsia="Times New Roman" w:hAnsi="Times New Roman"/>
          <w:sz w:val="18"/>
          <w:szCs w:val="18"/>
          <w:color w:val="auto"/>
        </w:rPr>
        <w:t>Our platform consists of products that can be used individually or as a unified solution, and includes a Marketplace where customers can access products built by our partners on top of the Datadog platform. Our products include:</w:t>
      </w:r>
    </w:p>
    <w:p>
      <w:pPr>
        <w:spacing w:after="0" w:line="50" w:lineRule="exact"/>
        <w:rPr>
          <w:sz w:val="20"/>
          <w:szCs w:val="20"/>
          <w:color w:val="auto"/>
        </w:rPr>
      </w:pPr>
    </w:p>
    <w:p>
      <w:pPr>
        <w:jc w:val="both"/>
        <w:ind w:left="1460" w:hanging="480"/>
        <w:spacing w:after="0" w:line="262" w:lineRule="auto"/>
        <w:tabs>
          <w:tab w:leader="none" w:pos="14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Infrastructure Monitoring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Infrastructure Monitoring platform provides real-time monitoring of IT infrastructure across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cloud, private cloud and hybrid environments, as well as in containers and serverless architectures, ensuring performance, and availability of applications. All infrastructure data is located in one repository with automatic correlation, regardless of environment size or rate of change, to provide a fulsome view of everything that is occurring across the IT ecosystem.</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 w:name="page11"/>
    <w:bookmarkEnd w:id="10"/>
    <w:p>
      <w:pPr>
        <w:jc w:val="both"/>
        <w:ind w:left="480" w:hanging="480"/>
        <w:spacing w:after="0" w:line="268"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Application Performance Monitoring (APM). </w:t>
      </w:r>
      <w:r>
        <w:rPr>
          <w:rFonts w:ascii="Times New Roman" w:cs="Times New Roman" w:eastAsia="Times New Roman" w:hAnsi="Times New Roman"/>
          <w:sz w:val="18"/>
          <w:szCs w:val="18"/>
          <w:color w:val="auto"/>
        </w:rPr>
        <w:t>APM provides full visibility into the health and functioning of applications regardless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deployment environment. Code-level distributed tracing across microservices, hosts, containers and serverless computing functions allows our customers to gain deep insights into application and code performance.</w:t>
      </w:r>
    </w:p>
    <w:p>
      <w:pPr>
        <w:spacing w:after="0" w:line="62" w:lineRule="exact"/>
        <w:rPr>
          <w:rFonts w:ascii="Times New Roman" w:cs="Times New Roman" w:eastAsia="Times New Roman" w:hAnsi="Times New Roman"/>
          <w:sz w:val="18"/>
          <w:szCs w:val="18"/>
          <w:color w:val="auto"/>
        </w:rPr>
      </w:pPr>
    </w:p>
    <w:p>
      <w:pPr>
        <w:jc w:val="both"/>
        <w:ind w:left="480" w:hanging="480"/>
        <w:spacing w:after="0" w:line="262"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Log Management. </w:t>
      </w:r>
      <w:r>
        <w:rPr>
          <w:rFonts w:ascii="Times New Roman" w:cs="Times New Roman" w:eastAsia="Times New Roman" w:hAnsi="Times New Roman"/>
          <w:sz w:val="18"/>
          <w:szCs w:val="18"/>
          <w:color w:val="auto"/>
        </w:rPr>
        <w:t>Log Management for applications, systems and cloud platforms ingests data, creates indexes and enables querying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logs with visualizations and alerting to provide immediate insight into any performance issues. Logging Without Limits</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decouples the cost of log ingestion from processing, allowing customers to cost effectively collect a massive volume of logs and selectively process those they need to monitor.</w:t>
      </w:r>
    </w:p>
    <w:p>
      <w:pPr>
        <w:spacing w:after="0" w:line="68" w:lineRule="exact"/>
        <w:rPr>
          <w:rFonts w:ascii="Times New Roman" w:cs="Times New Roman" w:eastAsia="Times New Roman" w:hAnsi="Times New Roman"/>
          <w:sz w:val="18"/>
          <w:szCs w:val="18"/>
          <w:color w:val="auto"/>
        </w:rPr>
      </w:pPr>
    </w:p>
    <w:p>
      <w:pPr>
        <w:jc w:val="both"/>
        <w:ind w:left="480" w:hanging="480"/>
        <w:spacing w:after="0" w:line="257"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Digital Experience Monitoring. </w:t>
      </w:r>
      <w:r>
        <w:rPr>
          <w:rFonts w:ascii="Times New Roman" w:cs="Times New Roman" w:eastAsia="Times New Roman" w:hAnsi="Times New Roman"/>
          <w:sz w:val="18"/>
          <w:szCs w:val="18"/>
          <w:color w:val="auto"/>
        </w:rPr>
        <w:t>Digital Experience Monitoring brings visibility up the stack to monitor the digital experience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user and consists of Synthetics, Real User Monitoring (RUM), and Session Replay. Synthetics provides user-experience monitoring of applications and API endpoints via simulated AI-powered user requests to proactively track application performance and ensure uptime. RUM provides analysis and visualization of the performance of web browser and mobile applications as experienced by all actual users. Session Replay captures and visually replays users' web browser and mobile application experiences to help identify errors, application usage patterns, and design issues.</w:t>
      </w:r>
    </w:p>
    <w:p>
      <w:pPr>
        <w:spacing w:after="0" w:line="74" w:lineRule="exact"/>
        <w:rPr>
          <w:rFonts w:ascii="Times New Roman" w:cs="Times New Roman" w:eastAsia="Times New Roman" w:hAnsi="Times New Roman"/>
          <w:sz w:val="18"/>
          <w:szCs w:val="18"/>
          <w:color w:val="auto"/>
        </w:rPr>
      </w:pPr>
    </w:p>
    <w:p>
      <w:pPr>
        <w:jc w:val="both"/>
        <w:ind w:left="480" w:hanging="480"/>
        <w:spacing w:after="0" w:line="268"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Continuous Profiler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Continuous Profiler measures code level performance in any environment through an always-on, and 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overhead solution. This allows customers to quickly identify and optimize the slowest and most resource-consuming parts in application code in order to improve mean time to resolution, reduce application latency, and lower cloud costs.</w:t>
      </w:r>
    </w:p>
    <w:p>
      <w:pPr>
        <w:spacing w:after="0" w:line="62" w:lineRule="exact"/>
        <w:rPr>
          <w:rFonts w:ascii="Times New Roman" w:cs="Times New Roman" w:eastAsia="Times New Roman" w:hAnsi="Times New Roman"/>
          <w:sz w:val="18"/>
          <w:szCs w:val="18"/>
          <w:color w:val="auto"/>
        </w:rPr>
      </w:pPr>
    </w:p>
    <w:p>
      <w:pPr>
        <w:jc w:val="both"/>
        <w:ind w:left="480" w:hanging="480"/>
        <w:spacing w:after="0" w:line="262"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Database Monitoring. </w:t>
      </w:r>
      <w:r>
        <w:rPr>
          <w:rFonts w:ascii="Times New Roman" w:cs="Times New Roman" w:eastAsia="Times New Roman" w:hAnsi="Times New Roman"/>
          <w:sz w:val="18"/>
          <w:szCs w:val="18"/>
          <w:color w:val="auto"/>
        </w:rPr>
        <w:t>Database Monitoring allows customers to view query metrics and explain plans from all of their databases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single place. With Database Monitoring, they can quickly pinpoint costly and slow queries and drill into precise execution details to address bottlenecks. Additionally, query, host, and application metric correlation makes it easy to identify and understand the impact of resource constraints on database performance.</w:t>
      </w:r>
    </w:p>
    <w:p>
      <w:pPr>
        <w:spacing w:after="0" w:line="68" w:lineRule="exact"/>
        <w:rPr>
          <w:rFonts w:ascii="Times New Roman" w:cs="Times New Roman" w:eastAsia="Times New Roman" w:hAnsi="Times New Roman"/>
          <w:sz w:val="18"/>
          <w:szCs w:val="18"/>
          <w:color w:val="auto"/>
        </w:rPr>
      </w:pPr>
    </w:p>
    <w:p>
      <w:pPr>
        <w:jc w:val="both"/>
        <w:ind w:left="480" w:hanging="480"/>
        <w:spacing w:after="0" w:line="268"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Streams Monitoring. </w:t>
      </w:r>
      <w:r>
        <w:rPr>
          <w:rFonts w:ascii="Times New Roman" w:cs="Times New Roman" w:eastAsia="Times New Roman" w:hAnsi="Times New Roman"/>
          <w:sz w:val="18"/>
          <w:szCs w:val="18"/>
          <w:color w:val="auto"/>
        </w:rPr>
        <w:t>Data Streams Monitoring (DSM) enables customers to easily track and improve the performance of event-driven applications. DSM automatically maps dependencies among services and queues to help measure end-to-end latencies, locate faulty queues or services and their owners, and remediate backed-up messages.</w:t>
      </w:r>
    </w:p>
    <w:p>
      <w:pPr>
        <w:spacing w:after="0" w:line="62" w:lineRule="exact"/>
        <w:rPr>
          <w:rFonts w:ascii="Times New Roman" w:cs="Times New Roman" w:eastAsia="Times New Roman" w:hAnsi="Times New Roman"/>
          <w:sz w:val="18"/>
          <w:szCs w:val="18"/>
          <w:color w:val="auto"/>
        </w:rPr>
      </w:pPr>
    </w:p>
    <w:p>
      <w:pPr>
        <w:ind w:left="480" w:hanging="480"/>
        <w:spacing w:after="0" w:line="286" w:lineRule="auto"/>
        <w:tabs>
          <w:tab w:leader="none" w:pos="47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Universal Service Monitoring. </w:t>
      </w:r>
      <w:r>
        <w:rPr>
          <w:rFonts w:ascii="Times New Roman" w:cs="Times New Roman" w:eastAsia="Times New Roman" w:hAnsi="Times New Roman"/>
          <w:sz w:val="18"/>
          <w:szCs w:val="18"/>
          <w:color w:val="auto"/>
        </w:rPr>
        <w:t>Universal Service Monitoring automatically detects all microservices across an organization's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 and provides instant visibility into their health and dependencies—all without any code changes.</w:t>
      </w:r>
    </w:p>
    <w:p>
      <w:pPr>
        <w:spacing w:after="0" w:line="46" w:lineRule="exact"/>
        <w:rPr>
          <w:rFonts w:ascii="Times New Roman" w:cs="Times New Roman" w:eastAsia="Times New Roman" w:hAnsi="Times New Roman"/>
          <w:sz w:val="18"/>
          <w:szCs w:val="18"/>
          <w:b w:val="1"/>
          <w:bCs w:val="1"/>
          <w:i w:val="1"/>
          <w:iCs w:val="1"/>
          <w:color w:val="auto"/>
        </w:rPr>
      </w:pPr>
    </w:p>
    <w:p>
      <w:pPr>
        <w:jc w:val="both"/>
        <w:ind w:left="480" w:hanging="480"/>
        <w:spacing w:after="0" w:line="262"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Network Monitoring. </w:t>
      </w:r>
      <w:r>
        <w:rPr>
          <w:rFonts w:ascii="Times New Roman" w:cs="Times New Roman" w:eastAsia="Times New Roman" w:hAnsi="Times New Roman"/>
          <w:sz w:val="18"/>
          <w:szCs w:val="18"/>
          <w:color w:val="auto"/>
        </w:rPr>
        <w:t>Network Performance Monitoring enables the analysis and visualization of the flow of network traffic in on-premise, cloud-based or hybrid environments, helping customers determine when the network is the root cause of an issue. Network Device Monitoring seamlessly consolidates monitoring and troubleshooting of network hardware, such as routers, firewalls, switches, load balancers, and other network devices.</w:t>
      </w:r>
    </w:p>
    <w:p>
      <w:pPr>
        <w:spacing w:after="0" w:line="68" w:lineRule="exact"/>
        <w:rPr>
          <w:rFonts w:ascii="Times New Roman" w:cs="Times New Roman" w:eastAsia="Times New Roman" w:hAnsi="Times New Roman"/>
          <w:sz w:val="18"/>
          <w:szCs w:val="18"/>
          <w:color w:val="auto"/>
        </w:rPr>
      </w:pPr>
    </w:p>
    <w:p>
      <w:pPr>
        <w:jc w:val="both"/>
        <w:ind w:left="480" w:right="20" w:hanging="480"/>
        <w:spacing w:after="0" w:line="268"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Incident Management. </w:t>
      </w:r>
      <w:r>
        <w:rPr>
          <w:rFonts w:ascii="Times New Roman" w:cs="Times New Roman" w:eastAsia="Times New Roman" w:hAnsi="Times New Roman"/>
          <w:sz w:val="18"/>
          <w:szCs w:val="18"/>
          <w:color w:val="auto"/>
        </w:rPr>
        <w:t>Incident Management allows users to declare incidents, investigate root cause and dependencies, collaborate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around a shared view of the incident, follow to resolution, and auto-generate post-mortem documentations, all within the Datadog platform.</w:t>
      </w:r>
    </w:p>
    <w:p>
      <w:pPr>
        <w:spacing w:after="0" w:line="62" w:lineRule="exact"/>
        <w:rPr>
          <w:rFonts w:ascii="Times New Roman" w:cs="Times New Roman" w:eastAsia="Times New Roman" w:hAnsi="Times New Roman"/>
          <w:sz w:val="18"/>
          <w:szCs w:val="18"/>
          <w:color w:val="auto"/>
        </w:rPr>
      </w:pPr>
    </w:p>
    <w:p>
      <w:pPr>
        <w:jc w:val="both"/>
        <w:ind w:left="480" w:hanging="480"/>
        <w:spacing w:after="0" w:line="268"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Workflow Automation. </w:t>
      </w:r>
      <w:r>
        <w:rPr>
          <w:rFonts w:ascii="Times New Roman" w:cs="Times New Roman" w:eastAsia="Times New Roman" w:hAnsi="Times New Roman"/>
          <w:sz w:val="18"/>
          <w:szCs w:val="18"/>
          <w:color w:val="auto"/>
        </w:rPr>
        <w:t>Workflow Automation enables customers to easily automate and orchestrate processes across their tech stacks,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hundreds of out-of-the-box actions and dozens of customizable blueprints. Workflow Automation enables automated actions based on observability insights for faster incident remediation, proactive prevention, and improved security.</w:t>
      </w:r>
    </w:p>
    <w:p>
      <w:pPr>
        <w:spacing w:after="0" w:line="62" w:lineRule="exact"/>
        <w:rPr>
          <w:rFonts w:ascii="Times New Roman" w:cs="Times New Roman" w:eastAsia="Times New Roman" w:hAnsi="Times New Roman"/>
          <w:sz w:val="18"/>
          <w:szCs w:val="18"/>
          <w:color w:val="auto"/>
        </w:rPr>
      </w:pPr>
    </w:p>
    <w:p>
      <w:pPr>
        <w:ind w:left="480" w:hanging="480"/>
        <w:spacing w:after="0" w:line="286" w:lineRule="auto"/>
        <w:tabs>
          <w:tab w:leader="none" w:pos="47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Observability Pipelines. </w:t>
      </w:r>
      <w:r>
        <w:rPr>
          <w:rFonts w:ascii="Times New Roman" w:cs="Times New Roman" w:eastAsia="Times New Roman" w:hAnsi="Times New Roman"/>
          <w:sz w:val="18"/>
          <w:szCs w:val="18"/>
          <w:color w:val="auto"/>
        </w:rPr>
        <w:t>Observability Pipelines enables IT and security teams to cost-effectively collect, transform, and route logs,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metrics, and traces from any source to any destination at scale.</w:t>
      </w:r>
    </w:p>
    <w:p>
      <w:pPr>
        <w:spacing w:after="0" w:line="46" w:lineRule="exact"/>
        <w:rPr>
          <w:rFonts w:ascii="Times New Roman" w:cs="Times New Roman" w:eastAsia="Times New Roman" w:hAnsi="Times New Roman"/>
          <w:sz w:val="18"/>
          <w:szCs w:val="18"/>
          <w:b w:val="1"/>
          <w:bCs w:val="1"/>
          <w:i w:val="1"/>
          <w:iCs w:val="1"/>
          <w:color w:val="auto"/>
        </w:rPr>
      </w:pPr>
    </w:p>
    <w:p>
      <w:pPr>
        <w:jc w:val="both"/>
        <w:ind w:left="480" w:hanging="480"/>
        <w:spacing w:after="0" w:line="268" w:lineRule="auto"/>
        <w:tabs>
          <w:tab w:leader="none" w:pos="47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Cloud Cost Management. </w:t>
      </w:r>
      <w:r>
        <w:rPr>
          <w:rFonts w:ascii="Times New Roman" w:cs="Times New Roman" w:eastAsia="Times New Roman" w:hAnsi="Times New Roman"/>
          <w:sz w:val="18"/>
          <w:szCs w:val="18"/>
          <w:color w:val="auto"/>
        </w:rPr>
        <w:t>Cloud Cost Management provides granular visibility into costs across cloud resources, automatically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surfacing changes in cloud costs and visualizing cost data alongside metrics, traces, logs, and other data, and making it easy to find and fix cost inefficiencies.</w:t>
      </w:r>
    </w:p>
    <w:p>
      <w:pPr>
        <w:spacing w:after="0" w:line="62" w:lineRule="exact"/>
        <w:rPr>
          <w:rFonts w:ascii="Times New Roman" w:cs="Times New Roman" w:eastAsia="Times New Roman" w:hAnsi="Times New Roman"/>
          <w:sz w:val="18"/>
          <w:szCs w:val="18"/>
          <w:b w:val="1"/>
          <w:bCs w:val="1"/>
          <w:i w:val="1"/>
          <w:iCs w:val="1"/>
          <w:color w:val="auto"/>
        </w:rPr>
      </w:pPr>
    </w:p>
    <w:p>
      <w:pPr>
        <w:jc w:val="both"/>
        <w:ind w:left="480" w:hanging="480"/>
        <w:spacing w:after="0" w:line="262" w:lineRule="auto"/>
        <w:tabs>
          <w:tab w:leader="none" w:pos="47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Cloud Security Management. </w:t>
      </w:r>
      <w:r>
        <w:rPr>
          <w:rFonts w:ascii="Times New Roman" w:cs="Times New Roman" w:eastAsia="Times New Roman" w:hAnsi="Times New Roman"/>
          <w:sz w:val="18"/>
          <w:szCs w:val="18"/>
          <w:color w:val="auto"/>
        </w:rPr>
        <w:t>Cloud Security Management delivers vulnerability management, automated compliance checks,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continuous posture management, real-time threat detection, identity risk assessments, and a comprehensive resource inventory across the entire cloud infrastructure, all in a unified platform for seamless collaboration and faster remediation. With a unified platform and real-time observability context,</w:t>
      </w:r>
    </w:p>
    <w:p>
      <w:pPr>
        <w:spacing w:after="0" w:line="200" w:lineRule="exact"/>
        <w:rPr>
          <w:sz w:val="20"/>
          <w:szCs w:val="20"/>
          <w:color w:val="auto"/>
        </w:rPr>
      </w:pPr>
    </w:p>
    <w:p>
      <w:pPr>
        <w:spacing w:after="0" w:line="31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995" w:right="339" w:bottom="1440" w:gutter="0" w:footer="0" w:header="0"/>
        </w:sectPr>
      </w:pPr>
    </w:p>
    <w:bookmarkStart w:id="11" w:name="page12"/>
    <w:bookmarkEnd w:id="11"/>
    <w:p>
      <w:pPr>
        <w:ind w:left="1460"/>
        <w:spacing w:after="0"/>
        <w:rPr>
          <w:sz w:val="20"/>
          <w:szCs w:val="20"/>
          <w:color w:val="auto"/>
        </w:rPr>
      </w:pPr>
      <w:r>
        <w:rPr>
          <w:rFonts w:ascii="Times New Roman" w:cs="Times New Roman" w:eastAsia="Times New Roman" w:hAnsi="Times New Roman"/>
          <w:sz w:val="18"/>
          <w:szCs w:val="18"/>
          <w:color w:val="auto"/>
        </w:rPr>
        <w:t>DevOps and security teams can quickly remediate issues and continuously improve their organization's security posture.</w:t>
      </w:r>
    </w:p>
    <w:p>
      <w:pPr>
        <w:spacing w:after="0" w:line="113" w:lineRule="exact"/>
        <w:rPr>
          <w:sz w:val="20"/>
          <w:szCs w:val="20"/>
          <w:color w:val="auto"/>
        </w:rPr>
      </w:pPr>
    </w:p>
    <w:p>
      <w:pPr>
        <w:jc w:val="both"/>
        <w:ind w:left="1460" w:hanging="480"/>
        <w:spacing w:after="0" w:line="259" w:lineRule="auto"/>
        <w:tabs>
          <w:tab w:leader="none" w:pos="1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Application Security Management. </w:t>
      </w:r>
      <w:r>
        <w:rPr>
          <w:rFonts w:ascii="Times New Roman" w:cs="Times New Roman" w:eastAsia="Times New Roman" w:hAnsi="Times New Roman"/>
          <w:sz w:val="18"/>
          <w:szCs w:val="18"/>
          <w:color w:val="auto"/>
        </w:rPr>
        <w:t>Application Security Management (ASM) delivers continuous, real-time visibility into attacks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 customers' web applications, serverless applications, and APIs. ASM is automatically integrated with APM distributed traces and code-level context, empowering Dev, Ops, and security teams to build and run secure applications in production. Application Vulnerability Management continuously monitors customers' production environments for both code-level and open-source vulnerabilities.</w:t>
      </w:r>
    </w:p>
    <w:p>
      <w:pPr>
        <w:spacing w:after="0" w:line="71" w:lineRule="exact"/>
        <w:rPr>
          <w:rFonts w:ascii="Times New Roman" w:cs="Times New Roman" w:eastAsia="Times New Roman" w:hAnsi="Times New Roman"/>
          <w:sz w:val="18"/>
          <w:szCs w:val="18"/>
          <w:color w:val="auto"/>
        </w:rPr>
      </w:pPr>
    </w:p>
    <w:p>
      <w:pPr>
        <w:jc w:val="both"/>
        <w:ind w:left="1460" w:hanging="480"/>
        <w:spacing w:after="0" w:line="268" w:lineRule="auto"/>
        <w:tabs>
          <w:tab w:leader="none" w:pos="1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Cloud SIEM. </w:t>
      </w:r>
      <w:r>
        <w:rPr>
          <w:rFonts w:ascii="Times New Roman" w:cs="Times New Roman" w:eastAsia="Times New Roman" w:hAnsi="Times New Roman"/>
          <w:sz w:val="18"/>
          <w:szCs w:val="18"/>
          <w:color w:val="auto"/>
        </w:rPr>
        <w:t>Cloud SIEM (Security Information and Event Management) allows customers to detect threats in real time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investigate security signals across metrics, traces, logs, and other data. It provides the engineering organization, including Dev, Ops, and security teams, visibility into common data sources, in order to better operationalize IT security.</w:t>
      </w:r>
    </w:p>
    <w:p>
      <w:pPr>
        <w:spacing w:after="0" w:line="62" w:lineRule="exact"/>
        <w:rPr>
          <w:rFonts w:ascii="Times New Roman" w:cs="Times New Roman" w:eastAsia="Times New Roman" w:hAnsi="Times New Roman"/>
          <w:sz w:val="18"/>
          <w:szCs w:val="18"/>
          <w:color w:val="auto"/>
        </w:rPr>
      </w:pPr>
    </w:p>
    <w:p>
      <w:pPr>
        <w:jc w:val="both"/>
        <w:ind w:left="1460" w:hanging="480"/>
        <w:spacing w:after="0" w:line="268" w:lineRule="auto"/>
        <w:tabs>
          <w:tab w:leader="none" w:pos="1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Sensitive Data Scanner. </w:t>
      </w:r>
      <w:r>
        <w:rPr>
          <w:rFonts w:ascii="Times New Roman" w:cs="Times New Roman" w:eastAsia="Times New Roman" w:hAnsi="Times New Roman"/>
          <w:sz w:val="18"/>
          <w:szCs w:val="18"/>
          <w:color w:val="auto"/>
        </w:rPr>
        <w:t>Sensitive Data Scanner helps businesses meet compliance goals by discovering, classifying, and redacting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sensitive data, in real-time and at scale. Datadog scans for patterns of sensitive data upon ingestion and then hashes or redacts it, following built-in or user-defined rules to support compliance with GDPR, HIPAA, CCPA, and more.</w:t>
      </w:r>
    </w:p>
    <w:p>
      <w:pPr>
        <w:spacing w:after="0" w:line="62" w:lineRule="exact"/>
        <w:rPr>
          <w:rFonts w:ascii="Times New Roman" w:cs="Times New Roman" w:eastAsia="Times New Roman" w:hAnsi="Times New Roman"/>
          <w:sz w:val="18"/>
          <w:szCs w:val="18"/>
          <w:color w:val="auto"/>
        </w:rPr>
      </w:pPr>
    </w:p>
    <w:p>
      <w:pPr>
        <w:jc w:val="both"/>
        <w:ind w:left="1460" w:hanging="480"/>
        <w:spacing w:after="0" w:line="262" w:lineRule="auto"/>
        <w:tabs>
          <w:tab w:leader="none" w:pos="14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CI Visibility. </w:t>
      </w:r>
      <w:r>
        <w:rPr>
          <w:rFonts w:ascii="Times New Roman" w:cs="Times New Roman" w:eastAsia="Times New Roman" w:hAnsi="Times New Roman"/>
          <w:sz w:val="18"/>
          <w:szCs w:val="18"/>
          <w:color w:val="auto"/>
        </w:rPr>
        <w:t>CI, or Continuous Integration, Visibility provides deep insight into the health and performance of customers' CI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 Pipeline Visibility allows platform engineers to detect and find the root cause of slow or failing pipelines, builds, and jobs across all their CI providers in a single place. Test Visibility auto-instruments every test service to help developers detect and resolve slow, failing, and flaky tests.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Our sales team is segmented into four revenue-generating areas: an enterprise sales team that sells to large businesses; a high velocity inside sales team that is focused on acquiring new customers; a customer success team that handles new customer on-boarding and expansions in existing customers; and a partner team that works with resellers, system integrators, referral partners and managed service providers. Each of these teams is further split regionally for geographic coverage across the Americas, Asia-Pacific, or APAC, and Europe, the Middle East and Africa, or EMEA, regions. The sales teams work with marketing to actively pursue leads generated from marketing programs and help take prospective customers through an evaluation and purchase process.</w:t>
      </w:r>
    </w:p>
    <w:p>
      <w:pPr>
        <w:spacing w:after="0" w:line="18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We focus our multi-touch marketing efforts on the strength of our product innovation, the value we provide, and our domain expertise. We target the development and IT operations community through our marketing activities, using diverse tactics to connect with prospective customers, such as content marketing, email marketing, events, digital advertising, social media, public relations, partner marketing and community initiatives. We offer prospective customers free trials to help them understand the power of our platform. We also host and present at regional, national, global and virtual events to engage both customers and prospects, deliver product training, share best practices and foster community.</w:t>
      </w:r>
    </w:p>
    <w:p>
      <w:pPr>
        <w:spacing w:after="0" w:line="18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As of December 31, 2023, we had approximately 2,400 employees in our sales and marketing organization, including sales development, field sales, sales engineering, technical solutions, business development, sales operations, sales strategy, customer success and marketing personnel. We intend to continue to invest in our sales and marketing capabilities to capitalize on our market opportunity.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Our research and development organization is responsible for the design, development, testing and delivery of new technologies, features and integrations of our platform, as well as the continued improvement and iteration of our existing products. It is also responsible for operating and scaling our platform including the underlying cloud infrastructure. Our research and development investments seek to drive core technology innovation and bring new products to market. Research and development employees are located primarily in our New York and Paris offices, as well as remotely distributed.</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Our research and development team consists of our software engineering, product management, development and site reliability engineering teams. As of December 31, 2023, we had approximately 2,400 employees in our research and development organization. We intend to continue to invest in our research and development capabilities to extend our platform and products.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29"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The worldwide monitoring and analytics market is and has been highly competitive for decades and is rapidly evolving. We compete on the basis of a number of factors, including:</w:t>
      </w:r>
    </w:p>
    <w:p>
      <w:pPr>
        <w:spacing w:after="0" w:line="54" w:lineRule="exact"/>
        <w:rPr>
          <w:sz w:val="20"/>
          <w:szCs w:val="20"/>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unified, real-time observability of IT environments;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in dynamic and elastic environments;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extensibility across the enterprise, including development, operations and business users;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propensity to enable collaboration between development, operations and business users;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any combination of public clouds, private clouds, on-premise and multi-cloud hybrids;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advanced analytics and machine learning;</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implementation and use;</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offering and key technology integrations;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security, scalability and reliability;</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and customer satisfaction;</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ind w:right="20" w:firstLine="972"/>
        <w:spacing w:after="0" w:line="282" w:lineRule="auto"/>
        <w:rPr>
          <w:sz w:val="20"/>
          <w:szCs w:val="20"/>
          <w:color w:val="auto"/>
        </w:rPr>
      </w:pPr>
      <w:r>
        <w:rPr>
          <w:rFonts w:ascii="Times New Roman" w:cs="Times New Roman" w:eastAsia="Times New Roman" w:hAnsi="Times New Roman"/>
          <w:sz w:val="18"/>
          <w:szCs w:val="18"/>
          <w:color w:val="auto"/>
        </w:rPr>
        <w:t>Our unified platform combines functionality from numerous traditional product categories, and hence we compete in each of these categories with different vendors:</w:t>
      </w:r>
    </w:p>
    <w:p>
      <w:pPr>
        <w:spacing w:after="0" w:line="54" w:lineRule="exact"/>
        <w:rPr>
          <w:sz w:val="20"/>
          <w:szCs w:val="20"/>
          <w:color w:val="auto"/>
        </w:rPr>
      </w:pPr>
    </w:p>
    <w:p>
      <w:pPr>
        <w:ind w:left="1460" w:hanging="480"/>
        <w:spacing w:after="0" w:line="282" w:lineRule="auto"/>
        <w:tabs>
          <w:tab w:leader="none" w:pos="1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on-premise infrastructure monitoring, we compete with diversified technology companies and systems management vendors including IBM, Microsoft Corporation, and SolarWinds Corporation.</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APM, we compete with Cisco Systems, Inc., New Relic, Inc. and Dynatrace Software Inc.</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Log Management, we compete with Splunk Inc. and Elastic N.V.</w:t>
      </w:r>
    </w:p>
    <w:p>
      <w:pPr>
        <w:spacing w:after="0" w:line="11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Cloud monitoring, we compete with native solutions from cloud providers such as Amazon Web Services, or AWS, Microsoft Azure, and Google Cloud Platform, or GCP.</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Additionally, we compete with home-grown and open-source technologies across the categories described above. We believe that we compete favorably with respect to the factors listed above. However, many of our competitors have greater financial, technical and other resources, greater brand recognition, larger sales forces and marketing budgets, broader distribution networks, more diverse product and services offerings and larger and more mature intellectual property portfolios. They may be able to leverage these resources to gain business in a manner that discourages customers from purchasing our offerings. Furthermore, we expect that our industry will continue to attract new companies, including smaller emerging companies, which could introduce new offerings. We may also expand into new markets and encounter additional competitors in such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Headcount</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As of December 31, 2023, we had approximately 5,200 employees operating across 33 countries. Approximately 39% of our full-time employees as of that date were located outside of the United States, 36% of whom were located in France. In countries in which we operate, such as France,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Culture and Engagement</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strive to create a culture that promotes a healthy work-life balance, career growth, low drama, and a friendly office environment. As part of our commitment to our employees, we periodically assess our culture by conducting global engagement surveys to gain a better understanding of what is important to our employees. The areas in which we have been rated most favorable include employee pride and belief in Datadog's mission and purpose and alignment on how their work supports Datadog's goals and priorities.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Datadog promotes professional growth by offering individual- and team-specific training on an ongoing basis, as well as a wide range of learning programs delivered by our global Talent Development team. We also provide robust manager training that shares effective tools and frameworks around recruiting, managing, and developing team members.</w:t>
      </w:r>
    </w:p>
    <w:p>
      <w:pPr>
        <w:spacing w:after="0" w:line="176"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We continually invest in our employees’ career growth and provide employees with a wide range of development opportunities, including face-to-face, virtual, social, and self-directed learning and mentoring.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offer industry competitive wages and benefits and are committed to maintaining a workplace environment that promotes employee productivity and satisfaction. We believe our employees should have the support they need to maintain a strong work/life balance, grow personally and professionally, and save for their future. While the philosophy around our benefits is the same worldwide, specific benefits vary regionally due to local regulations and preferences.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At Datadog, diversity means making a conscious effort to reflect the many experiences and identities of the world outside, while treating each other with fairness and without bias. Inclusion is the choice we make every day to foster an environment where people of all backgrounds not only belong but excel, so that together, as a company, we can succeed.</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1D1C1D"/>
        </w:rPr>
        <w:t>We are committed to creating inclusive work spaces for employees with diverse backgrounds and experiences. Our diversity and inclusion programming includes a focus on training workshops and resources that increase education, promote moments of celebration, support belonging, and help our employees feel welcome and respected.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Intellectual property rights are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including our proprietary technology, software, know-how and brand. We use open source software in our services. Our API libraries and agent used by customers to send data to our proprietary platform are licensed by us on an open source basis.</w:t>
      </w:r>
    </w:p>
    <w:p>
      <w:pPr>
        <w:spacing w:after="0" w:line="183"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As of December 31, 2023, we own thirty-seven patents globally, five patent applications pending for examination in the United States, three pending PCT applications, and six pending foreign patent applications. The pending U.S. patent applications, if issued, would be scheduled to expire between 2039 and 2043. Despite our pending patent applications, there can be no assurance that our patent applications will result in issued patents. As of December 31, 2023, we own seven registered trademarks in the United States and one hundred sixteen registered trademarks in various non-U.S. jurisdictions. However, as we have expanded internationally, we have been unable to register or obtain the exclusive right to use the Datadog trademark in certain jurisdictions, and as we continue to expand may face similar issues in other jurisdictions.</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proprietary platform are more essential to establishing and maintaining our technology leadership position.</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We control access to and use of our proprietary technology and other confidential information through the use of internal and external controls, including contractual protections with employees, contractors, customers and partners. We require our employees, consultants and other third parties to enter into confidentiality and proprietary rights agreements and we</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control and monitor access to our software, internal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 See the section titled “Risk Factors” for a more comprehensive description of risks related to our intellectual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June 2010. Our principal executive offices are located at 620 8th Avenue, 45th Floor, New York, New York 10018, and our telephone number is (866) 329-4466. Our website address is www.datadog.com. Information contained on, or that can be accessed through, our website is not incorporated by reference into this Annual Report on Form 10-K, and you should not consider information on our website to be part of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Current Reports on Form 8-K, and amendments to reports filed pursuant to Sections 13(a) and 15(d) of the Securities Exchange Act of 1934, as amended, or the Exchange Act, are filed with the SEC. Such reports and other information filed by us with the SEC are available free of charge on our website at www.investors.datadoghq.com when such reports are available on the SEC’s website. The SEC maintains an internet site that contains reports, proxy and information statements and other information regarding issuers that file electronically with the SEC at www.sec.gov. The information contained on the websites referenced in this Annual Report on Form 10-K is not incorporated by reference into this filing. Further, our references to website URLs are intended to be inactive textual references only.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Growth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59"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financial and credit market fluctuations, inflation, rising interest rates, international trade relations, political turmoil, natural catastrophes, outbreaks of contagious diseases, such as the COVID-19 pandemic, warfare and terrorist attacks on the United States, Europe, the Asia Pacific region or elsewhere, such as the conflict in the Middle East, could cause a decrease in business investments, including spending on information technology, disrupt the timing and cadence of key industry events, and negatively affect the growth of our business and our results of operations. For example, the COVID-19 pandemic adversely affected workforces, economies and financial markets globally, leading to a reduction in the ability of, or the inability of, customers, partners, suppliers, vendors or other parties to meet their contractual obligations, and for a period of time, a reduction in customer spending on technology, and such conditions may reoccur in the future. The war in Ukraine and the related political and economic responses imposed on Russia such as sanctions, may also exacerbate these issues and trends especially in Europe. More recently, in response to persistently high inflation, the U.S. Federal Reserve has increased interest rates, which may reduce economic growth and cause companies to decrease spending on information technology.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Our competitors, many of which are larger and have greater financial resources than we do, may respond to challenging market conditions by lowering prices in an attempt to attract our</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customers and may be less dependent on key industry events to generate sales for their products.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5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Our revenue was $2,128.4 million, $1,675.1 million and $1,028.8 million for the years ended December 31, 2023, 2022 and 2021,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72" w:lineRule="exact"/>
        <w:rPr>
          <w:sz w:val="20"/>
          <w:szCs w:val="20"/>
          <w:color w:val="auto"/>
        </w:rPr>
      </w:pPr>
    </w:p>
    <w:p>
      <w:pPr>
        <w:ind w:left="1460" w:hanging="480"/>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effectively so that we are able to attract new customers and expand sales to our existing customers;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functionality and use cases for the products we offer on our platform;</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the rates at which customers purchase and renew subscriptions to our platform;</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customers with support that meets their needs;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introduce our products to new markets outside of the United States;</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and acquire or invest in businesses, products or technologies that we believe could complement or expand our platform; and</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 and successfully compete with other companies.</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117" w:lineRule="exact"/>
        <w:rPr>
          <w:sz w:val="20"/>
          <w:szCs w:val="20"/>
          <w:color w:val="auto"/>
        </w:rPr>
      </w:pPr>
    </w:p>
    <w:p>
      <w:pPr>
        <w:ind w:left="1460" w:hanging="480"/>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w:t>
      </w:r>
    </w:p>
    <w:p>
      <w:pPr>
        <w:spacing w:after="0" w:line="11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organization to engage our existing and prospective customers, increase brand awareness and drive adoption of our products;</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investments;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and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w:t>
      </w:r>
    </w:p>
    <w:p>
      <w:pPr>
        <w:spacing w:after="0" w:line="225"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sustain profitability in the future.</w:t>
      </w:r>
    </w:p>
    <w:p>
      <w:pPr>
        <w:spacing w:after="0" w:line="24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We have experienced net losses in several recent fiscal years and as of December 31, 2023, we had an accumulated deficit of $153.7 million. While we have experienced significant revenue growth in recent periods and periods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 w:name="page17"/>
    <w:bookmarkEnd w:id="16"/>
    <w:p>
      <w:pPr>
        <w:jc w:val="both"/>
        <w:spacing w:after="0" w:line="237" w:lineRule="auto"/>
        <w:rPr>
          <w:sz w:val="20"/>
          <w:szCs w:val="20"/>
          <w:color w:val="auto"/>
        </w:rPr>
      </w:pPr>
      <w:r>
        <w:rPr>
          <w:rFonts w:ascii="Times New Roman" w:cs="Times New Roman" w:eastAsia="Times New Roman" w:hAnsi="Times New Roman"/>
          <w:sz w:val="18"/>
          <w:szCs w:val="18"/>
          <w:color w:val="auto"/>
        </w:rPr>
        <w:t>profitability, we are not certain whether or when we will obtain a high enough volume of sales to sustain or increase our growth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and the expansion of our customer base.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sustain profitability, the value of our business and Class A common stock may significantly decrease.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our current scale, which makes it difficult to forecast our future results of operations.</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As a result of our limited operating history at our current scale and the introduction of several new products in recent years,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and debt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Operational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15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or reductions in our customers’ spending on IT solutions or their spending levels generally. These factors may be exacerbated by unfavorable conditions in the economy, see “Risks Associated with our Growth—Unfavorable conditions in our industry or the global economy, or reductions in information technology spending, could limit our ability to grow our business and negatively affect our results of operations” above. These factors may also be exacerbated if, consistent with our growth strategy, our customer base continues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business, financial condition and results of operations will be adversely affected.</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72" w:lineRule="exact"/>
        <w:rPr>
          <w:sz w:val="20"/>
          <w:szCs w:val="20"/>
          <w:color w:val="auto"/>
        </w:rPr>
      </w:pPr>
    </w:p>
    <w:p>
      <w:pPr>
        <w:jc w:val="both"/>
        <w:ind w:firstLine="972"/>
        <w:spacing w:after="0" w:line="237"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or are unable to protect against cyber-attacks, ransomware, security incidents, or security breaches, or if unauthorized parties otherwise obtain access to or otherwise compromise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207" w:lineRule="exact"/>
        <w:rPr>
          <w:sz w:val="20"/>
          <w:szCs w:val="20"/>
          <w:color w:val="auto"/>
        </w:rPr>
      </w:pPr>
    </w:p>
    <w:p>
      <w:pPr>
        <w:ind w:right="240" w:firstLine="972"/>
        <w:spacing w:after="0" w:line="258"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and share personal information, confidential information and other information necessary to provide our services, to operate our business, for legal and marketing purposes, and for other business-related purposes.</w:t>
      </w:r>
    </w:p>
    <w:p>
      <w:pPr>
        <w:spacing w:after="0" w:line="16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Our platform and products involve the storage and transmission of data, including personal information, and security breaches or unauthorized access to our platform and products, or those of our third-party service providers, could result in the unauthorized, unlawful, or accidental acquisition, modification, destruction, loss, alteration, encryption, disclosure of, or access to sensitive information including our customers' data. Consequently, we may be subject to significant litigation, indemnity obligations, fines, penalties, disputes, investigations and other liabilities. We have previously and may in the future become the target of cyber-attacks by third parties seeking to gain unauthorized access to and exfiltrate our or our customers’ data, including confidential and personal information, from certain of our infrastructure resources, or to disrupt our ability to provide our services. In addition, many of our employees are working remotely, which may pose additional data security risks (including, for example, an increase in phishing and malicious emails we began experiencing during 2020). The reliability and continuous availability of our platform is critical to our success. However, complex software such as ours can contain errors, defects, security vulnerabilities or software bugs that, despite testing by us, are difficult to detect and correct, particularly when such vulnerabilities are first introduced or when new versions or enhancements of our platform are released. Real or perceived errors, defects, security vulnerabilities or software bugs in our products could result in reputational harm, reduce the demand for our products and expose us to breach of contract claims, regulatory fines and related liabilities.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8" w:name="page19"/>
    <w:bookmarkEnd w:id="18"/>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We may use third-party service providers and sub-processors to help us deliver services to our customers. These vendors, such as cloud infrastructure providers, may store or process personal and confidential information for us or our customers. We use third-party technology, systems and services in a variety of contexts, including, without limitation, encryption and authentication technology, employee email, content delivery to customers, back-office support, credit card processing and other functions. 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employee mistakes or malfeasance, social engineering (including spear phishing), malicious code, denial-of-service attacks, credential harvesting and general hacking have become more prevalent in our industry, particularly against cloud services. Ransomware attacks, including those from organized criminal threat actors, nation-states and nation-state supported actors, are becoming increasingly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of or disruption to our platform, systems and networks or the systems and networks of third parties that support us and our services. Despite the security controls we have in place, such attacks are very difficult to avoid.</w:t>
      </w:r>
    </w:p>
    <w:p>
      <w:pPr>
        <w:spacing w:after="0" w:line="19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There can be no assurance that any security measures that we or our third-party service providers have implemented will be effective against current or future security threats. While we have developed systems and processes designed to protect the 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180"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In addition, we do not directly control content that our customers store in our products. If our customers use our products for the collection,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We also process, store and transmit our own data as part of our business and operations. This data may include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w:t>
      </w:r>
    </w:p>
    <w:p>
      <w:pPr>
        <w:spacing w:after="0" w:line="203" w:lineRule="exact"/>
        <w:rPr>
          <w:sz w:val="20"/>
          <w:szCs w:val="20"/>
          <w:color w:val="auto"/>
        </w:rPr>
      </w:pPr>
    </w:p>
    <w:p>
      <w:pPr>
        <w:jc w:val="both"/>
        <w:ind w:firstLine="972"/>
        <w:spacing w:after="0" w:line="243" w:lineRule="auto"/>
        <w:rPr>
          <w:sz w:val="20"/>
          <w:szCs w:val="20"/>
          <w:color w:val="auto"/>
        </w:rPr>
      </w:pPr>
      <w:r>
        <w:rPr>
          <w:rFonts w:ascii="Times New Roman" w:cs="Times New Roman" w:eastAsia="Times New Roman" w:hAnsi="Times New Roman"/>
          <w:sz w:val="18"/>
          <w:szCs w:val="18"/>
          <w:color w:val="auto"/>
        </w:rPr>
        <w:t>We take steps designed to detect, mitigate, and remediate vulnerabilities in our information systems (such as our hardware and/or software, including that of third parties upon which we rely). We may not, however, detect and remediate all such vulnerabilities on a timely basis. Among other things, our applications, systems, networks, software, other computer assets and physical facilities could be breached or could otherwise malfunction or fail, or the personal or confidential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Additionally, from time to time employees or service providers may inadvertently misconfigure resources or misdirect certain communications, leading to security vulnerabilities or incidents that we must then expend effort and incur expenses to correct.</w:t>
      </w:r>
    </w:p>
    <w:p>
      <w:pPr>
        <w:spacing w:after="0" w:line="200"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may have contractual and other legal obligations to notify relevant stakeholders of security incidents. For instance, most jurisdictions have enacted laws, such as the U.S. Health Insurance Portability and Accountability Act of 1996, or HIPAA, requiring companies to notify individuals, regulatory authorities, and others of security breaches involving certain types of data. Such mandatory contractual and legal disclosures are costly, could lead to negative publicity, may cause our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18"/>
          <w:szCs w:val="18"/>
          <w:color w:val="auto"/>
        </w:rPr>
        <w:t>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Applicable laws, our contracts, our representations, or industry standards may require us to use industry-standard or reasonable measures to safeguard sensitive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there can be no assurance that any limitations of liability in our contracts would be enforceable or adequate or would otherwise protect us from liabilities or damages.</w:t>
      </w:r>
    </w:p>
    <w:p>
      <w:pPr>
        <w:spacing w:after="0" w:line="216" w:lineRule="exact"/>
        <w:rPr>
          <w:sz w:val="20"/>
          <w:szCs w:val="20"/>
          <w:color w:val="auto"/>
        </w:rPr>
      </w:pPr>
    </w:p>
    <w:p>
      <w:pPr>
        <w:jc w:val="both"/>
        <w:ind w:firstLine="972"/>
        <w:spacing w:after="0" w:line="250" w:lineRule="auto"/>
        <w:rPr>
          <w:sz w:val="20"/>
          <w:szCs w:val="20"/>
          <w:color w:val="auto"/>
        </w:rPr>
      </w:pPr>
      <w:r>
        <w:rPr>
          <w:rFonts w:ascii="Times New Roman" w:cs="Times New Roman" w:eastAsia="Times New Roman" w:hAnsi="Times New Roman"/>
          <w:sz w:val="18"/>
          <w:szCs w:val="18"/>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204" w:lineRule="exact"/>
        <w:rPr>
          <w:sz w:val="20"/>
          <w:szCs w:val="20"/>
          <w:color w:val="auto"/>
        </w:rPr>
      </w:pPr>
    </w:p>
    <w:p>
      <w:pPr>
        <w:jc w:val="both"/>
        <w:ind w:firstLine="972"/>
        <w:spacing w:after="0" w:line="244" w:lineRule="auto"/>
        <w:rPr>
          <w:sz w:val="20"/>
          <w:szCs w:val="20"/>
          <w:color w:val="auto"/>
        </w:rPr>
      </w:pPr>
      <w:r>
        <w:rPr>
          <w:rFonts w:ascii="Times New Roman" w:cs="Times New Roman" w:eastAsia="Times New Roman" w:hAnsi="Times New Roman"/>
          <w:sz w:val="18"/>
          <w:szCs w:val="18"/>
          <w:color w:val="auto"/>
        </w:rPr>
        <w:t>Additionally, we cannot be certain that our insurance coverage will be adequate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proprietary and sensitive data.</w:t>
      </w:r>
    </w:p>
    <w:p>
      <w:pPr>
        <w:spacing w:after="0" w:line="1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5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 For example, in March 2023, our platform experienced widespread outages across multiple products and regions, which was substantially resolved in approximately a day.</w:t>
      </w:r>
    </w:p>
    <w:p>
      <w:pPr>
        <w:spacing w:after="0" w:line="187"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5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5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9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5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To encourage awareness, usage, familiarity and adoption of our platform and products, we offer free trials and a free tier of our platform. These strategies may not be successful in leading customers to purchase our products, as users of our free tier may not lead to them or others within their organization purchasing and deploying our platform. To the extent that users do not become, or we are unable to successfully attract paying customers, we will not realize the intended benefits of these marketing strategies and our ability to grow our revenue will be adversely affected.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5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68" w:lineRule="exact"/>
        <w:rPr>
          <w:sz w:val="20"/>
          <w:szCs w:val="20"/>
          <w:color w:val="auto"/>
        </w:rPr>
      </w:pPr>
    </w:p>
    <w:p>
      <w:pPr>
        <w:ind w:left="5540" w:right="4960" w:hanging="4560"/>
        <w:spacing w:after="0" w:line="616" w:lineRule="auto"/>
        <w:tabs>
          <w:tab w:leader="none" w:pos="146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demand for or pricing of our platform and products;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1" w:name="page22"/>
    <w:bookmarkEnd w:id="21"/>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platform and products;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 and the pricing and quantity of subscriptions renewed;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subscriptions from customers in our cloud-provider marketplaces;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our investments to expand the capacity of our third-party cloud infrastructure providers;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driven by industry conferences;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new products and features relative to investments in our existing infrastructure and products;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 purchases;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or enhancements by us or our competitors;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 including commissions;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1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17"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industries in which our customers participate, including those impacted by the COVID-19 pandemic, war in Ukraine and conflict in the Middle East;</w:t>
      </w:r>
    </w:p>
    <w:p>
      <w:pPr>
        <w:spacing w:after="0" w:line="6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fluctuations;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elements, expenses associated with compliance;</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products and platform capabilities.</w:t>
      </w:r>
    </w:p>
    <w:p>
      <w:pPr>
        <w:spacing w:after="0" w:line="162"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 example, the COVID-19 pandemic resulted in widespread unemployment, economic slowdown and extreme volatility in the capital markets. The ongoing military conflict between Russia and Ukraine has also created extreme volatility in the global capital markets and is expected to have further global economic consequences. Any such volatility and disruptions may have adverse consequences on us or the third parties on whom we rely. If the equity and credit markets deteriorate, or do not improve,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personnel costs.</w:t>
      </w:r>
    </w:p>
    <w:p>
      <w:pPr>
        <w:spacing w:after="0" w:line="19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analysts who follow our stock, the price of our Class A common stock could decline substantially, and we could face costly lawsuits, including securities class action suits.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sales and results of operations.</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seasonality in new customer bookings, as we typically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Downturns or upturns in our sales may not be immediately reflected in our financial position and results of operations.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Because we recognize a large portion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5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59" w:lineRule="exact"/>
        <w:rPr>
          <w:sz w:val="20"/>
          <w:szCs w:val="20"/>
          <w:color w:val="auto"/>
        </w:rPr>
      </w:pPr>
    </w:p>
    <w:p>
      <w:pPr>
        <w:jc w:val="both"/>
        <w:ind w:firstLine="972"/>
        <w:spacing w:after="0" w:line="273" w:lineRule="auto"/>
        <w:rPr>
          <w:sz w:val="20"/>
          <w:szCs w:val="20"/>
          <w:color w:val="auto"/>
        </w:rPr>
      </w:pPr>
      <w:r>
        <w:rPr>
          <w:rFonts w:ascii="Times New Roman" w:cs="Times New Roman" w:eastAsia="Times New Roman" w:hAnsi="Times New Roman"/>
          <w:sz w:val="17"/>
          <w:szCs w:val="17"/>
          <w:color w:val="auto"/>
        </w:rPr>
        <w:t>Our success and future growth depend largely upon the continued services of our executive officers, particularly Olivier Pomel, our co-founder and Chief Executive Officer, Alexis Lê-Quôc, our co-founder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71"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the value of the equity awards they receive in connection with their employment. If the value or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5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continue to grow and expand globally, we may find it difficult to maintain these important aspects of our culture particularly given remote or hybrid work arrangements, which increased as a result of the COVID-19 pandemic. If we fail to maintain our company culture, our business and competitive position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internal controls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Competitive Risks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4" w:name="page25"/>
    <w:bookmarkEnd w:id="2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5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For example, some of our products use artificial intelligence, or AI, and machine learning, and we are making investments in expanding our artificial intelligence capabilities, which will require significant investment in infrastructure and personnel. However, AI technologies are complex and rapidly evolving in a changing competitive market and market acceptance of AI technologies remains uncertain, see “Industry and Competitive Risks—We use artificial intelligence in our products and services which may result in operational challenges, legal liability, reputational harm, competitive risks and regulatory concerns that could adversely affect our business and results of operations.” below. If we were unable to enhance our products and platform capabilities to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90"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The success of our platform depends, in part, on its ability to be deployed in a self-service installation process. We currently offer more than 700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5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and SolarWinds Corporation. With respect to APM, we compete with companies including Cisco Systems, Inc., New Relic, Inc. and Dynatrace Software Inc. With respect to log management, we compete with companies including Splunk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9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compete on the basis of a number of factors, including:</w:t>
      </w:r>
    </w:p>
    <w:p>
      <w:pPr>
        <w:spacing w:after="0" w:line="117" w:lineRule="exact"/>
        <w:rPr>
          <w:sz w:val="20"/>
          <w:szCs w:val="20"/>
          <w:color w:val="auto"/>
        </w:rPr>
      </w:pPr>
    </w:p>
    <w:p>
      <w:pPr>
        <w:ind w:left="1460" w:hanging="480"/>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unified, real-time observability of IT environments;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in dynamic and elastic environments;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extensibility across the enterprise, including development, operations and business users;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5" w:name="page26"/>
    <w:bookmarkEnd w:id="25"/>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propensity to enable collaboration between development, operations and business users;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any combination of public clouds, private clouds, on-premise and multi-cloud hybrids;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advanced analytics and machine learning;</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implementation and use;</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across a broad range of geographies in compliance with local regulations;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offering and key technology integrations;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security, scalability and reliability;</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and customer satisfaction;</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88"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our solutions may develop more slowly or differently than we expect.</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products and services which may result in operational challenges, legal liability, reputational harm, competitive risks and regulatory concerns that could adversely affect our business and results of operations.</w:t>
      </w:r>
    </w:p>
    <w:p>
      <w:pPr>
        <w:spacing w:after="0" w:line="15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incorporate AI, including generative AI, into our products. These technologies are complex and rapidly evolving and building them requires significant investment in infrastructure and personnel with no assurance that we will realize the desired or anticipated benefits. Our competitors may more successfully incorporate AI into their products and achieve higher market acceptance of their AI solutions, which could impair our ability to compete effectively and adversely affect our results of operations.</w:t>
      </w:r>
    </w:p>
    <w:p>
      <w:pPr>
        <w:spacing w:after="0" w:line="207"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We may also encounter new risks, challenges, and unintended consequences as a result of our use of AI. For example, the issue of intellectual property ownership and license rights surrounding AI technologies has not been fully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6" w:name="page27"/>
    <w:bookmarkEnd w:id="26"/>
    <w:p>
      <w:pPr>
        <w:jc w:val="both"/>
        <w:spacing w:after="0" w:line="254" w:lineRule="auto"/>
        <w:rPr>
          <w:sz w:val="20"/>
          <w:szCs w:val="20"/>
          <w:color w:val="auto"/>
        </w:rPr>
      </w:pPr>
      <w:r>
        <w:rPr>
          <w:rFonts w:ascii="Times New Roman" w:cs="Times New Roman" w:eastAsia="Times New Roman" w:hAnsi="Times New Roman"/>
          <w:sz w:val="18"/>
          <w:szCs w:val="18"/>
          <w:color w:val="auto"/>
        </w:rPr>
        <w:t>addressed by U.S. courts or federal or state laws and regulations, and the incorporation of AI technologies into our products and services could expose us to intellectual property claims or mandatory compliance with open source software or other license terms. Our use of AI may also lead to novel cybersecurity or privacy risks which may adversely affect our operations and reputation. Various governments have proposed policy and regulatory responses to oversee the use of AI, including the EU’s Artificial Intelligence Act, which would apply beyond the European Union’s borders. Compliance with regulations as well as social and ethical standards relating to AI may require significant research and development costs as well as management and employee attention. Any actual or perceived failure to comply with these laws, regulations or ethical standards could include severe penalties, reputational harm, and slow adoption of AI in our products and services. In addition, our business may be disrupted if any of the third-party AI services we use become unavailable due to extended outages or commercially unreasonable terms of service.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75"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5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service providers are subject to stringent and changing laws, regulations,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17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We have legal, contractual and other applicable obligations regarding the protection and appropriate use of personal information, confidential information, and other proprietary information that we, our third-party service providers or other partners process. We are subject to a variety of federal, state, local and foreign laws, directives, regulations, and industry standards, relating to the collection, use, retention, security, disclosure, transfer and other processing of personal information. The regulatory framework for and users' expectations around privacy and security issues worldwide is rapidly evolving and as a result, implementation standards and enforcement practices are likely to remain uncertain for the foreseeable future resulting in possible significant operational costs for compliance and risk to our business. In addition, new technologies we use in our products or in our business, like AI and machine learning, may also subject us to new or enhanced governmental or regulatory scrutiny, litigation, ethical concerns, or other complications that could adversely affect our business, reputation, or financial results.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jc w:val="both"/>
        <w:ind w:firstLine="972"/>
        <w:spacing w:after="0" w:line="247" w:lineRule="auto"/>
        <w:rPr>
          <w:sz w:val="20"/>
          <w:szCs w:val="20"/>
          <w:color w:val="auto"/>
        </w:rPr>
      </w:pPr>
      <w:r>
        <w:rPr>
          <w:rFonts w:ascii="Times New Roman" w:cs="Times New Roman" w:eastAsia="Times New Roman" w:hAnsi="Times New Roman"/>
          <w:sz w:val="18"/>
          <w:szCs w:val="18"/>
          <w:color w:val="auto"/>
        </w:rPr>
        <w:t>Internationally, nearly every jurisdiction in which we operate has established its own data security and privacy legal framework with which we, our third-party service providers, or our customers must comply. For example, the European Union's General Data Protection Regulation, or EU GDPR, contains numerous requirements and changes from previously existing law, including more robust obligations on data processors and heavier documentation requirements for data protection compliance programs by companies and data protection authorities. Under the EU GDPR, companies may face temporary or definitive bans on data processing and other corrective actions, significant monetary fines, and private litigation related to processing of personal data brought by classes of data subjects or consumer protection organizations authorized at law to represent their interests.</w:t>
      </w:r>
    </w:p>
    <w:p>
      <w:pPr>
        <w:spacing w:after="0" w:line="180" w:lineRule="exact"/>
        <w:rPr>
          <w:sz w:val="20"/>
          <w:szCs w:val="20"/>
          <w:color w:val="auto"/>
        </w:rPr>
      </w:pPr>
    </w:p>
    <w:p>
      <w:pPr>
        <w:jc w:val="both"/>
        <w:ind w:firstLine="972"/>
        <w:spacing w:after="0"/>
        <w:rPr>
          <w:sz w:val="20"/>
          <w:szCs w:val="20"/>
          <w:color w:val="auto"/>
        </w:rPr>
      </w:pPr>
      <w:r>
        <w:rPr>
          <w:rFonts w:ascii="Times New Roman" w:cs="Times New Roman" w:eastAsia="Times New Roman" w:hAnsi="Times New Roman"/>
          <w:sz w:val="18"/>
          <w:szCs w:val="18"/>
          <w:color w:val="auto"/>
        </w:rPr>
        <w:t>In addition, Europe and other jurisdictions have enacted data localization laws and cross-border personal data transfer laws. For example, the European Economic Area (EEA) and the United Kingdom have significantly restricted the transfer of personal data to the United States and other countries whose privacy laws it generally believes are inadequate. Although there are currently various mechanisms that may be used to transfer personal data from the EEA and United Kingdom to the United States in compliance with law, such as the EEA standard contractual clauses, the United Kingdom’s International Data Transfer Agreement/Addendum, and the EU-U.S. Data Privacy Framework and the United Kingdom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2" w:lineRule="exact"/>
        <w:rPr>
          <w:sz w:val="20"/>
          <w:szCs w:val="20"/>
          <w:color w:val="auto"/>
        </w:rPr>
      </w:pPr>
    </w:p>
    <w:p>
      <w:pPr>
        <w:jc w:val="both"/>
        <w:ind w:firstLine="972"/>
        <w:spacing w:after="0" w:line="234" w:lineRule="auto"/>
        <w:rPr>
          <w:sz w:val="20"/>
          <w:szCs w:val="20"/>
          <w:color w:val="auto"/>
        </w:rPr>
      </w:pPr>
      <w:r>
        <w:rPr>
          <w:rFonts w:ascii="Times New Roman" w:cs="Times New Roman" w:eastAsia="Times New Roman" w:hAnsi="Times New Roman"/>
          <w:sz w:val="18"/>
          <w:szCs w:val="18"/>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For example, Brazil enacted the General Data Protection Law, New Zealand enacted the New Zealand Privacy Act, China enacted its Personal Information Protection Law, and Canada introduced the Digital Charter Implementation Act.</w:t>
      </w:r>
    </w:p>
    <w:p>
      <w:pPr>
        <w:spacing w:after="0" w:line="3" w:lineRule="exact"/>
        <w:rPr>
          <w:sz w:val="20"/>
          <w:szCs w:val="20"/>
          <w:color w:val="auto"/>
        </w:rPr>
      </w:pPr>
    </w:p>
    <w:p>
      <w:pPr>
        <w:jc w:val="both"/>
        <w:ind w:firstLine="972"/>
        <w:spacing w:after="0"/>
        <w:rPr>
          <w:sz w:val="20"/>
          <w:szCs w:val="20"/>
          <w:color w:val="auto"/>
        </w:rPr>
      </w:pPr>
      <w:r>
        <w:rPr>
          <w:rFonts w:ascii="Times New Roman" w:cs="Times New Roman" w:eastAsia="Times New Roman" w:hAnsi="Times New Roman"/>
          <w:sz w:val="18"/>
          <w:szCs w:val="18"/>
          <w:color w:val="auto"/>
        </w:rPr>
        <w:t>If we are unable to implement a valid compliance mechanism for cross-border personal information transfers, we may face increased exposure to regulatory actions, substantial fines and injunctions against processing or transferring personal information from Europe or elsewhere. Inability to import personal information from other jurisdictions to the United States may significantly and negatively impact our business operations, including by lowering sales on our platform due to the difficulty of establishing a lawful mechanism for personal information transfers out of Europe or other jurisdictions, or requiring us to increase our data processing capabilities in Europe or elsewhere at significant expense. Some European regulators have ordered certain companies to suspend or permanently cease certain transfers out of Europe for allegedly violating the GDPR’s cross-border data transfer limitations.</w:t>
      </w:r>
    </w:p>
    <w:p>
      <w:pPr>
        <w:spacing w:after="0" w:line="385" w:lineRule="exact"/>
        <w:rPr>
          <w:sz w:val="20"/>
          <w:szCs w:val="20"/>
          <w:color w:val="auto"/>
        </w:rPr>
      </w:pPr>
    </w:p>
    <w:p>
      <w:pPr>
        <w:jc w:val="both"/>
        <w:ind w:firstLine="972"/>
        <w:spacing w:after="0" w:line="238" w:lineRule="auto"/>
        <w:rPr>
          <w:sz w:val="20"/>
          <w:szCs w:val="20"/>
          <w:color w:val="auto"/>
        </w:rPr>
      </w:pPr>
      <w:r>
        <w:rPr>
          <w:rFonts w:ascii="Times New Roman" w:cs="Times New Roman" w:eastAsia="Times New Roman" w:hAnsi="Times New Roman"/>
          <w:sz w:val="18"/>
          <w:szCs w:val="18"/>
          <w:color w:val="auto"/>
        </w:rPr>
        <w:t>Additionally, European legislative proposals and present laws and regulations apply to cookies and similar tracking technologies, electronic communications, and marketing. In the EU and the United Kingdom, regulators are increasingly focusing on compliance with requirements related to the online behavioral advertising ecosystem and requirements around consent. It is anticipated that the ePrivacy Regulation will replace the current national laws that implement the ePrivacy Directive that governs electronic communications. Outside of Europe, other laws and regulations, including legislative proposals, individual behavior and industry practices are increasingly resistant to the use of personal information to deliver targeted advertising, making certain online advertising activities more difficult and subject to additional scrutiny. For example, the California Consumer Privacy Act, or CCPA, grants California residents the right to opt-out of a company’s sharing of personal information for cross-context behavioral advertising purposes. Other comprehensive U.S. state privacy laws extend similar rights to residents. As a result of these developments, we may be required to change the way we market our products, which would impair our ability to reach new or existing customers.</w:t>
      </w:r>
    </w:p>
    <w:p>
      <w:pPr>
        <w:spacing w:after="0" w:line="218" w:lineRule="exact"/>
        <w:rPr>
          <w:sz w:val="20"/>
          <w:szCs w:val="20"/>
          <w:color w:val="auto"/>
        </w:rPr>
      </w:pPr>
    </w:p>
    <w:p>
      <w:pPr>
        <w:jc w:val="both"/>
        <w:ind w:firstLine="972"/>
        <w:spacing w:after="0" w:line="237" w:lineRule="auto"/>
        <w:rPr>
          <w:sz w:val="20"/>
          <w:szCs w:val="20"/>
          <w:color w:val="auto"/>
        </w:rPr>
      </w:pPr>
      <w:r>
        <w:rPr>
          <w:rFonts w:ascii="Times New Roman" w:cs="Times New Roman" w:eastAsia="Times New Roman" w:hAnsi="Times New Roman"/>
          <w:sz w:val="18"/>
          <w:szCs w:val="18"/>
          <w:color w:val="auto"/>
        </w:rPr>
        <w:t>Complying with these and other applicable laws may cause us to incur substantial operational costs or require us to change our business practices. Despite our efforts to bring practices into compliance with all applicable laws,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information) originating from the EEA, we may find it necessary to establish additional systems and processes to maintain such data in the EEA, which may involve substantial expense and distraction from other aspects of our business.</w:t>
      </w:r>
    </w:p>
    <w:p>
      <w:pPr>
        <w:spacing w:after="0" w:line="19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Domestic laws in this area are also complex and developing rapidly, and we are, or may become, subject to numerous U.S. data privacy and security laws. In the United States, laws governing data privacy and security include those promulgated under the authority of the Federal Trade Commission Act, the Electronic Communications Privacy Act, the Computer Fraud and Abuse Act, the CCPA, HIPAA, and numerous other state and federal laws relating to privacy and data security. Many state legislatures have adopted legislation that regulates how businesses operate online, including measures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relating to privacy, data security and data breaches. Laws in all 50 states require businesses to provide notice to customers whose personal information has been disclosed as a result of a data breach. The laws are not consistent, and compliance in the event of a widespread data breach is costly. States are also constantly amending existing laws, requiring attention to frequently changing legal requirements.</w:t>
      </w:r>
    </w:p>
    <w:p>
      <w:pPr>
        <w:spacing w:after="0" w:line="176"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The CCPA, which became effective on January 1, 2020, gives California residents (including consumers, employees, job applicants and business representatives) expanded rights to access and delete their personal information, opt out of the sale of personal information, and receive detailed information about how their personal information is used. The CCPA provides a private right of action and statutory damages for data breaches and may increase our compliance costs and potential liability with respect to other personal information we collect about California residents. In addition, the amendments to the CCPA made by the California Privacy Rights Act, or the CPRA, went into effect on January 1, 2023. The CPRA amends the CCPA to give California residents the ability to limit the use of their sensitive information, provide additional penalties for CPRA violations concerning California residents under the age of 16, and establish a new California Privacy Protection Agency to implement and enforce the law. These changes to the CCPA could impact our business activities depending on how they are interpreted. These laws exemplify the vulnerability of our business to the evolving regulatory environment related to the protection of personal information. Other states have enacted or proposed comprehensive privacy laws as well. For example, privacy laws in Colorado, Connecticut, Utah and Virginia have recently gone into effect and similar laws in other states, such as Delaware, Indiana, Iowa, Montana, Oregon, Tennessee, and Texas have been enacted and are expected to go into effect over the next several years.</w:t>
      </w:r>
    </w:p>
    <w:p>
      <w:pPr>
        <w:spacing w:after="0" w:line="192"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mass arbitration demands, regulatory investigations and imprisonment of company officials,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these changing laws, regulations, and contractual obligations, our business may be harmed.</w:t>
      </w:r>
    </w:p>
    <w:p>
      <w:pPr>
        <w:spacing w:after="0" w:line="197"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9" w:lineRule="exact"/>
        <w:rPr>
          <w:sz w:val="20"/>
          <w:szCs w:val="20"/>
          <w:color w:val="auto"/>
        </w:rPr>
      </w:pPr>
    </w:p>
    <w:p>
      <w:pPr>
        <w:jc w:val="both"/>
        <w:ind w:firstLine="972"/>
        <w:spacing w:after="0" w:line="277" w:lineRule="auto"/>
        <w:rPr>
          <w:sz w:val="20"/>
          <w:szCs w:val="20"/>
          <w:color w:val="auto"/>
        </w:rPr>
      </w:pPr>
      <w:r>
        <w:rPr>
          <w:rFonts w:ascii="Times New Roman" w:cs="Times New Roman" w:eastAsia="Times New Roman" w:hAnsi="Times New Roman"/>
          <w:sz w:val="17"/>
          <w:szCs w:val="17"/>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76"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highly regulated organizations are subject to a number of challenges and risks.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which may restrict our ability to sell into the government sector until we are able to comply with the revised contracting requirements. Government demand and payment for our products are affected by public sector budgetary cycles and funding authorizations, with funding reductions or delays adversely affecting public sector demand for our products.</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5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83"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0" w:name="page31"/>
    <w:bookmarkEnd w:id="30"/>
    <w:p>
      <w:pPr>
        <w:jc w:val="both"/>
        <w:spacing w:after="0" w:line="255" w:lineRule="auto"/>
        <w:rPr>
          <w:sz w:val="20"/>
          <w:szCs w:val="20"/>
          <w:color w:val="auto"/>
        </w:rPr>
      </w:pPr>
      <w:r>
        <w:rPr>
          <w:rFonts w:ascii="Times New Roman" w:cs="Times New Roman" w:eastAsia="Times New Roman" w:hAnsi="Times New Roman"/>
          <w:sz w:val="18"/>
          <w:szCs w:val="18"/>
          <w:color w:val="auto"/>
        </w:rPr>
        <w:t>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environmental, social, and governance practices and disclosures.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There is an increasing focus from regulators, certain investors and other stakeholders concerning environmental, social, and governance, or ESG, matters, both in the United States and internationally. In response, we are in the process of evaluating and developing our ESG practices. Any of our current or future ESG practices and initiatives, if any, could be difficult to achieve and costly to implement. Furthermore, if these practices are not perceived to be adequate, or if the initiatives and positions we take (or choose not to take) on ESG issues are unpopular with some of our employees, customers or potential customers, our reputation could be harmed, which could negatively impact our ability to attract or retain employees or customers.</w:t>
      </w:r>
    </w:p>
    <w:p>
      <w:pPr>
        <w:spacing w:after="0" w:line="183"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Standards for tracking and reporting ESG matters continue to evolve. Our interpretation or application of frameworks and standards may change from time to time or differ from those of others. This may result in a lack of consistent or meaningful comparative data from period to period or between us and other companies in the same industry. In addition, our processes and controls may not comply with evolving standards for identifying, measuring and reporting ESG metrics, including ESG-related disclosures that may be required by various regulators, and such standards may change over time, which could result in significant revisions to our ESG metrics. The costs of changing any of our current practices to comply with any new legal and regulatory requirements in the United States and elsewhere may be substantial.</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5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2023, we had NOL carryforwards for federal and state income tax purposes of approximately </w:t>
      </w:r>
      <w:r>
        <w:rPr>
          <w:rFonts w:ascii="Times New Roman" w:cs="Times New Roman" w:eastAsia="Times New Roman" w:hAnsi="Times New Roman"/>
          <w:sz w:val="18"/>
          <w:szCs w:val="18"/>
          <w:color w:val="231F20"/>
        </w:rPr>
        <w:t>$148.9 million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31F20"/>
        </w:rPr>
        <w:t>$206.4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million</w:t>
      </w:r>
      <w:r>
        <w:rPr>
          <w:rFonts w:ascii="Times New Roman" w:cs="Times New Roman" w:eastAsia="Times New Roman" w:hAnsi="Times New Roman"/>
          <w:sz w:val="18"/>
          <w:szCs w:val="18"/>
          <w:color w:val="000000"/>
        </w:rPr>
        <w:t>, respectively, which may be available to offset taxable income in the future, and which expire in 2026 for state purposes if not utilized. Unused U.S.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federal NOLs for taxable years beginning before January 1, 2018, may be carried forward to offset future taxable income, if any, until such unused NOLs expire. Under current law, U.S. federal NOLs incurred in taxable years after December 31, 2017, can be carried forward indefinitely, but the deductibility of such U.S.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18"/>
          <w:szCs w:val="18"/>
          <w:color w:val="auto"/>
        </w:rPr>
        <w:t>federal NOLs is limited to 80% of taxable income. It is uncertain if and to what extent various states will conform to federal tax laws. A lack of future taxable income would adversely affect our ability to utilize portions of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post-change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effective tax rate or tax liability could change due to several factors, including:</w:t>
      </w:r>
    </w:p>
    <w:p>
      <w:pPr>
        <w:spacing w:after="0" w:line="117" w:lineRule="exact"/>
        <w:rPr>
          <w:sz w:val="20"/>
          <w:szCs w:val="20"/>
          <w:color w:val="auto"/>
        </w:rPr>
      </w:pPr>
    </w:p>
    <w:p>
      <w:pPr>
        <w:ind w:left="1460" w:right="20" w:hanging="480"/>
        <w:spacing w:after="0" w:line="282" w:lineRule="auto"/>
        <w:tabs>
          <w:tab w:leader="none" w:pos="14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53"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including changes to IRC Section 174 under the U.S. Tax Cuts and Jobs Act and the Inflation Reduction Act;</w:t>
      </w:r>
    </w:p>
    <w:p>
      <w:pPr>
        <w:spacing w:after="0" w:line="53"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implementation of the Organization for Economic Co-operation and Development’s (OECD) international tax framework, including the Pillar II minimum tax regime;</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225"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We will continue to monitor these developments and pending legislation, and evaluate any potential impact on our results of operations. Any of these developments could adversely affect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16" w:lineRule="exact"/>
        <w:rPr>
          <w:sz w:val="20"/>
          <w:szCs w:val="20"/>
          <w:color w:val="auto"/>
        </w:rPr>
      </w:pPr>
    </w:p>
    <w:p>
      <w:pPr>
        <w:jc w:val="both"/>
        <w:ind w:firstLine="972"/>
        <w:spacing w:after="0" w:line="23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described in Note 2 in the Notes to Consolidated Financial Statements included in “Part II, Item 8. Financial Statements and Supplementary Data” of this Annual Report on Form 10-K. The results of these estimates form the basis for making judgments about the carrying values of assets, liabilities and equity, and the amount of revenue and expenses that are not readily apparent from other sources. Significant estimates and judgments involve revenue recognition, business combinations, and internal-use software development costs.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59" w:lineRule="exact"/>
        <w:rPr>
          <w:sz w:val="20"/>
          <w:szCs w:val="20"/>
          <w:color w:val="auto"/>
        </w:rPr>
      </w:pPr>
    </w:p>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obtain, maintain, protect and enforce our intellectual property rights, including our proprietary technology, know-how and our brand. We rely on a combination of trademarks, trade secrets, patents, copyrights,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processes, including re-examination, inter partes review, interference and derivation proceedings and equivalent proceedings in foreign jurisdictions (e.g., opposition proceedings) or litigation. Despite our pending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protections may not be available to us in every country in which our products are available. For example, as we have expanded internationally, we have been unable to register and obtain the exclusive right to use the Datadog trademark in certain jurisdictions, including certain European countries outside of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201"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8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59"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We have been and may continue to be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portfolio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have been or may continue to be required to provide indemnification, may require us to do one or more of the following:</w:t>
      </w:r>
    </w:p>
    <w:p>
      <w:pPr>
        <w:spacing w:after="0" w:line="83" w:lineRule="exact"/>
        <w:rPr>
          <w:sz w:val="20"/>
          <w:szCs w:val="20"/>
          <w:color w:val="auto"/>
        </w:rPr>
      </w:pPr>
    </w:p>
    <w:p>
      <w:pPr>
        <w:ind w:left="1460" w:hanging="480"/>
        <w:spacing w:after="0" w:line="282" w:lineRule="auto"/>
        <w:tabs>
          <w:tab w:leader="none" w:pos="14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products or services that incorporate the intellectual property rights that we allegedly infringe, misappropriate or violate;</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 or</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to avoid infringement, misappropriation or violation, which could be costly, time-consuming or impossible.</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could negatively affect our ability to sell our services or subject us to litigation or other actions.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4" w:name="page35"/>
    <w:bookmarkEnd w:id="34"/>
    <w:p>
      <w:pPr>
        <w:jc w:val="both"/>
        <w:spacing w:after="0" w:line="252" w:lineRule="auto"/>
        <w:rPr>
          <w:sz w:val="20"/>
          <w:szCs w:val="20"/>
          <w:color w:val="auto"/>
        </w:rPr>
      </w:pPr>
      <w:r>
        <w:rPr>
          <w:rFonts w:ascii="Times New Roman" w:cs="Times New Roman" w:eastAsia="Times New Roman" w:hAnsi="Times New Roman"/>
          <w:sz w:val="18"/>
          <w:szCs w:val="18"/>
          <w:color w:val="auto"/>
        </w:rPr>
        <w:t>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International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operations are international in scope, and we plan further geographic expansion, creating a variety of operational challenges.</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Revenue, as determined based on the billing address of our customers, from regions outside of North America was 30% for the year ended December 31, 2023.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December 31, 2023, approximately 39% of our full-time employees were located outside of the United States, 36%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117" w:lineRule="exact"/>
        <w:rPr>
          <w:sz w:val="20"/>
          <w:szCs w:val="20"/>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and hybrid IT infrastructures by international businesses;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trade relations, sanctions, regulations, or laws;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regulatory requirements, or tax laws;</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privacy and data security and the unauthorized use of, or access to, commercial and personal information, particularly in Europe and the United Kingdom;</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1460" w:right="420" w:hanging="480"/>
        <w:spacing w:after="0" w:line="266" w:lineRule="auto"/>
        <w:tabs>
          <w:tab w:leader="none" w:pos="14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5" w:name="page36"/>
    <w:bookmarkEnd w:id="35"/>
    <w:p>
      <w:pPr>
        <w:ind w:left="1460" w:hanging="480"/>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laws, regulations and costs affecting our U.K. operations and local employees due to Brexit;</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terrorist activities and military conflict, including the war in Ukraine and conflict in the Middle East;</w:t>
      </w:r>
    </w:p>
    <w:p>
      <w:pPr>
        <w:spacing w:after="0" w:line="117" w:lineRule="exact"/>
        <w:rPr>
          <w:rFonts w:ascii="Times New Roman" w:cs="Times New Roman" w:eastAsia="Times New Roman" w:hAnsi="Times New Roman"/>
          <w:sz w:val="18"/>
          <w:szCs w:val="18"/>
          <w:color w:val="auto"/>
        </w:rPr>
      </w:pPr>
    </w:p>
    <w:p>
      <w:pPr>
        <w:ind w:left="1460" w:right="220" w:hanging="480"/>
        <w:spacing w:after="0" w:line="282" w:lineRule="auto"/>
        <w:tabs>
          <w:tab w:leader="none" w:pos="14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outbreak of a contagious disease, which may cause us or our third-party providers and/or customers to temporarily suspend our or their respective operations in the affected city or country;</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FCPA, U.S. bribery laws, the UK Bribery Act,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results of operations.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sales contracts are denominated in U.S. dollars, and therefore, our revenue is not directly subject to foreign currency risk. However, a strengthening of the U.S. dollar could increase the real cost of our products and platform capabilities to our customers outside of the United States, which could adversely affect our results of operations. In addition, an increasing amount of our operating expenses are incurred outside the United States. These operating expenses are denominated in foreign currencies and are subject to fluctuations due to changes in foreign currency exchange rates. If we are not able to successfully hedge against the risks associated with currency fluctuations, our results of operations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subject us to potential adverse tax consequences.</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229" w:lineRule="exact"/>
        <w:rPr>
          <w:sz w:val="20"/>
          <w:szCs w:val="20"/>
          <w:color w:val="auto"/>
        </w:rPr>
      </w:pPr>
    </w:p>
    <w:p>
      <w:pPr>
        <w:ind w:right="20" w:firstLine="972"/>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54" w:lineRule="exact"/>
        <w:rPr>
          <w:sz w:val="20"/>
          <w:szCs w:val="20"/>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subscriptions to our products;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software;</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Additional risks are described in “Risks Associated with our Growth—Unfavorable conditions in our industry or the global economy, or reductions in information technology spending, could limit our ability to grow our business and negatively affect our results of operations”.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As of December 31, 2023, our outstanding shares of Class B common stock represented approximately 46% of the voting power of our outstanding capital stock. As a result, the holders of our Class B common stock, which includes certain of our directors, executive officers and their affiliates,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9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has had and will continue to have the effect, over time, of increasing the relative voting power of those holders of Class B common stock who retain their Class B shares.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22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stockholders who held our capital stock prior to the completion of our initial public offering, or IPO, including our executive officers, employees and directors and their affiliates, will result in a lower or more volatile market price of our Class A common stock or in adverse publicity or other adverse consequences. For example, certain index providers have in the past imposed restrictions on including companies with multiple class share structures in certain of their indexes.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Further, as of December 31, 2023, holders of a substantial number of shares of our capital stock have rights, subject to certain conditions, to require us to file registration statements covering the sale of their shares or to include their shares in registration statements that we may file for ourselves or other stockholders.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5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continue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common stock. For example, if we elect to settle our conversion obligation under our 0.125% Convertible Senior Notes due 2025, or our 2025 Notes, in shares of our Class A common stock or a combination of cash and shares of our Class A common stock, the issuance of such Class A common stock may dilute the ownership interests of our stockholders and sales in the public market could adversely affect prevailing market prices.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7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will be heavily influenced by the way analysts interpret our financial information and other disclosures. We do not have control over these analysts. If securities or industry analysts cease coverage of us,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or Class A common stock or publish unfavorable research on us. As a result, demand for our Class A common stock could decrease, which might cause our stock price to decline and could decrease the trading volume of our Class A common stock.</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costs and demands upon management as a result of complying with the laws and regulations affecting public companies in the United States, which may harm our business.</w:t>
      </w:r>
    </w:p>
    <w:p>
      <w:pPr>
        <w:spacing w:after="0" w:line="15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As a public company in the Unites States, we incur significant legal, accounting, insurance, and other expenses. The Sarbanes-Oxley Act, the Dodd-Frank Wall Street Reform and Consumer Protection Act, the listing requirements of the Nasdaq Global Select Market and other applicable securities rules and regulations impose various requirements on public companies and these laws, requirements, rules and regulations are subject to varying interpretations and, as a result, their application in practice may evolve over time as new guidance is provided by regulatory and governing bodies. Our management and other personnel devote a substantial amount of time to compliance with these requirements. These rules and regulations contribute to increased legal and financial compliance costs and make some activities more time-consuming and costly.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5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We have hired, and need to continue to hire, additional accounting and financial staff with appropriate public company experience and technical accounting knowledge to comply with Section 404.</w:t>
      </w:r>
    </w:p>
    <w:p>
      <w:pPr>
        <w:spacing w:after="0" w:line="187"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5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68" w:lineRule="exact"/>
        <w:rPr>
          <w:sz w:val="20"/>
          <w:szCs w:val="20"/>
          <w:color w:val="auto"/>
        </w:rPr>
      </w:pPr>
    </w:p>
    <w:p>
      <w:pPr>
        <w:ind w:left="1460" w:hanging="480"/>
        <w:spacing w:after="0" w:line="282" w:lineRule="auto"/>
        <w:tabs>
          <w:tab w:leader="none" w:pos="14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9" w:name="page40"/>
    <w:bookmarkEnd w:id="39"/>
    <w:p>
      <w:pPr>
        <w:ind w:left="1460" w:hanging="480"/>
        <w:spacing w:after="0" w:line="282" w:lineRule="auto"/>
        <w:tabs>
          <w:tab w:leader="none" w:pos="14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2/3% of our outstanding shares of voting stock;</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53"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62"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75"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8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2025 Notes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5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In June 2020, we issued the 2025 Notes in a private placement. We may be required to use a substantial portion of our cash flows from operations to pay interest and principal on our indebtedness. Our ability to make scheduled payments of the principal of, to pay interest on or to refinance our indebtedness, including the 2025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6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2025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2025 Notes that could have the effect of diminishing our ability to make payments on the 2025 Notes when due.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2025 Notes may adversely affect our financial condition and operating results.</w:t>
      </w:r>
    </w:p>
    <w:p>
      <w:pPr>
        <w:spacing w:after="0" w:line="22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In the event the conditional conversion feature of the 2025 Notes is triggered, as it was during the quarter ended March 31, 2022, holders of the 2025 Notes are entitled to convert the notes at any time during specified periods at their option. If one or more holders elect to convert their 2025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2025 Notes when these conversion triggers are satisfied, we could be required under applicable accounting rules to reclassify all or a portion of the outstanding principal of the 2025 Notes as a current rather than long-term liability, which would result in a material reduction of our net working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2025 Notes and our Class A common stock.</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In connection with the pricing of the 2025 Notes, we entered into capped call transactions with the option counterparties. The capped call transactions cover, subject to customary adjustments, the number of shares of our common stock that initially underlie the 2025 Notes. The capped call transactions are expected generally to partially offset the potential dilution to our Class A common stock as a result of conversion of the 2025 Notes. In connection with establishing their initial hedges of the capped call transactions, the option counterparties or their respective affiliates entered into various derivative transactions with respect to our Class A common stock concurrently with or shortly after the pricing of the 2025 Notes, including with certain investors in the 2025 Notes.</w:t>
      </w:r>
    </w:p>
    <w:p>
      <w:pPr>
        <w:spacing w:after="0" w:line="187"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In addition, the option counterparties or their respective affiliates may modify their hedge positions by entering into or unwinding various derivatives with respect to our common stock and/or purchasing or selling our Class A common stock or other securities of ours in secondary market transactions following the pricing of the 2025 Notes on June 2, 2020 and prior to the maturity of the 2025 Notes. They are likely to do so on each exercise date for the capped call transactions, which are expected to occur during each 30 trading day period beginning on the 31st scheduled trading day prior to the maturity date of the 2025 Notes, or following any termination of any portion of the capped call transactions in connection with any repurchase, redemption or early conversion of the 2025 Notes. This activity could also cause or prevent an increase or decrease in the price of our Class A common stock or the 2025 Notes. The potential effect, if any, of these transactions on the price of our Class A common stock or the 2025 Notes will depend in part on market conditions and cannot be ascertained at this time. Any of these activities could adversely affect the value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2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The counterparties to the capped call transactions are financial institutions, and we will be subject to the risk that one or more of the option counterparties may default, fail to perform or exercise their termination rights under the capped call transactions. Our exposure to the credit risk of the option counterparties will not be secured by any collateral. If a counterparty to the capped call transactions becomes subject to insolvency proceedings, we will become an unsecured creditor in those proceedings with a claim equal to our exposure at the time under such transaction. Our exposure will depend on many factors but, generally, our exposure will increase if the market price or the volatility of our common stock increases. In addition, upon a default, failure to perform or a termination of the capped call transactions by a counterparty, we may suffer more dilution than we currently anticipate with respect to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6"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We utilize various processes and tools to assess, identify, and manage risks from cybersecurity threats. In the development of our products and features, our security teams work with our engineering and product teams to identify, assess, and agree upon mitigation or remediation measures with respect to product development. On an ongoing basis, we encourage an environment of openness in which our engineering and product teams, led by our security teams, proactively identify, manage and discuss actual or perceived cybersecurity risks. These teams also use automated and manual processes to identify and track risks from cybersecurity threats. The identified risks are triaged, prioritized for remediation, and reported by the security teams to various levels of our senior management, as appropriate. We also deploy technical safeguards that are designed to protect our platform and systems from cybersecurity threats, including firewalls, intrusion prevention, and detection systems. We have established an incident response plan that addresses our response to cybersecurity incidents, and we require periodic training for our employees on cybersecurity threats. In addition, we maintain cybersecurity insurance, however, the costs related to cybersecurity threats or disruptions may not be fully insured.</w:t>
      </w:r>
    </w:p>
    <w:p>
      <w:pPr>
        <w:spacing w:after="0" w:line="200" w:lineRule="exact"/>
        <w:rPr>
          <w:sz w:val="20"/>
          <w:szCs w:val="20"/>
          <w:color w:val="auto"/>
        </w:rPr>
      </w:pPr>
    </w:p>
    <w:p>
      <w:pPr>
        <w:spacing w:after="0" w:line="258"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In addition, we maintain third-party vendor management standards that are used to evaluate cybersecurity risks associated with our third-party service providers, and we assess information technology and software vendors to determine their security posture and maturity. All vendors that process our data or access our systems go through a security and privacy review before they are engaged that is targeted to the services to be provided and the systems and data involved. Based on the information provided by the vendor and depending on the nature of the services provided, our vendor management process may involve security questionnaires and contractual obligations such as audit rights and breach reporting.</w:t>
      </w:r>
    </w:p>
    <w:p>
      <w:pPr>
        <w:spacing w:after="0" w:line="21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We also periodically perform various types of security audits and assessments, including penetration tests, via internal and external parties. In addition, certain Datadog products are subject to specific compliance requirements and standards, including, as applicable, ISO 27001, SOC 2, PCI, and FedRAMP (Low and Moderate), and are tested and evaluated by third-party auditors against those applicable compliance requirements and standards. The identified risks from such audits and assessments are triaged, prioritized, reported by our security teams to various levels of our senior management and tracked and remediated depending on the severity.</w:t>
      </w:r>
    </w:p>
    <w:p>
      <w:pPr>
        <w:spacing w:after="0" w:line="210"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Our internal audit function conducts annual interviews across business groups to identify key areas of risk, including cybersecurity risk. This enterprise risk assessment helps inform the internal audit plan, and both the assessment and progress against the internal audit plan are periodically presented to the Audit Committee. Our Chief Information Security Officer also reports separately to our Audit Committee on cyber and information security risk on a quarterly basis.</w:t>
      </w:r>
    </w:p>
    <w:p>
      <w:pPr>
        <w:spacing w:after="0" w:line="207"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have previously and may in the future become the target of cyber-attacks by third parties seeking unauthorized access to our or our customers’ data or to disrupt our ability to provide our services. As a result, we have expended and plan to continue to expend significant resources in an effort to protect against security incidents and to mitigate, detect, and remediate actual and potential vulnerabilities. Notwithstanding the measures and processes we take to manage cybersecurity risk, there is no guarantee that these measures and processes will be successful in preventing or mitigating a cybersecurity incident that could have a material adverse effect on us. For a description of the risks from cybersecurity threats that may materially affect the Company and how those risks may affect the Company, see our risk factors under Part 1. Item 1A. Risk Factors in this Annual Report on Form 10-K, including without limitation “Strategic and Operational Risks—If we or our third-party service providers experience, or are unable to protect against cyber-attacks, ransomware, security incidents, or security breaches, or if unauthorized parties otherwise obtain access to or otherwise compromise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Board of Directors has delegated its oversight of risks associated with cybersecurity to its Audit Committee. Generally, each quarter, the Audit Committee reviews and discusses with our Chief Information Security Officer material cybersecurity risks and our processes for assessing, identifying, and managing such risks, and the Audit Committee will receive updates as necessary between each quarterly meeting. In the event of a material cybersecurity incident, the Audit Committee will be notified, and the Board of Directors will also receive updates on cybersecurity risks and incidents, as appropriate.</w:t>
      </w:r>
    </w:p>
    <w:p>
      <w:pPr>
        <w:spacing w:after="0" w:line="210"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Our Chief Information Security Officer and Chief Technology Officer are the members of our executive team who are principally responsible for overseeing our cybersecurity risk management program. Our Chief Information Security Officer and Chief Technology Officer are informed about cybersecurity threats through their involvement with the processes set forth above. For example, our Chief Information Security Officer receives regular reports on identified cybersecurity risks and</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progress toward remediation from our security teams and both our Chief Information Security Officer and Chief Technology Officer are notified of cybersecurity incidents and the management of such incidents in accordance with the escalation procedures of our incident response plan.</w:t>
      </w:r>
    </w:p>
    <w:p>
      <w:pPr>
        <w:spacing w:after="0" w:line="18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believe these members of our executive team have the appropriate expertise, background, and experience to manage risks arising from cybersecurity threats. Alexis Lê-Quôc is one of the co-founders of our company and has served as our Chief Technology Officer and a member of our board of directors since June 2010. Mr. Lê-Quôc has extensive knowledge and experience from building and leading the development of our technology and from his decades of experience in the technology industry. Prior to co-founding Datadog, Mr. Lê-Quôc worked at Wireless Generation from March 2004 to December 2010, where he most recently served as Director of Live Operations. Previously, Mr. Lê-Quôc held engineering positions at a number of technology and software companies, including IBM Research and France Télécom S.A. Mr. Lê-Quôc received his M.S. in Computer Science from CentraleSupélec. Emilio Escobar has served as our Chief Information Security Officer since September 2020. With two decades of experience in information security and compliance, Mr. Escobar has worked at large enterprises, medium-sized companies, and governmental organizations. Previously, Mr. Escobar served as the Vice President of Information Security for Hulu, where he played a pivotal role in setting up key security functions. Prior to that, Mr. Escobar worked for PlayStation, where he built and ran the software security teams. Mr. Escobar holds a BS in Computer Science from the University of Puerto Rico.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Our current principal executive office is located in New York, New York and, as of December 31, 2023, it consists of approximately 238,000 square feet of space under leases that expire in June 2033.</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We lease other offices around the world for our employees, including in Boston, Denver, San Francisco, Paris, Dublin, Amsterdam, Sydney, Tokyo, and Singapore.</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We intend to procure additional space in the future as we continue to add employees and expand geographically. We believe our facilities are adequate and suitable for our current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 of Record</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Our Class A common stock is traded on The Nasdaq Global Select Market, or Nasdaq, under the symbol “DDOG”. Our Class B common stock is not listed or traded on any exchange, but each share of Class B common stock is convertible at any time at the option of the holder into one share of Class A common stock, and is automatically converted upon sale or transfer into one share of Class A common stock.</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As of February 15, 2024, there were 305,929,910 holders of record of our Class A common stock and 25,944,197 holders of record of our Class B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dividends on our Class A common stock or Class B common stock. We currently intend to retain all available funds and any future earnings for the operation and expansion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issued 176,687 shares of Class A common stock as consideration in acquisitions. The issuance was deemed exempt from registration under the Securities Act pursuant to the exemption provided by Section 4(a)(2) of the Securities Act as a transaction by an issuer not involving a public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auto"/>
        </w:rPr>
        <w:t>The graph below shows a comparison, from September 19, 2019 (the date our Class A common stock commenced trading on Nasdaq) through December 31, 2023, of the cumulative total return to stockholders of our Class A common stock relative to the Nasdaq-100 Index, or the Nasdaq 100, and the Nasdaq Computer Index, or the Nasdaq Computer.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 graph assumes that $100 was invested in each of our Class A common stock, the Nasdaq 100 and the Nasdaq Computer at their respective closing prices on September 19, 2019 and assumes reinvestment of gross dividends.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123190</wp:posOffset>
            </wp:positionV>
            <wp:extent cx="5863590" cy="3042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63590"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Datadog, Inc. under the Securities Act or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consolidated financial statements and related notes appearing elsewhere in this Annual Report on Form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Annual Report on Form 10-K. You should review the disclosure under the heading “Part I, Item 1A. Risk Factors” in this Annual Report on Form 10-K for a discussion of important factors that could cause our actual results to differ materially from those anticipated in these forward-looking statements.</w:t>
      </w:r>
    </w:p>
    <w:p>
      <w:pPr>
        <w:spacing w:after="0" w:line="183"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i w:val="1"/>
          <w:iCs w:val="1"/>
          <w:color w:val="auto"/>
        </w:rPr>
        <w:t>This section of our Annual Report on Form 10-K discusses our financial condition and results of operations for the fiscal years ended December 31, 2023 and 2022, and year-to-year comparisons between fiscal 2023 and fiscal 2022. A discussion of our financial condition and results of operations for the fiscal year ended December 31, 2021 and year-to-year comparisons between fiscal 2022 and fiscal 2021 that are not included in this Annual Report on Form 10-K can be found in “Management’s Discussion and Analysis of Financial Condition and Results of Operations” in Part II, Item 7 of our Annual Report on Form 10-K for the fiscal year ended December 31, 2022, filed on February 24, 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Datadog is the observability and security platform for cloud applications.</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45" w:name="page46"/>
    <w:bookmarkEnd w:id="45"/>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SaaS platform integrates and automates infrastructure monitoring, application performance monitoring, log management, user experience monitoring, cloud security, and many other capabilities to provide unified, real-time observability and security for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spacing w:after="0" w:line="180"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0"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As of December 31, 2023, we had $330.3 million in cash, cash equivalents and restricted cash and $2,252.6 million in marketable securities. We have grown rapidly in recent periods, with revenues for the fiscal years ended December 31, 2023, 2022 and 2021 of $2,128.4 million, $1,675.1 million, and $1,028.8 million, respectively, representing year-over-year growth of 27% from the fiscal year ended December 31, 2022 to the fiscal year ended December 31, 2023 and 63% from the fiscal year ended December 31, 2021 to the fiscal year ended December 31, 2022. Substantially all of our revenue is from subscription software sales. We have continued to make significant expenditures and investments, including in personnel-related costs, sales and marketing, infrastructure and operations, and have incurred net income (losses) of $48.6 million, $(50.2) million and $(20.7) million for the fiscal years ended December 31, 2023, 2022 and 2021, respectively. Our operating cash flow was $660.0 million, $418.4 million and $286.5 million for the years ended December 31, 2023, 2022 and 2021, respectively. Our free cash flow was $597.5 million, $353.5 million and $250.5 million for the years ended December 31, 2023, 2022 and 2021, respectively. See the section titled “—Liquidity and Capital Resources—Non-GAAP Free Cash Flow” below.</w:t>
      </w:r>
    </w:p>
    <w:p>
      <w:pPr>
        <w:spacing w:after="0" w:line="188"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Unfavorable conditions in the economy both in the United States and abroad may negatively affect the growth of our business and our results of operations. For example, macroeconomic events including rising inflation, the U.S. Federal Reserve raising interest rates, the Russian invasion of Ukraine, the conflict in the Middle East and the COVID-19 pandemic have led to economic uncertainty. Historically, during periods of economic uncertainty and downturns, businesses may slow spending on information technology, which may impact our business and our customers’ businesses. In recent quarters, we have seen slower usage growth from existing customers, which may be related to the uncertain macroeconomic environment.</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Due to our subscription model, the effect of macroeconomic conditions may not be fully reflected in our results of operations until future periods. However, if economic uncertainty increases or the global economy worsens, our business, financial condition and results of operations may be harmed. For further discussion of the potential impacts of macroeconomic events on our business, financial condition, and operating results, see “Risk Factors” included in Part I, Item 1A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December 31, 2023, we had approximately 27,300 customers spanning organizations of a broad range of sizes and industries, compared to approximately 23,200 as of December 31, 2022. Customers as of December 31, 2022 exclude customers from a then-recent acquisition, which did not contribute meaningful revenue during the fiscal year. Our ability to attract new customers will depend on a number of factors, including the effectiveness and pricing of our products, offerings of our competitors, and the effectiveness of our marketing efforts.</w:t>
      </w:r>
    </w:p>
    <w:p>
      <w:pPr>
        <w:spacing w:after="0" w:line="18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Our base of customers represents a significant opportunity for further sales expansion. As of December 31, 2023, we had approximately 3,190 customers with annual run-rate revenue, or ARR, of $100,000 or more, representing 86% of our ARR, up from 2,780 as of December 31, 2022, representing 85%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usage from subscriptions for a committed contractual amount of usage that is delivered as used and monthly subscriptions.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88"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December 31, 2023, our trailing 12-month dollar-based net retention rate was mid-110%'s. As of December 31, 2022, our trailing 12-month dollar-based net retention rate was mid-140%'s. The decline in our trailing 12-month dollar-based net retention rate was primarily attributable to slower usage growth from existing customers, which may be related to the uncertain macroeconomic environment.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trailing 12-month dollar-based net retention rate. As the growth of our business has decelerated in recent quarters, our trailing 12-month dollar-based net retention rate has declined.</w:t>
      </w:r>
    </w:p>
    <w:p>
      <w:pPr>
        <w:spacing w:after="0" w:line="19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Sustaining Innovation and Technology Leadership</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demonstrated the success of our platform approach, through expansion beyond our initial infrastructure monitoring solution to include over 19 products. As of December 31, 2023, approximately 83% of our customers were using more than one product, up from approximately 81% a year earlier. Additionally, as of December 31, 2023, approximately 47% of our customers were using more than four products, up from approximately 42% a year earlier, and approximately 22% of our customers were using more than six products, up from approximately 18% a year earlier. We believe these metrics indicate strong expansion of product adoption across our platform.</w:t>
      </w:r>
    </w:p>
    <w:p>
      <w:pPr>
        <w:spacing w:after="0" w:line="194"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Internationally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7" w:name="page48"/>
    <w:bookmarkEnd w:id="47"/>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believe there is a significant opportunity to expand usage of our platform outside of North America. Revenue, as determined based on the billing address of our customers, from regions outside of North America was approximately 30% and 28% of our total revenue for each of the years ended December 31, 2023 and 2022, respectively. In addition, we have made and plan to continue to make significant investments to expand geographically, particularly in EMEA and APAC. Although these investments may adversely affect our operating results in the near term, we believe that they will contribute to our long-term growth. Beyond North America, we now have sales presence internationally, primarily in Amsterdam, Dublin, London, Paris, Seoul, Singapore, Sydney, and Tokyo.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annual or multi-year,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Usage is measured primarily by the number of hosts or by the volume of data indexed. A host is generally defined as a server, either in the cloud or on-premise. Our infrastructure monitoring, APM and network performance monitoring products are priced per host, our logs product is priced primarily per log events indexed and secondarily by events ingested. Customers also have the option to purchase additional products, such as additional container or serverless monitoring, custom metrics packages, anomaly detection, synthetic monitoring and app analytics.</w:t>
      </w:r>
    </w:p>
    <w:p>
      <w:pPr>
        <w:spacing w:after="0" w:line="180"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88"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Due to ease of implementation of our products, professional services generally are not required and revenue from such services has been immaterial to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IT-related expenses, including depreciation expense.</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We expect that our research and development expense will increase in absolute dollars as our business grows, particularly as we incur additional costs related to continued investments in our platform.</w:t>
      </w:r>
    </w:p>
    <w:p>
      <w:pPr>
        <w:spacing w:after="0" w:line="17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176"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Other income (loss), net consists of interest income, primarily due to income earned on money market funds included in cash and cash equivalents and on marketable securities, partially offset by interest expense due on the 2025 Notes and amortization of premiums on our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7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7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2,128,359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1,028,784</w:t>
            </w:r>
          </w:p>
        </w:tc>
      </w:tr>
      <w:tr>
        <w:trPr>
          <w:trHeight w:val="243"/>
        </w:trPr>
        <w:tc>
          <w:tcPr>
            <w:tcW w:w="670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(1)(2)(3)</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409,908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346,743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234,245</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794,539</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670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(1)(3)</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962,447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752,351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419,769</w:t>
            </w:r>
          </w:p>
        </w:tc>
      </w:tr>
      <w:tr>
        <w:trPr>
          <w:trHeight w:val="243"/>
        </w:trPr>
        <w:tc>
          <w:tcPr>
            <w:tcW w:w="670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(1)(2)(3)</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299,497</w:t>
            </w:r>
          </w:p>
        </w:tc>
      </w:tr>
      <w:tr>
        <w:trPr>
          <w:trHeight w:val="243"/>
        </w:trPr>
        <w:tc>
          <w:tcPr>
            <w:tcW w:w="670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(1)(3)</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180,192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94,429</w:t>
            </w:r>
          </w:p>
        </w:tc>
      </w:tr>
      <w:tr>
        <w:trPr>
          <w:trHeight w:val="223"/>
        </w:trPr>
        <w:tc>
          <w:tcPr>
            <w:tcW w:w="6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1,751,915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1,387,052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813,695</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670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(21,052)</w:t>
            </w:r>
          </w:p>
        </w:tc>
      </w:tr>
      <w:tr>
        <w:trPr>
          <w:trHeight w:val="243"/>
        </w:trPr>
        <w:tc>
          <w:tcPr>
            <w:tcW w:w="6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21,786</w:t>
            </w:r>
          </w:p>
        </w:tc>
      </w:tr>
      <w:tr>
        <w:trPr>
          <w:trHeight w:val="223"/>
        </w:trPr>
        <w:tc>
          <w:tcPr>
            <w:tcW w:w="6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(20,745)</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123" w:lineRule="exact"/>
        <w:rPr>
          <w:sz w:val="20"/>
          <w:szCs w:val="20"/>
          <w:color w:val="auto"/>
        </w:rPr>
      </w:pPr>
    </w:p>
    <w:p>
      <w:pPr>
        <w:ind w:left="640" w:hanging="632"/>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expense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0" w:type="dxa"/>
            <w:vAlign w:val="bottom"/>
          </w:tcPr>
          <w:p>
            <w:pPr>
              <w:spacing w:after="0"/>
              <w:rPr>
                <w:sz w:val="3"/>
                <w:szCs w:val="3"/>
                <w:color w:val="auto"/>
              </w:rPr>
            </w:pPr>
          </w:p>
        </w:tc>
        <w:tc>
          <w:tcPr>
            <w:tcW w:w="6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200" w:type="dxa"/>
            <w:vAlign w:val="bottom"/>
          </w:tcPr>
          <w:p>
            <w:pPr>
              <w:spacing w:after="0"/>
              <w:rPr>
                <w:sz w:val="3"/>
                <w:szCs w:val="3"/>
                <w:color w:val="auto"/>
              </w:rPr>
            </w:pPr>
          </w:p>
        </w:tc>
        <w:tc>
          <w:tcPr>
            <w:tcW w:w="6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101,942</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35,035</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22,195</w:t>
            </w:r>
          </w:p>
        </w:tc>
        <w:tc>
          <w:tcPr>
            <w:tcW w:w="0" w:type="dxa"/>
            <w:vAlign w:val="bottom"/>
          </w:tcPr>
          <w:p>
            <w:pPr>
              <w:spacing w:after="0"/>
              <w:rPr>
                <w:sz w:val="1"/>
                <w:szCs w:val="1"/>
                <w:color w:val="auto"/>
              </w:rPr>
            </w:pPr>
          </w:p>
        </w:tc>
      </w:tr>
      <w:tr>
        <w:trPr>
          <w:trHeight w:val="248"/>
        </w:trPr>
        <w:tc>
          <w:tcPr>
            <w:tcW w:w="20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163,737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700" w:type="dxa"/>
            <w:vAlign w:val="bottom"/>
            <w:gridSpan w:val="2"/>
            <w:vMerge w:val="continue"/>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65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Includes amortization of acquired intangibles expense as follows:</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00" w:type="dxa"/>
            <w:vAlign w:val="bottom"/>
          </w:tcPr>
          <w:p>
            <w:pPr>
              <w:spacing w:after="0"/>
              <w:rPr>
                <w:sz w:val="3"/>
                <w:szCs w:val="3"/>
                <w:color w:val="auto"/>
              </w:rPr>
            </w:pPr>
          </w:p>
        </w:tc>
        <w:tc>
          <w:tcPr>
            <w:tcW w:w="6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200" w:type="dxa"/>
            <w:vAlign w:val="bottom"/>
          </w:tcPr>
          <w:p>
            <w:pPr>
              <w:spacing w:after="0"/>
              <w:rPr>
                <w:sz w:val="3"/>
                <w:szCs w:val="3"/>
                <w:color w:val="auto"/>
              </w:rPr>
            </w:pPr>
          </w:p>
        </w:tc>
        <w:tc>
          <w:tcPr>
            <w:tcW w:w="6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48"/>
        </w:trPr>
        <w:tc>
          <w:tcPr>
            <w:tcW w:w="20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23" w:lineRule="exact"/>
        <w:rPr>
          <w:sz w:val="20"/>
          <w:szCs w:val="20"/>
          <w:color w:val="auto"/>
        </w:rPr>
      </w:pPr>
    </w:p>
    <w:p>
      <w:pPr>
        <w:ind w:left="640" w:hanging="632"/>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employer payroll taxes on employee stock transactions as follows: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7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7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6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21,449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8,143</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32,541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123" w:lineRule="exact"/>
        <w:rPr>
          <w:sz w:val="20"/>
          <w:szCs w:val="20"/>
          <w:color w:val="auto"/>
        </w:rPr>
      </w:pPr>
    </w:p>
    <w:p>
      <w:pPr>
        <w:ind w:left="640" w:hanging="632"/>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debt discount and issuance costs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7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7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3,369</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r>
    </w:tbl>
    <w:p>
      <w:pPr>
        <w:spacing w:after="0" w:line="2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revenue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0" w:type="dxa"/>
            <w:vAlign w:val="bottom"/>
          </w:tcPr>
          <w:p>
            <w:pPr>
              <w:spacing w:after="0"/>
              <w:rPr>
                <w:sz w:val="3"/>
                <w:szCs w:val="3"/>
                <w:color w:val="auto"/>
              </w:rPr>
            </w:pPr>
          </w:p>
        </w:tc>
        <w:tc>
          <w:tcPr>
            <w:tcW w:w="5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0" w:type="dxa"/>
            <w:vAlign w:val="bottom"/>
          </w:tcPr>
          <w:p>
            <w:pPr>
              <w:spacing w:after="0"/>
              <w:rPr>
                <w:sz w:val="3"/>
                <w:szCs w:val="3"/>
                <w:color w:val="auto"/>
              </w:rPr>
            </w:pPr>
          </w:p>
        </w:tc>
        <w:tc>
          <w:tcPr>
            <w:tcW w:w="5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6"/>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60" w:type="dxa"/>
            <w:vAlign w:val="bottom"/>
            <w:gridSpan w:val="9"/>
          </w:tcPr>
          <w:p>
            <w:pPr>
              <w:jc w:val="center"/>
              <w:ind w:left="192"/>
              <w:spacing w:after="0" w:line="196" w:lineRule="exact"/>
              <w:rPr>
                <w:sz w:val="20"/>
                <w:szCs w:val="20"/>
                <w:color w:val="auto"/>
              </w:rPr>
            </w:pPr>
            <w:r>
              <w:rPr>
                <w:rFonts w:ascii="Times New Roman" w:cs="Times New Roman" w:eastAsia="Times New Roman" w:hAnsi="Times New Roman"/>
                <w:sz w:val="14"/>
                <w:szCs w:val="14"/>
                <w:b w:val="1"/>
                <w:bCs w:val="1"/>
                <w:color w:val="auto"/>
              </w:rPr>
              <w:t>(as a percentage of total revenue</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w:t>
            </w: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shd w:val="clear" w:color="auto" w:fill="CCEEFF"/>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shd w:val="clear" w:color="auto" w:fill="CCEEFF"/>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 w:type="dxa"/>
            <w:vAlign w:val="bottom"/>
            <w:shd w:val="clear" w:color="auto" w:fill="CCEEFF"/>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shd w:val="clear" w:color="auto" w:fill="CCEEFF"/>
          </w:tcPr>
          <w:p>
            <w:pPr>
              <w:spacing w:after="0"/>
              <w:rPr>
                <w:sz w:val="19"/>
                <w:szCs w:val="19"/>
                <w:color w:val="auto"/>
              </w:rPr>
            </w:pPr>
          </w:p>
        </w:tc>
        <w:tc>
          <w:tcPr>
            <w:tcW w:w="5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9"/>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88"/>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_____________________</w:t>
            </w: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0"/>
        </w:trPr>
        <w:tc>
          <w:tcPr>
            <w:tcW w:w="54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52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Certain items may not total due to rounding.</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2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gridSpan w:val="5"/>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2,128,359</w:t>
            </w:r>
          </w:p>
        </w:tc>
        <w:tc>
          <w:tcPr>
            <w:tcW w:w="5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1,675,100</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99"/>
              </w:rPr>
              <w:t>49</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51" w:name="page52"/>
    <w:bookmarkEnd w:id="51"/>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Revenue increased by $453.3 million or 27%, for the year ended December 31, 2023 compared to the year ended December 31, 2022. Approximately 65% of the increase in revenue was attributable to growth from existing customers, and the remaining 35% was attributable to growth from new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409,908</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346,743</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63,165</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Cost of revenue increased by $63.2 million, or 18%, for the year ended December 31, 2023 compared to the year ended December 31, 2022. This increase was primarily due to an increase of $36.8 million in third-party cloud infrastructure hosting and software costs, an increase of $16.2 million in personnel expenses as a result of increased headcount, and an increase of $6.2 million in depreciation and amortization expense.</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Our gross margin increased by 2% for the year ended December 31, 2023 compared to the year ended December 31, 2022, primarily as the result of revenue growth exceeding the growth of third-party cloud infrastructure provider costs due to cost savings.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962,447</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752,351</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210,096</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$210.1 million, or 28%, for the year ended December 31, 2023 compared to the year ended December 31, 2022. This increase was primarily due to an increase of $194.5 million in personnel costs including allocated overhead costs for our engineering, product and design teams as a result of increased headcount and an increase of $14.1 million in cloud infrastructure-related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609,276</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495,288</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113,988</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by $114.0 million, or 23%, for the year ended December 31, 2023 compared to the year ended December 31, 2022. This increase was primarily due to an increase of $107.5 million in personnel costs including allocated overhead costs for our sales and marketing organization as a result of increased headcount and increased variable compensation for our sales personnel and an increase of $5.4 million in advertising, sales, marketing and promotional activities.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180,192</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139,413</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40,779</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$40.8 million, or 29%, for the year ended December 31, 2023 compared to the year ended December 31, 2022. This increase was primarily due to an increase in personnel costs including allocated overhead costs as a result of increased headcount, legal expenses, and other professional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93,699</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20,625</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73,074</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0" w:type="dxa"/>
            <w:vAlign w:val="bottom"/>
          </w:tcPr>
          <w:p>
            <w:pPr>
              <w:spacing w:after="0"/>
              <w:rPr>
                <w:sz w:val="1"/>
                <w:szCs w:val="1"/>
                <w:color w:val="auto"/>
              </w:rPr>
            </w:pP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auto"/>
        </w:rPr>
        <w:t>Other income, net increased by $73.1 million, or 354% for the year ended December 31, 2023 compared to the year ended December 31, 2022. This increase was primarily driven by an increase of $68.5 million in interest income, mainly due to income earned from investments in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customers. Our primary uses of cash from operating activities are for personnel expenses, hosting expenses, facility expenses, and marketing expenses. We have generated positive cash flows from operations during the years ended December 31, 2023, 2022, and 2021. When assessing sources of liquidity, we also include cash and cash equivalents of $330.3 million and marketable securities of $2.3 billion as of December 31, 2023. We believe that our existing cash and cash equivalents, marketable securities and cash flow from operations will be sufficient to support our cash requirements for the next 12 months and beyond.</w:t>
      </w:r>
    </w:p>
    <w:p>
      <w:pPr>
        <w:spacing w:after="0" w:line="183"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working capital requirements principally consist of workforce salaries, bonuses, commissions, and benefits and, to a lesser extent, cancellable and non-cancelable licenses and services arrangements that are integral to our business operations, and operating lease obligations. Non-cancelable purchase commitments for business operations and operating lease obligations total $485.0 million and $347.1 million, respectively, as of December 31, 2023, due primarily over the next five years. Purchase commitments for business operations are primarily related to cloud hosting and other software-based services.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issued long-term debt to finance our business. In June 2020, we issued $747.5 million aggregate principal amount of the 2025 Notes in a private placement to qualified institutional buyers pursuant to Rule 144A under the Securities Act. The total net proceeds from the sale of the 2025 Notes, after deducting the initial purchasers’ discounts and debt issuance costs, were approximately $730.2 million. The principal and future interest payments related to our 2025 Notes are $749.0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659,954</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418,407</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(731,365)</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(384,670)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58,279</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36,023</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2023 increased $241.5 million compared to the year ended December 31, 2022, primarily driven by an increase in non-cash charges of $104.6 million, an increase in deferred revenue of $62.3 million, and an increase in accounts payable of $59.1 million. The increase in non-cash charges related primarily to an increase of $119.1 million in stock-based compensation as we continued to increase headcount to support the growth of the business. The increase in cash provided by operating activities was partially offset by a decrease in accrued expenses and other liabilities of $78.1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increased by $346.7 million compared to the year ended December 31, 2022, primarily driven by a increase in the investment in marketable securities of $1,144.3 million, partially offset by an increase in proceeds from maturities of marketable securities of $726.8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increased by $22.3 million compared to the year ended December 31, 2022, primarily due to an increase in proceeds from the issuance of Class A common stock under the ESPP of $11.3 million and an increase in proceeds from the exercise of stock options of $10.9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Free Cash Flow</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report our financial results in accordance with U.S. GAAP. To supplement our consolidated financial statements, we provide investors with the amount of free cash flow, which is a non-GAAP financial measure. Free cash flow represents net cash provided by operating 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board of directors, investors and others in understanding and evaluating the strength of our liquidity and future ability to generate cash that can be used for strategic opportunities or investing in our business.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19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free cash flow to net cash provided by operating activities, the most directly comparable financial measure calculated in accordance with GAAP,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659,954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418,407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286,545</w:t>
            </w: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40" w:type="dxa"/>
            <w:vAlign w:val="bottom"/>
          </w:tcPr>
          <w:p>
            <w:pPr>
              <w:spacing w:after="0"/>
              <w:rPr>
                <w:sz w:val="19"/>
                <w:szCs w:val="19"/>
                <w:color w:val="auto"/>
              </w:rPr>
            </w:pPr>
          </w:p>
        </w:tc>
        <w:tc>
          <w:tcPr>
            <w:tcW w:w="1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(27,586)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(35,261)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w:t>
            </w: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(34,820)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(29,628)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(26,069)</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597,548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353,518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250,520</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The significant accounting policies and methods used in the preparation of our consolidated financial statements are discussed in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to our consolidated financial statements included elsewhere in this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We believe that the accounting policies described below involve a greater degree of judgment and complexity. Accordingly, these are the policies we believe are the most critical to aid in fully understanding and evaluating our consolidated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 xml:space="preserve">We </w:t>
      </w:r>
      <w:r>
        <w:rPr>
          <w:rFonts w:ascii="Times New Roman" w:cs="Times New Roman" w:eastAsia="Times New Roman" w:hAnsi="Times New Roman"/>
          <w:sz w:val="18"/>
          <w:szCs w:val="18"/>
          <w:color w:val="000000"/>
        </w:rPr>
        <w:t>generate revenue from the sale of subscriptions to customers using our cloud-based platform. The terms of our subscription agreements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are primarily monthly or annual,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r>
        <w:rPr>
          <w:rFonts w:ascii="Times New Roman" w:cs="Times New Roman" w:eastAsia="Times New Roman" w:hAnsi="Times New Roman"/>
          <w:sz w:val="18"/>
          <w:szCs w:val="18"/>
          <w:color w:val="231F20"/>
        </w:rPr>
        <w: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 xml:space="preserve">We account for revenue contracts with </w:t>
      </w:r>
      <w:r>
        <w:rPr>
          <w:rFonts w:ascii="Times New Roman" w:cs="Times New Roman" w:eastAsia="Times New Roman" w:hAnsi="Times New Roman"/>
          <w:sz w:val="18"/>
          <w:szCs w:val="18"/>
          <w:color w:val="000000"/>
        </w:rPr>
        <w:t>customers</w:t>
      </w:r>
      <w:r>
        <w:rPr>
          <w:rFonts w:ascii="Times New Roman" w:cs="Times New Roman" w:eastAsia="Times New Roman" w:hAnsi="Times New Roman"/>
          <w:sz w:val="18"/>
          <w:szCs w:val="18"/>
          <w:color w:val="231F20"/>
        </w:rPr>
        <w:t xml:space="preserve"> through the following steps:</w:t>
      </w:r>
    </w:p>
    <w:p>
      <w:pPr>
        <w:spacing w:after="0" w:line="117" w:lineRule="exact"/>
        <w:rPr>
          <w:sz w:val="20"/>
          <w:szCs w:val="20"/>
          <w:color w:val="auto"/>
        </w:rPr>
      </w:pPr>
    </w:p>
    <w:p>
      <w:pPr>
        <w:ind w:left="1540" w:hanging="560"/>
        <w:spacing w:after="0"/>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17" w:lineRule="exact"/>
        <w:rPr>
          <w:rFonts w:ascii="Times New Roman" w:cs="Times New Roman" w:eastAsia="Times New Roman" w:hAnsi="Times New Roman"/>
          <w:sz w:val="18"/>
          <w:szCs w:val="18"/>
          <w:color w:val="auto"/>
        </w:rPr>
      </w:pPr>
    </w:p>
    <w:p>
      <w:pPr>
        <w:ind w:left="1540" w:hanging="560"/>
        <w:spacing w:after="0"/>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1540" w:hanging="560"/>
        <w:spacing w:after="0"/>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determine the transaction price;</w:t>
      </w:r>
    </w:p>
    <w:p>
      <w:pPr>
        <w:spacing w:after="0" w:line="117" w:lineRule="exact"/>
        <w:rPr>
          <w:rFonts w:ascii="Times New Roman" w:cs="Times New Roman" w:eastAsia="Times New Roman" w:hAnsi="Times New Roman"/>
          <w:sz w:val="18"/>
          <w:szCs w:val="18"/>
          <w:color w:val="auto"/>
        </w:rPr>
      </w:pPr>
    </w:p>
    <w:p>
      <w:pPr>
        <w:ind w:left="1540" w:hanging="560"/>
        <w:spacing w:after="0"/>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540" w:hanging="560"/>
        <w:spacing w:after="0"/>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recognize revenue when or as we satisfy a performance obligation.</w:t>
      </w:r>
    </w:p>
    <w:p>
      <w:pPr>
        <w:spacing w:after="0" w:line="225"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subscriptions are generally non-cancellable. Once we have determined the transaction price, the total transaction price is allocated to each performance obligation in the contract on a relative stand-alone selling price basis, or SSP. The determination of a relative stand-alone SSP for each distinct performance obligation requires judgment. We determine SSP for performance obligations based on overall pricing objectives, which take into consideration market conditions and customer-specific factors. This includes a review of internal discounting tables, the service(s) being sold, and customer demographics.</w:t>
      </w:r>
    </w:p>
    <w:p>
      <w:pPr>
        <w:spacing w:after="0" w:line="18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 xml:space="preserve">Revenue is recognized when </w:t>
      </w:r>
      <w:r>
        <w:rPr>
          <w:rFonts w:ascii="Times New Roman" w:cs="Times New Roman" w:eastAsia="Times New Roman" w:hAnsi="Times New Roman"/>
          <w:sz w:val="18"/>
          <w:szCs w:val="18"/>
          <w:color w:val="000000"/>
        </w:rPr>
        <w:t>control</w:t>
      </w:r>
      <w:r>
        <w:rPr>
          <w:rFonts w:ascii="Times New Roman" w:cs="Times New Roman" w:eastAsia="Times New Roman" w:hAnsi="Times New Roman"/>
          <w:sz w:val="18"/>
          <w:szCs w:val="18"/>
          <w:color w:val="231F20"/>
        </w:rPr>
        <w:t xml:space="preserve"> of these services is transferred to customers, in an amount that reflects the consideration we expect to be entitled to receive in exchange for those services. We determine an output method to be the most appropriate measure of progress because it most faithfully represents when the value of the services is simultaneously received and consumed by the customer, and control is transferred.</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 xml:space="preserve">For committed contractual </w:t>
      </w:r>
      <w:r>
        <w:rPr>
          <w:rFonts w:ascii="Times New Roman" w:cs="Times New Roman" w:eastAsia="Times New Roman" w:hAnsi="Times New Roman"/>
          <w:sz w:val="18"/>
          <w:szCs w:val="18"/>
          <w:color w:val="000000"/>
        </w:rPr>
        <w:t>amounts</w:t>
      </w:r>
      <w:r>
        <w:rPr>
          <w:rFonts w:ascii="Times New Roman" w:cs="Times New Roman" w:eastAsia="Times New Roman" w:hAnsi="Times New Roman"/>
          <w:sz w:val="18"/>
          <w:szCs w:val="18"/>
          <w:color w:val="231F20"/>
        </w:rPr>
        <w:t xml:space="preserve"> of usage, revenue is recognized ratably over the term of the subscription agreement generally beginning on the date that the platform is made available to a customer. For committed contractual amount of usage that is delivered as used, a monthly subscription based on usage, or usage in excess of a ratable subscription, we recognize revenue as the services are rendered.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Development Costs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capitalize certain costs related to the development of our platform and other software applications for internal-use. In accordance with authoritative guidance, we begin to capitalize our costs to develop software when preliminary development efforts are successfully completed, management has authorized and committed project funding, and it is probable that the project will be completed and the software will be used as intended. We stop capitalizing these costs when the software is substantially complete and ready for its intended use, including the completion of all significant testing. These costs are amortized on a straight-line basis over the estimated useful life of the related asset, generally estimated to be two years. We also capitalize costs related to specific upgrades and enhancements when it is probable the expenditure will result in additional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functionality and expense costs incurred for maintenance and minor upgrades and enhancements. Costs incurred prior to meeting these criteria together with costs incurred for training and maintenance are expensed as incurred and recorded within research and development expenses in our consolidated statements of operations.</w:t>
      </w:r>
    </w:p>
    <w:p>
      <w:pPr>
        <w:spacing w:after="0" w:line="176"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exercise judgment in determining the point at which various projects may be capitalized, in assessing the ongoing value of the capitalized costs and in determining the estimated useful lives over which the costs are amortized. To the extent that we change the manner in which we develop and test new features and functionalities related to our platform, assess the ongoing value of capitalized assets or determine the estimated useful lives over which the costs are amortized, the amount of internal-use software development costs we capitalize and amortize could change in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Business Combinations</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231F20"/>
        </w:rPr>
        <w:t>When we acquire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Such valuations require us to make significant estimates and assumptions, especially with respect to intangible assets. Significant estimates in valuing certain intangible assets include, but are not limited to, future expected cash flows from acquired users, acquired technology, and trade names from a market participant perspective, useful lives and discount rates. Our estimates of fair value are based upon assumptions believed to be reasonable, but which are inherently uncertain and unpredictable and, as a result, actual results may differ from estimates. During the measurement period, we may record adjustments to the assets acquired and liabilities assumed, with the corresponding offset to goodwill. Upon the conclusion of the measurement period, any subsequent adjustments are recorded to other income, net in the consolidated statement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See Note 2, in our Notes to Consolidated Financial Statements included in “Part II, Item 8. Financial Statements and Supplementary Data” of this Annual Report on Form 10-K for a discussion of recent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As of December 31, 2023, we had $295.4 million in cash equivalents, and $2.3 billion in marketable securities, which consisted of corporate debt securities, commercial paper, certificates of deposit, U.S. government treasury securities, and U.S. government agency securities. Our cash and cash equivalents are held for working capital purposes. We do not enter into investments for trading or speculative purposes. Our investments are exposed to market risk due to a fluctuation in interest rates, which may affect our interest income and the fair market value of our investments. As of December 31, 2023, a hypothetical 10% relative change in interest rates would not have a material impact on our consolidated financial statements.</w:t>
      </w:r>
    </w:p>
    <w:p>
      <w:pPr>
        <w:spacing w:after="0" w:line="183"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On June 2, 2020, we issued $747.5 million aggregate principal amount of the 2025 Notes. The fair value of the 2025 Notes is subject to interest rate risk, market risk and other factors due to the conversion feature. The fair value of the 2025 Notes will generally increase as our Class A common stock price increases and will generally decrease as our Class A common stock price declines. The interest and market value changes affect the fair value of the 2025 Notes but do not impact our financial position, cash flows, or results of operations due to the fixed nature of the debt obligation. Additionally, we carry the 2025 Notes at face value less unamortized discount and unamortized issuance costs on our balance sheet, and we present the fair value for required disclosure purposes only.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reporting currency and the functional currency of our wholly 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France, Ireland, and the United Kingdom.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6" w:name="page57"/>
    <w:bookmarkEnd w:id="56"/>
    <w:p>
      <w:pPr>
        <w:spacing w:after="0" w:line="282" w:lineRule="auto"/>
        <w:rPr>
          <w:sz w:val="20"/>
          <w:szCs w:val="20"/>
          <w:color w:val="auto"/>
        </w:rPr>
      </w:pPr>
      <w:r>
        <w:rPr>
          <w:rFonts w:ascii="Times New Roman" w:cs="Times New Roman" w:eastAsia="Times New Roman" w:hAnsi="Times New Roman"/>
          <w:sz w:val="18"/>
          <w:szCs w:val="18"/>
          <w:color w:val="auto"/>
        </w:rPr>
        <w:t>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7"/>
        </w:trPr>
        <w:tc>
          <w:tcPr>
            <w:tcW w:w="3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6"/>
        </w:trPr>
        <w:tc>
          <w:tcPr>
            <w:tcW w:w="10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57</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5540" w:type="dxa"/>
            <w:vAlign w:val="bottom"/>
            <w:gridSpan w:val="5"/>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250"/>
        </w:trPr>
        <w:tc>
          <w:tcPr>
            <w:tcW w:w="6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2023, 2022 and 2021</w:t>
            </w:r>
          </w:p>
        </w:tc>
        <w:tc>
          <w:tcPr>
            <w:tcW w:w="3340" w:type="dxa"/>
            <w:vAlign w:val="bottom"/>
            <w:gridSpan w:val="4"/>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50"/>
        </w:trPr>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2023, 2022 and 2021</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r>
      <w:tr>
        <w:trPr>
          <w:trHeight w:val="250"/>
        </w:trPr>
        <w:tc>
          <w:tcPr>
            <w:tcW w:w="82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(Deficit) for the years ended December 31, 2023, 2022 and 2021</w:t>
            </w:r>
          </w:p>
        </w:tc>
        <w:tc>
          <w:tcPr>
            <w:tcW w:w="20" w:type="dxa"/>
            <w:vAlign w:val="bottom"/>
            <w:tcBorders>
              <w:top w:val="single" w:sz="8" w:color="0000FF"/>
            </w:tcBorders>
          </w:tcPr>
          <w:p>
            <w:pPr>
              <w:spacing w:after="0"/>
              <w:rPr>
                <w:sz w:val="21"/>
                <w:szCs w:val="21"/>
                <w:color w:val="auto"/>
              </w:rPr>
            </w:pPr>
          </w:p>
        </w:tc>
        <w:tc>
          <w:tcPr>
            <w:tcW w:w="19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250"/>
        </w:trPr>
        <w:tc>
          <w:tcPr>
            <w:tcW w:w="6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2022 and 2021</w:t>
            </w:r>
          </w:p>
        </w:tc>
        <w:tc>
          <w:tcPr>
            <w:tcW w:w="3280" w:type="dxa"/>
            <w:vAlign w:val="bottom"/>
            <w:gridSpan w:val="3"/>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50"/>
        </w:trPr>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040" w:type="dxa"/>
            <w:vAlign w:val="bottom"/>
            <w:gridSpan w:val="7"/>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58" w:name="page59"/>
    <w:bookmarkEnd w:id="58"/>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Datadog,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Datadog, Inc. and its subsidiaries (the “Company”) as of December 31, 2023 and 2022, the related consolidated statements of operations, comprehensive income (loss), stockholders' equity (deficit),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23, 2024,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 Identification of Performance Obligations – (Refer to Note 2 of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generates revenue from the sale of subscription services contracts to customers using its cloud-based platform. Subscription services contracts with certain of the Company’s customers may include non-standard terms and conditions and promises to transfer multiple services.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Contracts with customers that contain non-standard terms and conditions and promises to transfer multiple services require significant judgment by management to identify the distinct performance obligations in the arrangement. Distinct performance obligations will be accounted for as separate performance obligations, while non-distinct services are combined with others to form a single performance obligation.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Given the complexity of the Company’s subscription services contracts with certain customers, coupled with management’s judgments involved in identifying distinct performance obligations and non-standard terms and conditions, auditing the Company’s subscription services contracts with certain customers required a high degree of auditor judgment.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subscription contracts with certain customers included, among others:</w:t>
      </w:r>
    </w:p>
    <w:p>
      <w:pPr>
        <w:spacing w:after="0" w:line="117" w:lineRule="exact"/>
        <w:rPr>
          <w:sz w:val="20"/>
          <w:szCs w:val="20"/>
          <w:color w:val="auto"/>
        </w:rPr>
      </w:pPr>
    </w:p>
    <w:p>
      <w:pPr>
        <w:jc w:val="both"/>
        <w:ind w:left="500" w:hanging="492"/>
        <w:spacing w:after="0" w:line="266" w:lineRule="auto"/>
        <w:tabs>
          <w:tab w:leader="none" w:pos="4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evaluated the design, and tested the operating effectiveness of management’s controls over revenue recognition. This includes management’s controls over the identification of performance obligations and non-standard terms and conditions in subscription contracts, as well as the allocation of revenue to each performance obligation.</w:t>
      </w:r>
    </w:p>
    <w:p>
      <w:pPr>
        <w:spacing w:after="0" w:line="67"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4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a sample of subscription contracts with customers to determine if all the promises referred to in the contract were properly identified by management and accounted for as distinct performance obligations by performing the following:</w:t>
      </w:r>
    </w:p>
    <w:p>
      <w:pPr>
        <w:spacing w:after="0" w:line="53" w:lineRule="exact"/>
        <w:rPr>
          <w:rFonts w:ascii="Times New Roman" w:cs="Times New Roman" w:eastAsia="Times New Roman" w:hAnsi="Times New Roman"/>
          <w:sz w:val="18"/>
          <w:szCs w:val="18"/>
          <w:color w:val="auto"/>
        </w:rPr>
      </w:pPr>
    </w:p>
    <w:p>
      <w:pPr>
        <w:ind w:left="1140" w:hanging="484"/>
        <w:spacing w:after="0" w:line="282" w:lineRule="auto"/>
        <w:tabs>
          <w:tab w:leader="none" w:pos="11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and read the subscription contract and independently assessed the terms of the contract to identify all promises and non-standard terms and conditions.</w:t>
      </w:r>
    </w:p>
    <w:p>
      <w:pPr>
        <w:spacing w:after="0" w:line="53"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each promise identified, we evaluated whether such promise represented a distinct “performance obligation”, as prescribed by 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40" w:hanging="484"/>
        <w:spacing w:after="0" w:line="282" w:lineRule="auto"/>
        <w:tabs>
          <w:tab w:leader="none" w:pos="11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completeness and accuracy of the performance obligations by comparing those identified by us to those identified by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51"/>
        </w:trPr>
        <w:tc>
          <w:tcPr>
            <w:tcW w:w="82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338,985</w:t>
            </w: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2,252,559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1,545,341</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$12,096 and $5,626 as of December 31, 2023 and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1"/>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399,551</w:t>
            </w: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contract costs, current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33,054</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27,303</w:t>
            </w:r>
          </w:p>
        </w:tc>
      </w:tr>
      <w:tr>
        <w:trPr>
          <w:trHeight w:val="237"/>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3,178,137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2,344,234</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125,346</w:t>
            </w: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87,629</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348,277</w:t>
            </w: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contract costs, non-current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55,338</w:t>
            </w: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24,360</w:t>
            </w:r>
          </w:p>
        </w:tc>
      </w:tr>
      <w:tr>
        <w:trPr>
          <w:trHeight w:val="23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3,936,072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3,004,852</w:t>
            </w:r>
          </w:p>
        </w:tc>
      </w:tr>
      <w:tr>
        <w:trPr>
          <w:trHeight w:val="27"/>
        </w:trPr>
        <w:tc>
          <w:tcPr>
            <w:tcW w:w="8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23,474</w:t>
            </w: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171,158</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22,092</w:t>
            </w: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543,024</w:t>
            </w: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759,748</w:t>
            </w: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76,582</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738,847</w:t>
            </w: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r>
      <w:tr>
        <w:trPr>
          <w:trHeight w:val="237"/>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1,910,718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1,594,347</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$0.00001 par value per share; 2,000,000,000 shares authorized as of December 31,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 and 2022; 305,395,175 and 293,573,825 shares issued and outstanding as of December 31, 2023 and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1"/>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 $0.00001 par value per share; 310,000,000 shares authorized as of December 31, 2023</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2022; 25,684,571 and 25,616,018 shares issued and outstanding as of December 31, 2023 and 2022,</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2,181,267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1,625,190</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(202,266)</w:t>
            </w:r>
          </w:p>
        </w:tc>
      </w:tr>
      <w:tr>
        <w:trPr>
          <w:trHeight w:val="236"/>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2,025,354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1,410,505</w:t>
            </w: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3,936,072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3,004,852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20" w:top="11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type w:val="continuous"/>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7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2,128,359</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1,028,784</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234,245</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1,718,451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794,539</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419,769</w:t>
            </w: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299,497</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94,429</w:t>
            </w:r>
          </w:p>
        </w:tc>
        <w:tc>
          <w:tcPr>
            <w:tcW w:w="0" w:type="dxa"/>
            <w:vAlign w:val="bottom"/>
          </w:tcPr>
          <w:p>
            <w:pPr>
              <w:spacing w:after="0"/>
              <w:rPr>
                <w:sz w:val="1"/>
                <w:szCs w:val="1"/>
                <w:color w:val="auto"/>
              </w:rPr>
            </w:pPr>
          </w:p>
        </w:tc>
      </w:tr>
      <w:tr>
        <w:trPr>
          <w:trHeight w:val="23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1,751,915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1,387,052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813,695</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(21,052)</w:t>
            </w: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21,786</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60,235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(18,422)</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6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48,568</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vMerge w:val="continue"/>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basic net income (loss)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309,048</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diluted net income (loss) per share:</w:t>
            </w: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350,292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315,410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309,048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7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7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48,568</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(20,745)</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43"/>
        </w:trPr>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gain (loss) on available-for-sale marketable securities</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r>
      <w:tr>
        <w:trPr>
          <w:trHeight w:val="27"/>
        </w:trPr>
        <w:tc>
          <w:tcPr>
            <w:tcW w:w="6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w:t>
            </w:r>
          </w:p>
        </w:tc>
      </w:tr>
      <w:tr>
        <w:trPr>
          <w:trHeight w:val="26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58,772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(26,862)</w:t>
            </w:r>
          </w:p>
        </w:tc>
      </w:tr>
      <w:tr>
        <w:trPr>
          <w:trHeight w:val="21"/>
        </w:trPr>
        <w:tc>
          <w:tcPr>
            <w:tcW w:w="6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00" w:type="dxa"/>
            <w:vAlign w:val="bottom"/>
          </w:tcPr>
          <w:p>
            <w:pPr>
              <w:spacing w:after="0"/>
              <w:rPr>
                <w:sz w:val="11"/>
                <w:szCs w:val="11"/>
                <w:color w:val="auto"/>
              </w:rPr>
            </w:pPr>
          </w:p>
        </w:tc>
        <w:tc>
          <w:tcPr>
            <w:tcW w:w="1780" w:type="dxa"/>
            <w:vAlign w:val="bottom"/>
            <w:gridSpan w:val="3"/>
            <w:vMerge w:val="restart"/>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Class A and Class B</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7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2"/>
            <w:vMerge w:val="restart"/>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060" w:type="dxa"/>
            <w:vAlign w:val="bottom"/>
            <w:gridSpan w:val="3"/>
            <w:vMerge w:val="restart"/>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Accumulated Other</w:t>
            </w: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restart"/>
          </w:tcPr>
          <w:p>
            <w:pPr>
              <w:jc w:val="center"/>
              <w:ind w:right="78"/>
              <w:spacing w:after="0" w:line="108"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68"/>
        </w:trPr>
        <w:tc>
          <w:tcPr>
            <w:tcW w:w="5000" w:type="dxa"/>
            <w:vAlign w:val="bottom"/>
          </w:tcPr>
          <w:p>
            <w:pPr>
              <w:spacing w:after="0"/>
              <w:rPr>
                <w:sz w:val="5"/>
                <w:szCs w:val="5"/>
                <w:color w:val="auto"/>
              </w:rPr>
            </w:pPr>
          </w:p>
        </w:tc>
        <w:tc>
          <w:tcPr>
            <w:tcW w:w="1780" w:type="dxa"/>
            <w:vAlign w:val="bottom"/>
            <w:gridSpan w:val="3"/>
            <w:vMerge w:val="restart"/>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000" w:type="dxa"/>
            <w:vAlign w:val="bottom"/>
          </w:tcPr>
          <w:p>
            <w:pPr>
              <w:spacing w:after="0"/>
              <w:rPr>
                <w:sz w:val="7"/>
                <w:szCs w:val="7"/>
                <w:color w:val="auto"/>
              </w:rPr>
            </w:pPr>
          </w:p>
        </w:tc>
        <w:tc>
          <w:tcPr>
            <w:tcW w:w="1780" w:type="dxa"/>
            <w:vAlign w:val="bottom"/>
            <w:tcBorders>
              <w:bottom w:val="single" w:sz="8" w:color="auto"/>
            </w:tcBorders>
            <w:gridSpan w:val="3"/>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tcPr>
          <w:p>
            <w:pPr>
              <w:jc w:val="center"/>
              <w:ind w:right="24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7"/>
                <w:szCs w:val="7"/>
                <w:color w:val="auto"/>
              </w:rPr>
            </w:pPr>
          </w:p>
        </w:tc>
        <w:tc>
          <w:tcPr>
            <w:tcW w:w="960" w:type="dxa"/>
            <w:vAlign w:val="bottom"/>
            <w:gridSpan w:val="2"/>
          </w:tcPr>
          <w:p>
            <w:pPr>
              <w:jc w:val="center"/>
              <w:ind w:right="200"/>
              <w:spacing w:after="0" w:line="88"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20" w:type="dxa"/>
            <w:vAlign w:val="bottom"/>
          </w:tcPr>
          <w:p>
            <w:pPr>
              <w:spacing w:after="0"/>
              <w:rPr>
                <w:sz w:val="7"/>
                <w:szCs w:val="7"/>
                <w:color w:val="auto"/>
              </w:rPr>
            </w:pPr>
          </w:p>
        </w:tc>
        <w:tc>
          <w:tcPr>
            <w:tcW w:w="920" w:type="dxa"/>
            <w:vAlign w:val="bottom"/>
            <w:gridSpan w:val="2"/>
          </w:tcPr>
          <w:p>
            <w:pPr>
              <w:jc w:val="center"/>
              <w:ind w:right="200"/>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40" w:type="dxa"/>
            <w:vAlign w:val="bottom"/>
          </w:tcPr>
          <w:p>
            <w:pPr>
              <w:spacing w:after="0"/>
              <w:rPr>
                <w:sz w:val="7"/>
                <w:szCs w:val="7"/>
                <w:color w:val="auto"/>
              </w:rPr>
            </w:pPr>
          </w:p>
        </w:tc>
        <w:tc>
          <w:tcPr>
            <w:tcW w:w="840" w:type="dxa"/>
            <w:vAlign w:val="bottom"/>
          </w:tcPr>
          <w:p>
            <w:pPr>
              <w:jc w:val="center"/>
              <w:ind w:right="58"/>
              <w:spacing w:after="0" w:line="88" w:lineRule="exact"/>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55"/>
        </w:trPr>
        <w:tc>
          <w:tcPr>
            <w:tcW w:w="5000" w:type="dxa"/>
            <w:vAlign w:val="bottom"/>
          </w:tcPr>
          <w:p>
            <w:pPr>
              <w:spacing w:after="0"/>
              <w:rPr>
                <w:sz w:val="13"/>
                <w:szCs w:val="13"/>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2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Pr>
          <w:p>
            <w:pPr>
              <w:spacing w:after="0"/>
              <w:rPr>
                <w:sz w:val="13"/>
                <w:szCs w:val="13"/>
                <w:color w:val="auto"/>
              </w:rPr>
            </w:pPr>
          </w:p>
        </w:tc>
        <w:tc>
          <w:tcPr>
            <w:tcW w:w="840" w:type="dxa"/>
            <w:vAlign w:val="bottom"/>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176"/>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BALANCE—December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305,880,063</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1,103,305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(148,163)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957,432</w:t>
            </w:r>
          </w:p>
        </w:tc>
        <w:tc>
          <w:tcPr>
            <w:tcW w:w="0" w:type="dxa"/>
            <w:vAlign w:val="bottom"/>
          </w:tcPr>
          <w:p>
            <w:pPr>
              <w:spacing w:after="0"/>
              <w:rPr>
                <w:sz w:val="1"/>
                <w:szCs w:val="1"/>
                <w:color w:val="auto"/>
              </w:rPr>
            </w:pPr>
          </w:p>
        </w:tc>
      </w:tr>
      <w:tr>
        <w:trPr>
          <w:trHeight w:val="170"/>
        </w:trPr>
        <w:tc>
          <w:tcPr>
            <w:tcW w:w="5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Effect of adoption of ASU 2020-06</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(173,070)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(156,268)</w:t>
            </w:r>
          </w:p>
        </w:tc>
        <w:tc>
          <w:tcPr>
            <w:tcW w:w="0" w:type="dxa"/>
            <w:vAlign w:val="bottom"/>
          </w:tcPr>
          <w:p>
            <w:pPr>
              <w:spacing w:after="0"/>
              <w:rPr>
                <w:sz w:val="1"/>
                <w:szCs w:val="1"/>
                <w:color w:val="auto"/>
              </w:rPr>
            </w:pPr>
          </w:p>
        </w:tc>
      </w:tr>
      <w:tr>
        <w:trPr>
          <w:trHeight w:val="175"/>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BALANCE—January 1,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305,880,063</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930,235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(131,361)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801,164</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5,109,688</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14,941</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1,483,639</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restricted shares of common stock from acquisitions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600,176</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57,720</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the Employee Stock 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291,871</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20,278</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173,397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173,397</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 in accumulated other comprehensive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(6,117)</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(20,745)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(20,745)</w:t>
            </w:r>
          </w:p>
        </w:tc>
        <w:tc>
          <w:tcPr>
            <w:tcW w:w="0" w:type="dxa"/>
            <w:vAlign w:val="bottom"/>
          </w:tcPr>
          <w:p>
            <w:pPr>
              <w:spacing w:after="0"/>
              <w:rPr>
                <w:sz w:val="1"/>
                <w:szCs w:val="1"/>
                <w:color w:val="auto"/>
              </w:rPr>
            </w:pPr>
          </w:p>
        </w:tc>
      </w:tr>
      <w:tr>
        <w:trPr>
          <w:trHeight w:val="16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BALANCE—December 31, 2021</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313,365,437</w:t>
            </w:r>
          </w:p>
        </w:tc>
        <w:tc>
          <w:tcPr>
            <w:tcW w:w="8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1,197,136</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(3,830)</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(152,106)</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1,041,203</w:t>
            </w:r>
          </w:p>
        </w:tc>
        <w:tc>
          <w:tcPr>
            <w:tcW w:w="0" w:type="dxa"/>
            <w:vAlign w:val="bottom"/>
          </w:tcPr>
          <w:p>
            <w:pPr>
              <w:spacing w:after="0"/>
              <w:rPr>
                <w:sz w:val="1"/>
                <w:szCs w:val="1"/>
                <w:color w:val="auto"/>
              </w:rPr>
            </w:pPr>
          </w:p>
        </w:tc>
      </w:tr>
      <w:tr>
        <w:trPr>
          <w:trHeight w:val="17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2,687,334</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9,970</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2,492,535</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restricted shares of common stock from acquisitions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327,662</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14,019</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the Employee Stock Purchase Plan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316,875</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26,025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26,025</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378,007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378,007</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accumulated other comprehensive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(8,592)</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(50,160)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(50,160)</w:t>
            </w:r>
          </w:p>
        </w:tc>
        <w:tc>
          <w:tcPr>
            <w:tcW w:w="0" w:type="dxa"/>
            <w:vAlign w:val="bottom"/>
          </w:tcPr>
          <w:p>
            <w:pPr>
              <w:spacing w:after="0"/>
              <w:rPr>
                <w:sz w:val="1"/>
                <w:szCs w:val="1"/>
                <w:color w:val="auto"/>
              </w:rPr>
            </w:pPr>
          </w:p>
        </w:tc>
      </w:tr>
      <w:tr>
        <w:trPr>
          <w:trHeight w:val="175"/>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BALANCE—December 31,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319,189,843</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1,625,190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(202,266)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1,410,505</w:t>
            </w:r>
          </w:p>
        </w:tc>
        <w:tc>
          <w:tcPr>
            <w:tcW w:w="0" w:type="dxa"/>
            <w:vAlign w:val="bottom"/>
          </w:tcPr>
          <w:p>
            <w:pPr>
              <w:spacing w:after="0"/>
              <w:rPr>
                <w:sz w:val="1"/>
                <w:szCs w:val="1"/>
                <w:color w:val="auto"/>
              </w:rPr>
            </w:pPr>
          </w:p>
        </w:tc>
      </w:tr>
      <w:tr>
        <w:trPr>
          <w:trHeight w:val="163"/>
        </w:trPr>
        <w:tc>
          <w:tcPr>
            <w:tcW w:w="50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6,455,931</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20,924</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restricted and performance stock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4,794,318</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(retirement) of restricted shares of common stock from acquisitions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122,224</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1,886</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the Employee Stock Purchase Plan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517,430</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37,370</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495,897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495,897</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accumulated other comprehensive income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10,204</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48,568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48,568</w:t>
            </w:r>
          </w:p>
        </w:tc>
        <w:tc>
          <w:tcPr>
            <w:tcW w:w="0" w:type="dxa"/>
            <w:vAlign w:val="bottom"/>
          </w:tcPr>
          <w:p>
            <w:pPr>
              <w:spacing w:after="0"/>
              <w:rPr>
                <w:sz w:val="1"/>
                <w:szCs w:val="1"/>
                <w:color w:val="auto"/>
              </w:rPr>
            </w:pPr>
          </w:p>
        </w:tc>
      </w:tr>
      <w:tr>
        <w:trPr>
          <w:trHeight w:val="194"/>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BALANCE—December 31, 2023</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331,079,746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2,181,267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(153,698)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2,025,354</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1"/>
        </w:trPr>
        <w:tc>
          <w:tcPr>
            <w:tcW w:w="67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6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48,568</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(50,160)</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(20,745)</w:t>
            </w:r>
          </w:p>
        </w:tc>
      </w:tr>
      <w:tr>
        <w:trPr>
          <w:trHeight w:val="181"/>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0"/>
        </w:trPr>
        <w:tc>
          <w:tcPr>
            <w:tcW w:w="6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44,465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34,629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22,938</w:t>
            </w:r>
          </w:p>
        </w:tc>
      </w:tr>
      <w:tr>
        <w:trPr>
          <w:trHeight w:val="181"/>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(Accretion) amortization of (discounts) premiums on marketable securities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(41,621)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16,236</w:t>
            </w:r>
          </w:p>
        </w:tc>
      </w:tr>
      <w:tr>
        <w:trPr>
          <w:trHeight w:val="170"/>
        </w:trPr>
        <w:tc>
          <w:tcPr>
            <w:tcW w:w="6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Amortization of debt discount and issuance costs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3,349</w:t>
            </w:r>
          </w:p>
        </w:tc>
      </w:tr>
      <w:tr>
        <w:trPr>
          <w:trHeight w:val="181"/>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Amortization of deferred contract costs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39,207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17,866</w:t>
            </w:r>
          </w:p>
        </w:tc>
      </w:tr>
      <w:tr>
        <w:trPr>
          <w:trHeight w:val="170"/>
        </w:trPr>
        <w:tc>
          <w:tcPr>
            <w:tcW w:w="6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Stock-based compensation, net of amounts capitalized</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482,300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363,154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163,737</w:t>
            </w:r>
          </w:p>
        </w:tc>
      </w:tr>
      <w:tr>
        <w:trPr>
          <w:trHeight w:val="181"/>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Non-cash lease expense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21,416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17,201</w:t>
            </w:r>
          </w:p>
        </w:tc>
      </w:tr>
      <w:tr>
        <w:trPr>
          <w:trHeight w:val="170"/>
        </w:trPr>
        <w:tc>
          <w:tcPr>
            <w:tcW w:w="6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Allowance for credit losses on accounts receivable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2,311</w:t>
            </w:r>
          </w:p>
        </w:tc>
      </w:tr>
      <w:tr>
        <w:trPr>
          <w:trHeight w:val="181"/>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r>
      <w:tr>
        <w:trPr>
          <w:trHeight w:val="170"/>
        </w:trPr>
        <w:tc>
          <w:tcPr>
            <w:tcW w:w="6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6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Accounts receivable, net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(121,661)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(135,701)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(107,112)</w:t>
            </w:r>
          </w:p>
        </w:tc>
      </w:tr>
      <w:tr>
        <w:trPr>
          <w:trHeight w:val="170"/>
        </w:trPr>
        <w:tc>
          <w:tcPr>
            <w:tcW w:w="670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Deferred contract costs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(69,481)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(51,098)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(42,775)</w:t>
            </w:r>
          </w:p>
        </w:tc>
      </w:tr>
      <w:tr>
        <w:trPr>
          <w:trHeight w:val="181"/>
        </w:trPr>
        <w:tc>
          <w:tcPr>
            <w:tcW w:w="6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(13,508)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w:t>
            </w:r>
          </w:p>
        </w:tc>
      </w:tr>
      <w:tr>
        <w:trPr>
          <w:trHeight w:val="170"/>
        </w:trPr>
        <w:tc>
          <w:tcPr>
            <w:tcW w:w="670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Other assets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(2,627)</w:t>
            </w:r>
          </w:p>
        </w:tc>
      </w:tr>
      <w:tr>
        <w:trPr>
          <w:trHeight w:val="181"/>
        </w:trPr>
        <w:tc>
          <w:tcPr>
            <w:tcW w:w="6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Accounts payable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57,773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3,078</w:t>
            </w:r>
          </w:p>
        </w:tc>
      </w:tr>
      <w:tr>
        <w:trPr>
          <w:trHeight w:val="170"/>
        </w:trPr>
        <w:tc>
          <w:tcPr>
            <w:tcW w:w="670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(40,489)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37,578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37,270</w:t>
            </w:r>
          </w:p>
        </w:tc>
      </w:tr>
      <w:tr>
        <w:trPr>
          <w:trHeight w:val="181"/>
        </w:trPr>
        <w:tc>
          <w:tcPr>
            <w:tcW w:w="6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Deferred revenue</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230,974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168,644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176,281</w:t>
            </w:r>
          </w:p>
        </w:tc>
      </w:tr>
      <w:tr>
        <w:trPr>
          <w:trHeight w:val="163"/>
        </w:trPr>
        <w:tc>
          <w:tcPr>
            <w:tcW w:w="6700" w:type="dxa"/>
            <w:vAlign w:val="bottom"/>
            <w:tcBorders>
              <w:bottom w:val="single" w:sz="8" w:color="CCEEFF"/>
            </w:tcBorders>
          </w:tcPr>
          <w:p>
            <w:pPr>
              <w:ind w:left="1000"/>
              <w:spacing w:after="0" w:line="144"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659,954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418,407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286,545</w:t>
            </w:r>
          </w:p>
        </w:tc>
      </w:tr>
      <w:tr>
        <w:trPr>
          <w:trHeight w:val="80"/>
        </w:trPr>
        <w:tc>
          <w:tcPr>
            <w:tcW w:w="67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171"/>
        </w:trPr>
        <w:tc>
          <w:tcPr>
            <w:tcW w:w="6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0"/>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(2,558,013)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(1,413,717)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(1,125,519)</w:t>
            </w:r>
          </w:p>
        </w:tc>
      </w:tr>
      <w:tr>
        <w:trPr>
          <w:trHeight w:val="170"/>
        </w:trPr>
        <w:tc>
          <w:tcPr>
            <w:tcW w:w="6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Maturities of marketable securities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1,864,557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1,137,724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1,046,560</w:t>
            </w:r>
          </w:p>
        </w:tc>
      </w:tr>
      <w:tr>
        <w:trPr>
          <w:trHeight w:val="181"/>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from sale of marketable securities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36,995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67,749</w:t>
            </w:r>
          </w:p>
        </w:tc>
      </w:tr>
      <w:tr>
        <w:trPr>
          <w:trHeight w:val="170"/>
        </w:trPr>
        <w:tc>
          <w:tcPr>
            <w:tcW w:w="6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(27,586)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(9,956)</w:t>
            </w:r>
          </w:p>
        </w:tc>
      </w:tr>
      <w:tr>
        <w:trPr>
          <w:trHeight w:val="181"/>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Capitalized software development costs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(34,820)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(29,628)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(26,069)</w:t>
            </w:r>
          </w:p>
        </w:tc>
      </w:tr>
      <w:tr>
        <w:trPr>
          <w:trHeight w:val="170"/>
        </w:trPr>
        <w:tc>
          <w:tcPr>
            <w:tcW w:w="6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Cash paid for acquisition of businesses; net of cash acquired</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(12,498)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(45,878)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(226,505)</w:t>
            </w:r>
          </w:p>
        </w:tc>
      </w:tr>
      <w:tr>
        <w:trPr>
          <w:trHeight w:val="169"/>
        </w:trPr>
        <w:tc>
          <w:tcPr>
            <w:tcW w:w="67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(731,365)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(384,670)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(273,740)</w:t>
            </w:r>
          </w:p>
        </w:tc>
      </w:tr>
      <w:tr>
        <w:trPr>
          <w:trHeight w:val="80"/>
        </w:trPr>
        <w:tc>
          <w:tcPr>
            <w:tcW w:w="6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17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0"/>
        </w:trPr>
        <w:tc>
          <w:tcPr>
            <w:tcW w:w="6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20,909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14,907</w:t>
            </w:r>
          </w:p>
        </w:tc>
      </w:tr>
      <w:tr>
        <w:trPr>
          <w:trHeight w:val="181"/>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from issuance of common stock under the employee stock purchase plan</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20,278</w:t>
            </w:r>
          </w:p>
        </w:tc>
      </w:tr>
      <w:tr>
        <w:trPr>
          <w:trHeight w:val="170"/>
        </w:trPr>
        <w:tc>
          <w:tcPr>
            <w:tcW w:w="6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Employee payroll taxes paid related to net share settlement under the employee stock purchase plan</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r>
      <w:tr>
        <w:trPr>
          <w:trHeight w:val="181"/>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Repayments of convertible senior notes</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6700" w:type="dxa"/>
            <w:vAlign w:val="bottom"/>
          </w:tcPr>
          <w:p>
            <w:pPr>
              <w:ind w:left="1000"/>
              <w:spacing w:after="0" w:line="144"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58,279</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36,023</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34,940</w:t>
            </w:r>
          </w:p>
        </w:tc>
      </w:tr>
      <w:tr>
        <w:trPr>
          <w:trHeight w:val="100"/>
        </w:trPr>
        <w:tc>
          <w:tcPr>
            <w:tcW w:w="67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r>
      <w:tr>
        <w:trPr>
          <w:trHeight w:val="170"/>
        </w:trPr>
        <w:tc>
          <w:tcPr>
            <w:tcW w:w="6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(1,993)</w:t>
            </w:r>
          </w:p>
        </w:tc>
      </w:tr>
      <w:tr>
        <w:trPr>
          <w:trHeight w:val="100"/>
        </w:trPr>
        <w:tc>
          <w:tcPr>
            <w:tcW w:w="67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r>
      <w:tr>
        <w:trPr>
          <w:trHeight w:val="170"/>
        </w:trPr>
        <w:tc>
          <w:tcPr>
            <w:tcW w:w="6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(DECREASE) INCREASE IN CASH, CASH EQUIVALENTS AND RESTRICTED CASH</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45,752</w:t>
            </w:r>
          </w:p>
        </w:tc>
      </w:tr>
      <w:tr>
        <w:trPr>
          <w:trHeight w:val="18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CASH—Beginning of period</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342,288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274,463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228,711</w:t>
            </w:r>
          </w:p>
        </w:tc>
      </w:tr>
      <w:tr>
        <w:trPr>
          <w:trHeight w:val="163"/>
        </w:trPr>
        <w:tc>
          <w:tcPr>
            <w:tcW w:w="67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CASH, CASH EQUIVALENTS AND RESTRICTED CASH—End of period</w:t>
            </w:r>
          </w:p>
        </w:tc>
        <w:tc>
          <w:tcPr>
            <w:tcW w:w="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330,339</w:t>
            </w:r>
          </w:p>
        </w:tc>
        <w:tc>
          <w:tcPr>
            <w:tcW w:w="10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342,288</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274,463</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7"/>
        </w:trPr>
        <w:tc>
          <w:tcPr>
            <w:tcW w:w="67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171"/>
        </w:trPr>
        <w:tc>
          <w:tcPr>
            <w:tcW w:w="6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0"/>
        </w:trPr>
        <w:tc>
          <w:tcPr>
            <w:tcW w:w="6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w:t>
            </w:r>
          </w:p>
        </w:tc>
      </w:tr>
      <w:tr>
        <w:trPr>
          <w:trHeight w:val="95"/>
        </w:trPr>
        <w:tc>
          <w:tcPr>
            <w:tcW w:w="6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7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0"/>
        </w:trPr>
        <w:tc>
          <w:tcPr>
            <w:tcW w:w="6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Accrued property and equipment purchases</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7,046</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1,746</w:t>
            </w:r>
          </w:p>
        </w:tc>
      </w:tr>
      <w:tr>
        <w:trPr>
          <w:trHeight w:val="181"/>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 included in capitalized software development costs</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13,597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9,660</w:t>
            </w:r>
          </w:p>
        </w:tc>
      </w:tr>
      <w:tr>
        <w:trPr>
          <w:trHeight w:val="170"/>
        </w:trPr>
        <w:tc>
          <w:tcPr>
            <w:tcW w:w="6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Vesting of early exercised options</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w:t>
            </w:r>
          </w:p>
        </w:tc>
      </w:tr>
      <w:tr>
        <w:trPr>
          <w:trHeight w:val="181"/>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Issuance of restricted shares of common stock for the acquisition of businesses</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57,720</w:t>
            </w:r>
          </w:p>
        </w:tc>
      </w:tr>
      <w:tr>
        <w:trPr>
          <w:trHeight w:val="170"/>
        </w:trPr>
        <w:tc>
          <w:tcPr>
            <w:tcW w:w="6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Acquisition holdback</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8,123</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5,555</w:t>
            </w:r>
          </w:p>
        </w:tc>
      </w:tr>
      <w:tr>
        <w:trPr>
          <w:trHeight w:val="100"/>
        </w:trPr>
        <w:tc>
          <w:tcPr>
            <w:tcW w:w="67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r>
    </w:tbl>
    <w:p>
      <w:pPr>
        <w:ind w:left="20" w:right="400"/>
        <w:spacing w:after="0" w:line="225" w:lineRule="auto"/>
        <w:rPr>
          <w:sz w:val="20"/>
          <w:szCs w:val="20"/>
          <w:color w:val="auto"/>
        </w:rPr>
      </w:pPr>
      <w:r>
        <w:rPr>
          <w:rFonts w:ascii="Times New Roman" w:cs="Times New Roman" w:eastAsia="Times New Roman" w:hAnsi="Times New Roman"/>
          <w:sz w:val="13"/>
          <w:szCs w:val="13"/>
          <w:b w:val="1"/>
          <w:bCs w:val="1"/>
          <w:color w:val="auto"/>
        </w:rPr>
        <w:t>RECONCILIATION OF CASH, CASH EQUIVALENTS AND RESTRICTED CASH WITHIN THE CONSOLIDATED BALANCE SHEETS TO THE AMOUNTS SHOW IN THE STATEMENTS OF CASH FLOWS ABOVE: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52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330,339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338,985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270,973</w:t>
            </w:r>
          </w:p>
        </w:tc>
      </w:tr>
      <w:tr>
        <w:trPr>
          <w:trHeight w:val="170"/>
        </w:trPr>
        <w:tc>
          <w:tcPr>
            <w:tcW w:w="6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Restricted cash</w:t>
            </w:r>
          </w:p>
        </w:tc>
        <w:tc>
          <w:tcPr>
            <w:tcW w:w="5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3,303</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3,490</w:t>
            </w:r>
          </w:p>
        </w:tc>
      </w:tr>
      <w:tr>
        <w:trPr>
          <w:trHeight w:val="194"/>
        </w:trPr>
        <w:tc>
          <w:tcPr>
            <w:tcW w:w="67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520" w:type="dxa"/>
            <w:vAlign w:val="bottom"/>
            <w:tcBorders>
              <w:top w:val="single" w:sz="8" w:color="auto"/>
              <w:bottom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330,339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342,288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274,463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 Organization and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Description of Business</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Datadog, Inc. (“Datadog” or the “Company”) was incorporated in the State of Delaware on June 4, 2010. The Company is the observability and security platform for cloud applications. The Company’s SaaS platform integrates and automates infrastructure monitoring, application performance monitoring, log management, user experience monitoring, cloud security, and many other capabilities to provide unified, real-time observability and security of its customers’ entire technology stack. The Company is headquartered in New York City and has various other global office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Basis of Presentation</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The accompanying consolidated financial statements have been prepared in accordance with accounting principles generally accepted in the United States of America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Principles of Consolidation</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The consolidated financial statements include the accounts of Datadog, Inc. and its wholly owned subsidiaries. All intercompany transactions and balances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Segment Information</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The Company has a single operating and reportable segment as well as one business activity, monitoring and providing analytics on companies’ information technology (“IT”) infrastructure. The Company’s chief operating decision maker is its Chief Executive Officer, who reviews financial information presented on a consolidated basis for purposes of making operating decisions, assessing financial performance, and allocating resources. There are no segment managers who are held accountable for operations or results below the consolidated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Estimates</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231F20"/>
        </w:rPr>
        <w:t xml:space="preserve">The preparation of consolidated financial statements in conformity with GAAP requires management to make estimates and assumptions that affect the amounts reported in the consolidated financial statements and accompanying notes. Such estimates include the fair value of marketable securities, </w:t>
      </w:r>
      <w:r>
        <w:rPr>
          <w:rFonts w:ascii="Times New Roman" w:cs="Times New Roman" w:eastAsia="Times New Roman" w:hAnsi="Times New Roman"/>
          <w:sz w:val="18"/>
          <w:szCs w:val="18"/>
          <w:color w:val="000000"/>
        </w:rPr>
        <w:t>the allowance for credit losses</w:t>
      </w:r>
      <w:r>
        <w:rPr>
          <w:rFonts w:ascii="Times New Roman" w:cs="Times New Roman" w:eastAsia="Times New Roman" w:hAnsi="Times New Roman"/>
          <w:sz w:val="18"/>
          <w:szCs w:val="18"/>
          <w:color w:val="231F20"/>
        </w:rPr>
        <w:t>, the fair value of acquired assets and assumed liabilities from business combinations, useful lives of property, equipment,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software, and finite lived intangibles, stock-based compensation, valuation of long-lived assets and their recoverability, including goodwill, the incremental borrowing rate for operating leases, estimated expected period of benefit for deferred contract costs, </w:t>
      </w:r>
      <w:r>
        <w:rPr>
          <w:rFonts w:ascii="Times New Roman" w:cs="Times New Roman" w:eastAsia="Times New Roman" w:hAnsi="Times New Roman"/>
          <w:sz w:val="18"/>
          <w:szCs w:val="18"/>
          <w:color w:val="000000"/>
        </w:rPr>
        <w:t>fair value of the liability component of the convertible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debt, </w:t>
      </w:r>
      <w:r>
        <w:rPr>
          <w:rFonts w:ascii="Times New Roman" w:cs="Times New Roman" w:eastAsia="Times New Roman" w:hAnsi="Times New Roman"/>
          <w:sz w:val="18"/>
          <w:szCs w:val="18"/>
          <w:color w:val="231F20"/>
        </w:rPr>
        <w:t>realization of deferred tax assets and uncertain tax positions, revenue recognition and the allocation of overhead costs between cost of revenue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Foreign Currency Translation</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The reporting currency of the Company is the United States dollar (“USD”). The functional currency of the Company is USD, and the functional currency of the Company’s subsidiaries is generally the local currency of the jurisdiction in which the foreign subsidiary is located. The assets and liabilities of the Company’s subsidiaries are translated to USD at exchange rates in effect at the balance sheet date. All income statement accounts are translated at monthly average exchange rates. Resulting foreign currency translation adjustments are recorded directly in accumulated other comprehensive loss as a separate component of stockholders’ equity.</w:t>
      </w:r>
    </w:p>
    <w:p>
      <w:pPr>
        <w:spacing w:after="0" w:line="18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Transaction gains and losses that arise from exchange rate fluctuations on transactions denominated in a currency other than the functional currency are included in other income, net in the accompanying consolidated statements of operations when realized and have not been material for any of the periods presented.</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 Recognition</w:t>
      </w:r>
    </w:p>
    <w:p>
      <w:pPr>
        <w:spacing w:after="0" w:line="22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231F20"/>
        </w:rPr>
        <w:t>The Company generates revenue from the sale of subscriptions to customers using its cloud-based platform. The terms of the Company’s subscription agreements are primarily monthly, annual or multi-year. The Company’s customers can enter into (1) a subscription agreement for a committed contractual amount of usage that is apportioned ratably on a monthly basis over the term of the subscription period, (2) a subscription agreement for a committed contractual amount of usage that is delivered as used, or (3) a monthly subscription based on usage. The Company typically bills customers on an annual or multi-year subscription in advance, with any usage in excess of the committed contracted amount billed monthly in arrears. The Company typically bills customers on a monthly plan in arrears. Customers also have the option to purchase additional services priced at rates at or above the stand-alone selling price.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The Company accounts for revenue contracts with customers through the following steps:</w:t>
      </w:r>
    </w:p>
    <w:p>
      <w:pPr>
        <w:spacing w:after="0" w:line="117" w:lineRule="exact"/>
        <w:rPr>
          <w:sz w:val="20"/>
          <w:szCs w:val="20"/>
          <w:color w:val="auto"/>
        </w:rPr>
      </w:pPr>
    </w:p>
    <w:p>
      <w:pPr>
        <w:ind w:left="1460" w:hanging="480"/>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determine the transaction price;</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recognize revenue when or as the Company satisfies a performance obligation.</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The Company’s revenue arrangements may include infrastructure monitoring, application performance monitoring, log management, synthetics monitoring, security monitoring, continuous profiling, serverless monitoring, network monitoring, real user monitoring and incident management as well as secondary services including custom metrics in dashboard monitoring, docker container monitoring, and indexed spans. The Company has identified each service as a separate performance obligation.</w:t>
      </w:r>
    </w:p>
    <w:p>
      <w:pPr>
        <w:spacing w:after="0" w:line="18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The transaction price is based on the fixed price for the contracted level of service plus variable consideration for additional optional purchases. Billing periods correspond to the periods over which services are performed and there are no discounts given on the purchase of future services.</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231F20"/>
        </w:rPr>
        <w:t>The Company allocates revenue to each performance obligation based on its relative standalone selling price. The Company generally determines standalone selling prices based on a range of actual prices charged to customers.</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Revenue is recognized when control of these services is transferred to customers, in an amount that reflects the consideration the Company expects to be entitled to receive in exchange for those services. The Company determined an output method, recognition over time, to be the most appropriate measure of progress because it most faithfully represents when the value of the services is simultaneously received and consumed by the customer, and control is transferred.</w:t>
      </w:r>
    </w:p>
    <w:p>
      <w:pPr>
        <w:spacing w:after="0" w:line="180"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For committed contractual amounts of usage, revenue is recognized ratably over the term of the subscription agreement generally beginning on the date that the platform is made available to a customer. For committed contractual amount of usage that is delivered as used, a monthly subscription based on usage, or usage in excess of a ratable subscription, the Company recognizes revenue as the product is used. Subscription revenue excludes sales and other indirect taxes.</w:t>
      </w:r>
    </w:p>
    <w:p>
      <w:pPr>
        <w:spacing w:after="0" w:line="180"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231F20"/>
        </w:rPr>
        <w:t>The Company applied the practical expedient in Topic 606 and did not evaluate contracts of one year or less for the existence of a significant financing component.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Remaining performance obligations represent the aggregate amount of the transaction price in contracts allocated to performance obligations not delivered, or partially undelivered, as of the end of the reporting period. Remaining performance obligations include deferred revenue, multi-year contracts with future installment payments and certain unfulfilled orders against accepted customer contracts at the end of any given period.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231F20"/>
        </w:rPr>
        <w:t>Convertible Senior Notes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In accounting for the issuance of the Company’s convertible senior notes (the “2025 Notes”), the 2025 Notes were separated into liability and equity components through December 31, 2020. The carrying amounts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2025 Notes. This difference represents the debt discount that is amortized to interest expense over the contractual terms of the 2025 Notes using the effective interest rate method. The equity component was recorded in additional paid-in capital.</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In accounting for the debt issuance costs related to the 2025 Notes, the Company allocated the total amount incurred to the liability and equity components of the 2025 Notes in the same proportion as the allocation of the proceeds. Issuance costs attributable to the liability component are being amortized to interest expense over the contractual terms of the 2025 Notes. The issuance costs attributable to the equity component were netted against the equity component in additional paid-in capital.</w:t>
      </w:r>
    </w:p>
    <w:p>
      <w:pPr>
        <w:spacing w:after="0" w:line="178"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 xml:space="preserve">On January 1, 2021, the Company adopted ASU No. 2020-06, </w:t>
      </w:r>
      <w:r>
        <w:rPr>
          <w:rFonts w:ascii="Times New Roman" w:cs="Times New Roman" w:eastAsia="Times New Roman" w:hAnsi="Times New Roman"/>
          <w:sz w:val="18"/>
          <w:szCs w:val="18"/>
          <w:i w:val="1"/>
          <w:iCs w:val="1"/>
          <w:color w:val="auto"/>
        </w:rPr>
        <w:t>Accounting for Convertible Instruments and Contracts in an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(“ASU No. 2020-06”). As a result of the adoption, the debt conversion option of $177.2 million and debt issuance costs of $4.1 million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the equity component are no longer presented in equity. Similarly, the debt discount, that is equal to the carrying value of the embedded conversion feature upon issuance, is no longer amortized into income as interest expense over the life of the instrument. This resulted in a $16.8 million decrease to the opening balance of accumulated deficit, a $173.1 million decrease to the opening balance of additional paid-in capital and a $156.3 million increase to the opening balance of convertible senior notes, net on the consolidated balance sheet.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Cost of Revenue</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Cost of revenue consists primarily of costs related to providing subscription services to paying customers, including data center and networking expenses, employee compensation (including stock-based compensation) and other employee-related expenses for customer experience and technical operations staff, payments to outside service providers, payment processing fees, amortization of capitalized internally developed software costs and acquired developed technology, and allocated overhead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 Costs</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Research and development costs are expensed as incurred. Research and development costs consist of employee compensation (including stock-based compensation) and other employee-related expenses, materials and supplies, and allocated overhead costs such as rent and facilities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Sales and Marketing Costs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Sales and marketing costs consist primarily of personnel costs for the Company’s sales and marketing organization, including stock-based compensation and commissions, costs of general marketing and promotional activities, including the free tier and introductory trials of the Company’s products, travel-related expenses, amortization of acquired customer relationships, and allocated overhead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Advertising Costs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Advertising costs are expensed as incurred and were approximately $21.8 million, $25.5 million and $20.8 million for the years ended December 31, 2023, 2022 and 2021, respectively, and are included in sales and marketing expense in the accompanying consolidated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Income Taxes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The Company recognizes deferred tax assets and liabilities for the expected future tax consequences of temporary differences between the carrying amounts for financial reporting and the tax bases of assets and liabilities. The deferred assets and liabilities are recorded at the statutorily enacted tax rates anticipated to be in effect when such temporary differences reverse. The effect on deferred tax assets and liabilities of a change in tax rates is recognized in the period that includes the enactment date. A valuation allowance is established; when based upon the available evidence, it is more likely than not that some or all of the deferred tax assets will not be realized.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8" w:name="page69"/>
    <w:bookmarkEnd w:id="68"/>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The Company engages in transactions in which the tax consequences may be subject to uncertainty. The Company accounts for uncertain tax positions based on an evaluation as to whether it is more likely than not that a tax position will be sustained on audit, including resolution of any related appeals or litigation processes. This evaluation is based on all available evidence and assumes that the appropriate tax authorities have full knowledge of all relevant information concerning the tax position. The Company accounts for uncertain tax positions as non-current tax liabilities or through a reduction of a corresponding deferred tax asset. The tax benefit recognized is based on the largest amount that is greater than 50% likely of being realized upon ultimate settlement. The Company includes potential interest expense and penalties related to its uncertain tax positions in income tax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231F20"/>
        </w:rPr>
        <w:t>The Company recognizes and measures compensation expense for all stock-based payment awards granted to employees, directors, and nonemployees, including stock options, restricted stock units (“RSUs”), performance-based awards (“PSUs”), and the employee stock purchase plan (the “ESPP”) based on the fair value of the awards on the date of grant. The fair value of each stock option granted is estimated using the Black-Scholes option pricing model. The determination of the grant date fair value using an option-pricing model is affected by the estimated fair value of the Company’s Class A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and PSUs is determined by the closing price on the date of grant of the Company’s Class A common stock, as reported on The Nasdaq Global Select Market. The Company estimates the fair value of the rights to acquire stock under the ESPP using the Black-Scholes option pricing model. Stock-based compensation for stock options and RSUs is recognized on a straight-line basis over the requisite service period and account for forfeitures as they occur. Stock-based compensation for PSUs is amortized under the accelerated attribution method and may be adjusted over the vesting period based on interim estimates of performance against pre-set objectives. PSUs will vest upon achievement of specified performance targets and subject to continuous service through the applicable vesting dates. The compensation cost is recognized over the requisite service period when it is probable that the performance condition will be satisfied and the Company accounts for forfeitures as they occur.</w:t>
      </w:r>
    </w:p>
    <w:p>
      <w:pPr>
        <w:spacing w:after="0" w:line="18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The Company also has certain options that have performance-based vesting conditions; stock-based compensation expense for such awards is recognized on a straight-line basis from the time the vesting condition is likely to be met through the time the vesting condition has been achieved.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Cash and Cash Equivalents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The Company considers all highly liquid investments with an original maturity of three months or less when purchased to be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Cash equivalents consist of money market funds, corporate debt securities, and U.S. government treasury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Marketable Securities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The Company’s marketable securities consist of corporate debt securities, commercial paper, certificates of deposit, U.S. government treasury securities, and U.S. government agency securities. The Company determines the appropriate classification of its marketable securities at the time of purchase and reevaluates such designation at each balance sheet date. The Company has classified and accounted for its marketable securities as available-for-sale securities as the Company may sell these securities at any time for use in its current operations or for other purposes, even prior to maturity. As a result, the Company classifies its marketable securities within current assets on the consolidated balance sheet.</w:t>
      </w:r>
    </w:p>
    <w:p>
      <w:pPr>
        <w:spacing w:after="0" w:line="183"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Available-for-sale securities are recorded at fair value each reporting period. Premiums and discounts are amortized or accreted over the life of the related available-for-sale security as an adjustment to yield using the effective interest method. Interest income is recognized when earned. Unrealized gains and losses on these marketable securities are presented net of tax and reported as a separate component of accumulated other comprehensive loss until realized. Realized gains and losses are determined based on the specific identification method and are reported in Interest income and other income, net in the consolidated statements of operations.</w:t>
      </w:r>
    </w:p>
    <w:p>
      <w:pPr>
        <w:spacing w:after="0" w:line="18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The Company periodically evaluates its marketable securities to assess whether an investment’s fair value is less than its amortized cost basis and if the decline in the fair value is attributable to a credit loss. Declines in fair value judged to be related to credit loss are reported in Interest income and other income, net in the consolidated statements of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231F20"/>
        </w:rPr>
        <w:t>Restricted Cash</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Restricted cash primarily consists of collateralized letters of credit established in connection with lease agreements for the Company’s facilities. Restricted cash is included in current assets for leases that expire within one year and is included in non-current assets for leases that expire in more than one year from the balance sheet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Concentration of Credit Risk</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Financial instruments that potentially subject the Company to credit risk primarily consist of cash and cash equivalents, marketable securities and accounts receivable. Cash deposits may, at times, exceed amounts insured by the Federal Deposit Insurance Corporation (“FDIC”) and the Securities Investor Protection Corporation (“SIPC”). The Company has not experienced any losses on its deposits of cash and cash equivalents to date. For accounts receivable, the Company is exposed to credit risk in the event of nonpayment by customers to the extent of the amounts recorded on the accompanying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Geographical Information - Long-Lived Assets</w:t>
      </w:r>
    </w:p>
    <w:p>
      <w:pPr>
        <w:spacing w:after="0" w:line="229"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231F20"/>
        </w:rPr>
        <w:t>As of December 31, 2023, and 2022, 67% and 66% of the Company’s long-lived assets were located in the United States and 33% and 34% were located outside of the United States, primarily in EMEA,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Fair Value of Financial Instruments</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68" w:lineRule="exact"/>
        <w:rPr>
          <w:sz w:val="20"/>
          <w:szCs w:val="20"/>
          <w:color w:val="auto"/>
        </w:rPr>
      </w:pPr>
    </w:p>
    <w:p>
      <w:pPr>
        <w:jc w:val="both"/>
        <w:ind w:firstLine="972"/>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Level 1 Inputs: </w:t>
      </w:r>
      <w:r>
        <w:rPr>
          <w:rFonts w:ascii="Times New Roman" w:cs="Times New Roman" w:eastAsia="Times New Roman" w:hAnsi="Times New Roman"/>
          <w:sz w:val="18"/>
          <w:szCs w:val="18"/>
          <w:color w:val="231F20"/>
        </w:rPr>
        <w:t>Unadjusted quoted prices in active markets for identical assets or liabilities accessible to the reporting entity at the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measurement date.</w:t>
      </w:r>
    </w:p>
    <w:p>
      <w:pPr>
        <w:spacing w:after="0" w:line="47" w:lineRule="exact"/>
        <w:rPr>
          <w:sz w:val="20"/>
          <w:szCs w:val="20"/>
          <w:color w:val="auto"/>
        </w:rPr>
      </w:pPr>
    </w:p>
    <w:p>
      <w:pPr>
        <w:jc w:val="both"/>
        <w:ind w:firstLine="972"/>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Level 2 Inputs: </w:t>
      </w:r>
      <w:r>
        <w:rPr>
          <w:rFonts w:ascii="Times New Roman" w:cs="Times New Roman" w:eastAsia="Times New Roman" w:hAnsi="Times New Roman"/>
          <w:sz w:val="18"/>
          <w:szCs w:val="18"/>
          <w:color w:val="231F20"/>
        </w:rPr>
        <w:t>Other than quoted prices included in Level 1 inputs that are observable for the asset or liability, either directly or indirectly,</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for substantially the full term of the asset or liability.</w:t>
      </w:r>
    </w:p>
    <w:p>
      <w:pPr>
        <w:spacing w:after="0" w:line="47" w:lineRule="exact"/>
        <w:rPr>
          <w:sz w:val="20"/>
          <w:szCs w:val="20"/>
          <w:color w:val="auto"/>
        </w:rPr>
      </w:pPr>
    </w:p>
    <w:p>
      <w:pPr>
        <w:jc w:val="both"/>
        <w:ind w:firstLine="972"/>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Level 3 Inputs: </w:t>
      </w:r>
      <w:r>
        <w:rPr>
          <w:rFonts w:ascii="Times New Roman" w:cs="Times New Roman" w:eastAsia="Times New Roman" w:hAnsi="Times New Roman"/>
          <w:sz w:val="18"/>
          <w:szCs w:val="18"/>
          <w:color w:val="231F20"/>
        </w:rPr>
        <w:t>Unobservable inputs for the asset or liability used to measure fair value to the extent that observable inputs are not available,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thereby allowing for situations in which there is little, if any, market activity for the asset or liability at measurement date.</w:t>
      </w:r>
    </w:p>
    <w:p>
      <w:pPr>
        <w:spacing w:after="0" w:line="15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The Company’s financial instruments consist of cash equivalents, marketable securities, accounts receivable, accounts payable and accrued expenses. Cash equivalents are stated at amortized cost, which approximates fair value at the balance sheet dates, due to the short period of time to maturity. Marketable securities are recorded at fair value. Accounts receivable, accounts payable, and accrued expenses are stated at their carrying value, which approximates fair value due to the short time to the expected receipt or payment date.</w:t>
      </w:r>
    </w:p>
    <w:p>
      <w:pPr>
        <w:spacing w:after="0" w:line="18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A financial instrument’s categorization within the valuation hierarchy is based upon the lowest level of input that is significant to the fair value measurement.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Accounts Receivable and Allowance for Credit Losses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Accounts receivable includes billed and unbilled receivables. Trade accounts receivable are recorded at invoiced amounts and do not bear interest. The expectation of collectability is based on a review of credit profiles of customers, contractual terms and conditions, current economic trends, and historical payment experience. The Company regularly reviews the adequacy of the allowance for credit losses by considering the age of each outstanding invoice and the collection history to determine the appropriate amount of allowance for credit losses. Accounts receivable deemed uncollectible are charged against the allowance for credit losses when identified.</w:t>
      </w:r>
    </w:p>
    <w:p>
      <w:pPr>
        <w:spacing w:after="0" w:line="18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Unbilled accounts receivable represents revenue recognized on contracts for which billings have not yet been presented to customers because the amounts were earned but not contractually billable as of the balance sheet date, substantially all of which is expected to be billed and collected within one year.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231F20"/>
        </w:rPr>
        <w:t>Internal-Use Software Development Costs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The Company capitalizes qualifying internal-use software development costs related to its cloud platform. The costs consist of personnel costs (including related benefits and stock-based compensation) that are incurred during the application development stage.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 implementation operating activities are expensed as incurred.</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Capitalized costs are included in property and equipment. These costs are amortized over the estimated useful life of the software, which is two years, on a straight-line basis, which represents the manner in which the expected benefit will be derived. The amortization of costs related to the platform applications is included in cost of revenue and sales and marketing expense based on an allocation between paid customer accounts and free customer accounts not generating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Property and Equipment, Net</w:t>
      </w:r>
    </w:p>
    <w:p>
      <w:pPr>
        <w:spacing w:after="0" w:line="229" w:lineRule="exact"/>
        <w:rPr>
          <w:sz w:val="20"/>
          <w:szCs w:val="20"/>
          <w:color w:val="auto"/>
        </w:rPr>
      </w:pPr>
    </w:p>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231F20"/>
        </w:rPr>
        <w:t>Property and equipment, net is stated at cost less accumulated depreciation and amortization. Depreciation is computed using the straight-line method over the estimated useful life of the related asset. Expenses that improve an asset or extend its remaining useful life are capitalized. Costs of maintenance or repairs that do not extend the lives of the respective assets are charged to expenses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Sales commissions earned by the Company’s sales force are considered incremental and recoverable costs of obtaining a contract with a customer. </w:t>
      </w:r>
      <w:r>
        <w:rPr>
          <w:rFonts w:ascii="Times New Roman" w:cs="Times New Roman" w:eastAsia="Times New Roman" w:hAnsi="Times New Roman"/>
          <w:sz w:val="18"/>
          <w:szCs w:val="18"/>
          <w:color w:val="231F20"/>
        </w:rPr>
        <w:t>There are no sales commissions earned on renewals</w:t>
      </w:r>
      <w:r>
        <w:rPr>
          <w:rFonts w:ascii="Times New Roman" w:cs="Times New Roman" w:eastAsia="Times New Roman" w:hAnsi="Times New Roman"/>
          <w:sz w:val="18"/>
          <w:szCs w:val="18"/>
          <w:color w:val="auto"/>
        </w:rPr>
        <w:t xml:space="preserve">. These costs are deferred and then amortized over a period of benefit which is determined to be 4 years. </w:t>
      </w:r>
      <w:r>
        <w:rPr>
          <w:rFonts w:ascii="Times New Roman" w:cs="Times New Roman" w:eastAsia="Times New Roman" w:hAnsi="Times New Roman"/>
          <w:sz w:val="18"/>
          <w:szCs w:val="18"/>
          <w:color w:val="231F20"/>
        </w:rPr>
        <w:t>The Company determined the period of benefit by taking into consideration the length of terms in its customer contracts, life of the technology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and other factors</w:t>
      </w:r>
      <w:r>
        <w:rPr>
          <w:rFonts w:ascii="Times New Roman" w:cs="Times New Roman" w:eastAsia="Times New Roman" w:hAnsi="Times New Roman"/>
          <w:sz w:val="18"/>
          <w:szCs w:val="18"/>
          <w:color w:val="000000"/>
        </w:rPr>
        <w:t>. Amounts expected to be recognized within one year of the balance sheet date are recorded as deferred contract costs, current;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remaining portion is recorded as deferred contract costs, non-current, in the consolidated balance sheets. </w:t>
      </w:r>
      <w:r>
        <w:rPr>
          <w:rFonts w:ascii="Times New Roman" w:cs="Times New Roman" w:eastAsia="Times New Roman" w:hAnsi="Times New Roman"/>
          <w:sz w:val="18"/>
          <w:szCs w:val="18"/>
          <w:color w:val="231F20"/>
        </w:rPr>
        <w:t>Deferred contract costs are periodically analyzed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for impairment. Amortization expense is included in sales and marketing expenses in the accompanying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Business Combinations</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231F20"/>
        </w:rPr>
        <w:t>When the Company acquires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Such valuations require the Company to make significant estimates and assumptions, especially with respect to intangible assets. Significant estimates in valuing certain intangible assets include, but are not limited to, future expected cash flows from acquired users, acquired technology, and trade names from a market participant perspective, useful lives and discount rates. The Company’s estimates of fair value are based upon assumptions believed to be reasonable, but which are inherently uncertain and unpredictable and, as a result, actual results may differ from estimates. During the measurement period, the Company may record adjustments to the assets acquired and liabilities assumed, with the corresponding offset to goodwill. Upon the conclusion of the measurement period, any subsequent adjustments are recorded to other income, net in the consolidated statement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Accounting for Impairment of Long-Lived Assets (Including Goodwill and Intangibles)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Long-lived assets with finite lives include property and equipment, capitalized development software costs and acquired intangible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Long-lived assets are amortized over their estimated useful lives which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698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3 years</w:t>
            </w:r>
          </w:p>
        </w:tc>
        <w:tc>
          <w:tcPr>
            <w:tcW w:w="40" w:type="dxa"/>
            <w:vAlign w:val="bottom"/>
          </w:tcPr>
          <w:p>
            <w:pPr>
              <w:spacing w:after="0"/>
              <w:rPr>
                <w:sz w:val="19"/>
                <w:szCs w:val="19"/>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9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5 years</w:t>
            </w:r>
          </w:p>
        </w:tc>
        <w:tc>
          <w:tcPr>
            <w:tcW w:w="40" w:type="dxa"/>
            <w:vAlign w:val="bottom"/>
          </w:tcPr>
          <w:p>
            <w:pPr>
              <w:spacing w:after="0"/>
              <w:rPr>
                <w:sz w:val="19"/>
                <w:szCs w:val="19"/>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98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Shorter of lease term or useful life of asset</w:t>
            </w:r>
          </w:p>
        </w:tc>
        <w:tc>
          <w:tcPr>
            <w:tcW w:w="40" w:type="dxa"/>
            <w:vAlign w:val="bottom"/>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69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2 years</w:t>
            </w:r>
          </w:p>
        </w:tc>
        <w:tc>
          <w:tcPr>
            <w:tcW w:w="40" w:type="dxa"/>
            <w:vAlign w:val="bottom"/>
          </w:tcPr>
          <w:p>
            <w:pPr>
              <w:spacing w:after="0"/>
              <w:rPr>
                <w:sz w:val="19"/>
                <w:szCs w:val="19"/>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698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3 years</w:t>
            </w:r>
          </w:p>
        </w:tc>
        <w:tc>
          <w:tcPr>
            <w:tcW w:w="40" w:type="dxa"/>
            <w:vAlign w:val="bottom"/>
          </w:tcPr>
          <w:p>
            <w:pPr>
              <w:spacing w:after="0"/>
              <w:rPr>
                <w:sz w:val="19"/>
                <w:szCs w:val="19"/>
                <w:color w:val="auto"/>
              </w:rPr>
            </w:pP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69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 years</w:t>
            </w:r>
          </w:p>
        </w:tc>
        <w:tc>
          <w:tcPr>
            <w:tcW w:w="40" w:type="dxa"/>
            <w:vAlign w:val="bottom"/>
          </w:tcPr>
          <w:p>
            <w:pPr>
              <w:spacing w:after="0"/>
              <w:rPr>
                <w:sz w:val="20"/>
                <w:szCs w:val="20"/>
                <w:color w:val="auto"/>
              </w:rPr>
            </w:pPr>
          </w:p>
        </w:tc>
      </w:tr>
      <w:tr>
        <w:trPr>
          <w:trHeight w:val="846"/>
        </w:trPr>
        <w:tc>
          <w:tcPr>
            <w:tcW w:w="4220" w:type="dxa"/>
            <w:vAlign w:val="bottom"/>
          </w:tcPr>
          <w:p>
            <w:pPr>
              <w:spacing w:after="0"/>
              <w:rPr>
                <w:sz w:val="24"/>
                <w:szCs w:val="24"/>
                <w:color w:val="auto"/>
              </w:rPr>
            </w:pPr>
          </w:p>
        </w:tc>
        <w:tc>
          <w:tcPr>
            <w:tcW w:w="69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24"/>
                <w:szCs w:val="24"/>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6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1" w:name="page72"/>
    <w:bookmarkEnd w:id="71"/>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The Company evaluates long lived assets, including acquired intangible assets and capitalized software development costs, for impairment whenever events or changes in circumstances indicate that the carrying amount of an asset may not be recoverable or the estimated useful life becomes shorter than originally estimated.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 based on discounted cash flows.</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Goodwill is not amortized but rather tested for impairment at least annually on October 1, or more frequently if events or changes in circumstances indicate that goodwill may be impaired. Goodwill impairment is recognized when the quantitative assessment results in the carrying value exceeding the fair value, in which case an impairment charge is recorded to the extent the carrying value exceeds the fair value. The Company did not recognize any impairment of goodwill during the years ended December 31, 2023, 2022 or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Operating Leases</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231F20"/>
        </w:rPr>
        <w:t>The Company determines if an arrangement is a lease at inception. Operating lease assets and liabilities are reflected within operating lease assets, operating lease liabilities, current, and operating lease liabilities, non-current, on the consolidated balance sheets. For short-term leases (an initial term of 12 months or less), an operating lease asset and corresponding lease liability are not recorded and the Company records rent expense in its consolidated statements of operations on a straight-line basis over the lease term. Operating lease assets represent the Company’s right to use an underlying asset for the lease term and lease liabilities represent the Company’s obligation to make lease payments arising from the lease. Operating lease assets and liabilities are recognized at commencement date based on the present value of lease payments over the lease term. As most of the Company’s leases do not provide an implicit rate, the Company generally uses its incremental borrowing rate based on the estimated rate of interest for collateralized borrowing over a similar term of the lease payments at commencement date. The operating lease assets also include any lease payments made and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separately.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Net Income (Loss) Per Share Attributable to Common Stockholders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Basic net income (loss) per share is computed by dividing net income (loss) by the weighted-average number of shares of Class A common stock and Class B common stock (together “common stock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outstanding during the period. Diluted net income (loss) per share is computed by dividing net income (loss) by the weighted-average number of shares of common stock outstanding during the period giving effect to all potentially dilutive securities to the extent they are dilutive. The dilutive effect of potentially dilutive securities is reflected in diluted net income (loss) per share by application of the two-class method. During the periods when the Company is in a net loss position, the net loss attributable to common stockholders was not allocated to the unvested common stock under the two-class method as these securities do not have a contractual obligation to share in the Company’s losses.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Accounting Pronouncements Recently Adopted</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from Contracts with Customers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ASU No. 2021-08”), which intends to improve the accounting for acquired revenue contracts with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business combination by addressing diversity in practice and inconsistency related to recognition of an acquired contract liability and payment terms and their effect on subsequent revenue recognized by the acquirer. It is effective for interim and annual periods beginning after December 15, 2022, with early adoption permitted. The Company early adopted ASU No. 2021-08 on January 1, 2022 on a prospective basis with no material impact on the Company's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Accounting Pronouncements Not Yet Adopted</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231F20"/>
        </w:rPr>
        <w:t>In November 2023, the FASB issued ASU No. 2023-07</w:t>
      </w:r>
      <w:r>
        <w:rPr>
          <w:rFonts w:ascii="Times New Roman" w:cs="Times New Roman" w:eastAsia="Times New Roman" w:hAnsi="Times New Roman"/>
          <w:sz w:val="18"/>
          <w:szCs w:val="18"/>
          <w:b w:val="1"/>
          <w:bCs w:val="1"/>
          <w:i w:val="1"/>
          <w:iCs w:val="1"/>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Segment Reporting (Topic 280): Improvements to Reportable Segment Disclosures</w:t>
      </w:r>
      <w:r>
        <w:rPr>
          <w:rFonts w:ascii="Times New Roman" w:cs="Times New Roman" w:eastAsia="Times New Roman" w:hAnsi="Times New Roman"/>
          <w:sz w:val="18"/>
          <w:szCs w:val="18"/>
          <w:color w:val="231F20"/>
        </w:rPr>
        <w:t xml:space="preserve"> (“ASU No. 2023-07</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which intends to improve reportable segment disclosure requirements, primarily through enhanced disclosures about significant segment expenses. The amendments in this ASU are effective for public business entities for fiscal years beginning after December 15, 2023, and interim periods within fiscal years beginning after December 15, 2024. Early adoption is permitted. The amendments in this ASU should be applied retrospectively to all prior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2" w:name="page73"/>
    <w:bookmarkEnd w:id="72"/>
    <w:p>
      <w:pPr>
        <w:jc w:val="both"/>
        <w:spacing w:after="0" w:line="282" w:lineRule="auto"/>
        <w:rPr>
          <w:sz w:val="20"/>
          <w:szCs w:val="20"/>
          <w:color w:val="auto"/>
        </w:rPr>
      </w:pPr>
      <w:r>
        <w:rPr>
          <w:rFonts w:ascii="Times New Roman" w:cs="Times New Roman" w:eastAsia="Times New Roman" w:hAnsi="Times New Roman"/>
          <w:sz w:val="18"/>
          <w:szCs w:val="18"/>
          <w:color w:val="231F20"/>
        </w:rPr>
        <w:t>periods presented in the financial statements. The Company is currently evaluating the impact of the adoption of this standard on its consolidated financial statements.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231F20"/>
        </w:rPr>
        <w:t>In December 2023, the FASB issued ASU No. 2023-09</w:t>
      </w:r>
      <w:r>
        <w:rPr>
          <w:rFonts w:ascii="Times New Roman" w:cs="Times New Roman" w:eastAsia="Times New Roman" w:hAnsi="Times New Roman"/>
          <w:sz w:val="18"/>
          <w:szCs w:val="18"/>
          <w:b w:val="1"/>
          <w:bCs w:val="1"/>
          <w:i w:val="1"/>
          <w:iCs w:val="1"/>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Income Taxes (Topic 740): Improvements to Income Tax Disclosures</w:t>
      </w:r>
      <w:r>
        <w:rPr>
          <w:rFonts w:ascii="Times New Roman" w:cs="Times New Roman" w:eastAsia="Times New Roman" w:hAnsi="Times New Roman"/>
          <w:sz w:val="18"/>
          <w:szCs w:val="18"/>
          <w:color w:val="231F20"/>
        </w:rPr>
        <w:t xml:space="preserve"> (“ASU No. 2023-09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which intends to increase the transparency of income tax disclosures, particularly the rate reconciliation table and disclosures about income taxes paid. For public business entities, it is effective for annual periods beginning after December 15, 2024, and interim periods beginning after December 15, 2025, with early adoption permitted. The Company has not early adopted ASU No. 2023-09 as of December 31, 2023 and is evaluating its impact.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3. Marketable Securities</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The following is a summary of available-for-sale marketable securities, excluding those securities classified within cash and cash equivalents on the consolidated balance sheet as of December 31, 2023 and December 31, 2022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5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58"/>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3"/>
                <w:szCs w:val="13"/>
                <w:color w:val="auto"/>
              </w:rPr>
            </w:pPr>
          </w:p>
        </w:tc>
        <w:tc>
          <w:tcPr>
            <w:tcW w:w="1120" w:type="dxa"/>
            <w:vAlign w:val="bottom"/>
          </w:tcPr>
          <w:p>
            <w:pPr>
              <w:jc w:val="center"/>
              <w:ind w:right="255"/>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0"/>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6"/>
                <w:szCs w:val="16"/>
                <w:color w:val="auto"/>
              </w:rPr>
            </w:pPr>
          </w:p>
        </w:tc>
        <w:tc>
          <w:tcPr>
            <w:tcW w:w="112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50"/>
        </w:trPr>
        <w:tc>
          <w:tcPr>
            <w:tcW w:w="51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775,953</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605,786</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459,845</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264,725</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146,250</w:t>
            </w:r>
          </w:p>
        </w:tc>
      </w:tr>
      <w:tr>
        <w:trPr>
          <w:trHeight w:val="26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2,253,484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2,252,559</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4"/>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
        </w:trPr>
        <w:tc>
          <w:tcPr>
            <w:tcW w:w="5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1"/>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4"/>
                <w:szCs w:val="14"/>
                <w:color w:val="auto"/>
              </w:rPr>
            </w:pPr>
          </w:p>
        </w:tc>
        <w:tc>
          <w:tcPr>
            <w:tcW w:w="112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0"/>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6"/>
                <w:szCs w:val="16"/>
                <w:color w:val="auto"/>
              </w:rPr>
            </w:pPr>
          </w:p>
        </w:tc>
        <w:tc>
          <w:tcPr>
            <w:tcW w:w="112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51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806,108</w:t>
            </w:r>
          </w:p>
        </w:tc>
      </w:tr>
      <w:tr>
        <w:trPr>
          <w:trHeight w:val="27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357,030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356,273</w:t>
            </w: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173,530</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119,878</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89,552</w:t>
            </w:r>
          </w:p>
        </w:tc>
      </w:tr>
      <w:tr>
        <w:trPr>
          <w:trHeight w:val="237"/>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1,555,403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1,545,341</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auto"/>
        </w:rPr>
        <w:t>Interest receivable of $15.1 million and $8.1 million is included in Prepaid expenses and other current assets on the consolidated balance sheets as of December 31, 2023 and 2022, respectively. The Company did not recognize an allowance for credit losses against interest receivable as of December 31, 2023 and 2022 because such potential losses were not material.</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December 31, 2023, the fair values of available-for-sale marketable securities, by remaining contractual maturity, were as follows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1,799,542</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year through five years</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453,017</w:t>
            </w:r>
          </w:p>
        </w:tc>
      </w:tr>
      <w:tr>
        <w:trPr>
          <w:trHeight w:val="27"/>
        </w:trPr>
        <w:tc>
          <w:tcPr>
            <w:tcW w:w="9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9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2,252,559</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gains and losses on marketable securities are presented net of tax.</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231F20"/>
        </w:rPr>
        <w:t>4. Fair Value Measurements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have been measured at fair value on a recurring basis as of December 31, 2023 and 2022, and indicate the fair value hierarchy of the valuation inputs utilized to determine such fair value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18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2023</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5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240,909</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240,909</w:t>
            </w:r>
          </w:p>
        </w:tc>
      </w:tr>
      <w:tr>
        <w:trPr>
          <w:trHeight w:val="260"/>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8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53,972</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775,953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775,953</w:t>
            </w:r>
          </w:p>
        </w:tc>
      </w:tr>
      <w:tr>
        <w:trPr>
          <w:trHeight w:val="260"/>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605,786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605,786</w:t>
            </w:r>
          </w:p>
        </w:tc>
      </w:tr>
      <w:tr>
        <w:trPr>
          <w:trHeight w:val="28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264,725</w:t>
            </w:r>
          </w:p>
        </w:tc>
      </w:tr>
      <w:tr>
        <w:trPr>
          <w:trHeight w:val="260"/>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459,845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459,845</w:t>
            </w:r>
          </w:p>
        </w:tc>
      </w:tr>
      <w:tr>
        <w:trPr>
          <w:trHeight w:val="28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146,250</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146,250</w:t>
            </w:r>
          </w:p>
        </w:tc>
      </w:tr>
      <w:tr>
        <w:trPr>
          <w:trHeight w:val="263"/>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240,909</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2,307,015</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2,547,924</w:t>
            </w:r>
          </w:p>
        </w:tc>
      </w:tr>
      <w:tr>
        <w:trPr>
          <w:trHeight w:val="20"/>
        </w:trPr>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4"/>
        </w:trPr>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8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2022</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
        </w:trPr>
        <w:tc>
          <w:tcPr>
            <w:tcW w:w="5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302,902</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302,902</w:t>
            </w:r>
          </w:p>
        </w:tc>
      </w:tr>
      <w:tr>
        <w:trPr>
          <w:trHeight w:val="24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806,108</w:t>
            </w: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356,273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356,273</w:t>
            </w:r>
          </w:p>
        </w:tc>
      </w:tr>
      <w:tr>
        <w:trPr>
          <w:trHeight w:val="260"/>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173,530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173,530</w:t>
            </w:r>
          </w:p>
        </w:tc>
      </w:tr>
      <w:tr>
        <w:trPr>
          <w:trHeight w:val="28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119,878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119,878</w:t>
            </w:r>
          </w:p>
        </w:tc>
      </w:tr>
      <w:tr>
        <w:trPr>
          <w:trHeight w:val="263"/>
        </w:trPr>
        <w:tc>
          <w:tcPr>
            <w:tcW w:w="5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89,552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89,552</w:t>
            </w:r>
          </w:p>
        </w:tc>
      </w:tr>
      <w:tr>
        <w:trPr>
          <w:trHeight w:val="29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302,902</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1,547,834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1,850,736</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including money market funds with an original maturity of three months or less at the date of purchase, to be cash equivalents. The Company uses quoted prices in active markets for assets to determine the fair value of its Level 1 investments in money market funds. The Company classifies its commercial paper, corporate debt securities, certificates of deposit, U.S. government treasury securities, and Non-U.S. government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8,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to the consolidated financial statements for further details.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33,376</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27,683</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134,890</w:t>
            </w:r>
          </w:p>
        </w:tc>
      </w:tr>
      <w:tr>
        <w:trPr>
          <w:trHeight w:val="22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(83,918)</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—Internal-Use Software Development Costs, the Company capitalizes costs related to the development of computer software for internal-use and is included in capitalized software development costs within property and equipment, net.</w:t>
      </w:r>
    </w:p>
    <w:p>
      <w:pPr>
        <w:spacing w:after="0" w:line="175" w:lineRule="exact"/>
        <w:rPr>
          <w:sz w:val="20"/>
          <w:szCs w:val="20"/>
          <w:color w:val="auto"/>
        </w:rPr>
      </w:pPr>
    </w:p>
    <w:p>
      <w:pPr>
        <w:ind w:right="120" w:firstLine="972"/>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approximately $35.6 million, $27.0 million, and $18.5 million for the years ended December 31, 2023,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6. Acquisitions, Intangible Assets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2023 Acquisitions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 xml:space="preserve">During the year ended December 31, 2023, the Company entered into three purchase agreements for acquisitions of businesses, each of which were accounted for as business combinations in accordance with ASC 805, </w:t>
      </w:r>
      <w:r>
        <w:rPr>
          <w:rFonts w:ascii="Times New Roman" w:cs="Times New Roman" w:eastAsia="Times New Roman" w:hAnsi="Times New Roman"/>
          <w:sz w:val="18"/>
          <w:szCs w:val="18"/>
          <w:i w:val="1"/>
          <w:iCs w:val="1"/>
          <w:color w:val="231F20"/>
        </w:rPr>
        <w:t>Business Combinations</w:t>
      </w:r>
      <w:r>
        <w:rPr>
          <w:rFonts w:ascii="Times New Roman" w:cs="Times New Roman" w:eastAsia="Times New Roman" w:hAnsi="Times New Roman"/>
          <w:sz w:val="18"/>
          <w:szCs w:val="18"/>
          <w:color w:val="231F20"/>
        </w:rPr>
        <w:t>. The Company does not consider these acquisitions to be material, individually or in aggregate. The total purchase price was allocated to intangible assets in the amount of $2.1 million and goodwill in the amount of $3.5 million based on the respective estimated fair values. The resulting goodwill from each of the agreements is not deductible for income tax purposes. Pro forma results of operations from these acquisitions have not been presented because they were not material to the consolidated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2022 Acquisitions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 xml:space="preserve">During the year ended December 31, 2022, the Company entered into four purchase agreements for acquisitions of businesses, each of which were accounted for as business combinations in accordance with ASC 805, </w:t>
      </w:r>
      <w:r>
        <w:rPr>
          <w:rFonts w:ascii="Times New Roman" w:cs="Times New Roman" w:eastAsia="Times New Roman" w:hAnsi="Times New Roman"/>
          <w:sz w:val="18"/>
          <w:szCs w:val="18"/>
          <w:i w:val="1"/>
          <w:iCs w:val="1"/>
          <w:color w:val="231F20"/>
        </w:rPr>
        <w:t>Business Combinations</w:t>
      </w:r>
      <w:r>
        <w:rPr>
          <w:rFonts w:ascii="Times New Roman" w:cs="Times New Roman" w:eastAsia="Times New Roman" w:hAnsi="Times New Roman"/>
          <w:sz w:val="18"/>
          <w:szCs w:val="18"/>
          <w:color w:val="231F20"/>
        </w:rPr>
        <w:t>. The Company does not consider these acquisitions to be material, individually or in aggregate. The total purchase price was allocated to intangible assets in the amount of $8.2 million and goodwill in the amount of $56.6 million based on the respective estimated fair values. The resulting goodwill from each of the agreements is not deductible for income tax purposes. Pro forma results of operations from these acquisitions have not been presented because they were not material to the consolidated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Acquisitions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 xml:space="preserve">In October and December 2021, the Company entered into two purchase agreements for acquisitions of businesses, each of which were accounted for as business combinations in accordance with ASC 805, </w:t>
      </w:r>
      <w:r>
        <w:rPr>
          <w:rFonts w:ascii="Times New Roman" w:cs="Times New Roman" w:eastAsia="Times New Roman" w:hAnsi="Times New Roman"/>
          <w:sz w:val="18"/>
          <w:szCs w:val="18"/>
          <w:i w:val="1"/>
          <w:iCs w:val="1"/>
          <w:color w:val="231F20"/>
        </w:rPr>
        <w:t>Business Combinations</w:t>
      </w:r>
      <w:r>
        <w:rPr>
          <w:rFonts w:ascii="Times New Roman" w:cs="Times New Roman" w:eastAsia="Times New Roman" w:hAnsi="Times New Roman"/>
          <w:sz w:val="18"/>
          <w:szCs w:val="18"/>
          <w:color w:val="231F20"/>
        </w:rPr>
        <w:t>. The Company does not consider these acquisitions to be material, individually or in aggregate. The total purchase price was allocated to intangible assets in the amount of $4.3 million and goodwill in the amount of $36.6 million based on the respective estimated fair values. The resulting goodwill from both agreements is not deductible for income tax purposes. Pro forma results of operations from these acquisitions have not been presented because they were not material to the consolidated results of operations.</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 xml:space="preserve">In April 2021, the Company entered into a stock purchase agreement whereby the Company acquired all of the issued and outstanding shares of a SaaS based security platform company. The consideration was approximately $219.4 million, comprising cash and Class A common stock. The acquisition was accounted for as a business combination in accordance with ASC 805, </w:t>
      </w:r>
      <w:r>
        <w:rPr>
          <w:rFonts w:ascii="Times New Roman" w:cs="Times New Roman" w:eastAsia="Times New Roman" w:hAnsi="Times New Roman"/>
          <w:sz w:val="18"/>
          <w:szCs w:val="18"/>
          <w:i w:val="1"/>
          <w:iCs w:val="1"/>
          <w:color w:val="231F20"/>
        </w:rPr>
        <w:t>Business Combinations.</w:t>
      </w:r>
      <w:r>
        <w:rPr>
          <w:rFonts w:ascii="Times New Roman" w:cs="Times New Roman" w:eastAsia="Times New Roman" w:hAnsi="Times New Roman"/>
          <w:sz w:val="18"/>
          <w:szCs w:val="18"/>
          <w:color w:val="231F20"/>
        </w:rPr>
        <w:t xml:space="preserve"> The purchase price was allocated to intangible assets in the amount of $12.0 million and goodwill in the amount of $204.3 million based on the respective estimated fair values. The resulting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5" w:name="page76"/>
    <w:bookmarkEnd w:id="75"/>
    <w:p>
      <w:pPr>
        <w:jc w:val="both"/>
        <w:spacing w:after="0" w:line="266" w:lineRule="auto"/>
        <w:rPr>
          <w:sz w:val="20"/>
          <w:szCs w:val="20"/>
          <w:color w:val="auto"/>
        </w:rPr>
      </w:pPr>
      <w:r>
        <w:rPr>
          <w:rFonts w:ascii="Times New Roman" w:cs="Times New Roman" w:eastAsia="Times New Roman" w:hAnsi="Times New Roman"/>
          <w:sz w:val="18"/>
          <w:szCs w:val="18"/>
          <w:color w:val="231F20"/>
        </w:rPr>
        <w:t>goodwill is not deductible for income tax purposes. Intangible assets consisted of developed technology in the amount of $8.7 million and customer relationships in the amount of $3.3 million. The useful life for developed technology and customer relationships are three and four years, respectively. Additionally, there was a one-time severance charge of $1.3 million recorded on the acquisition date.</w:t>
      </w:r>
    </w:p>
    <w:p>
      <w:pPr>
        <w:spacing w:after="0" w:line="176"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 xml:space="preserve">In February 2021, the Company entered into a stock purchase agreement whereby the Company acquired all of the issued and outstanding shares of an observability data pipeline tool company with the purchase price paid in cash and Class A common stock. The acquisition was accounted for as a business combination in accordance with ASC 805, </w:t>
      </w:r>
      <w:r>
        <w:rPr>
          <w:rFonts w:ascii="Times New Roman" w:cs="Times New Roman" w:eastAsia="Times New Roman" w:hAnsi="Times New Roman"/>
          <w:sz w:val="18"/>
          <w:szCs w:val="18"/>
          <w:i w:val="1"/>
          <w:iCs w:val="1"/>
          <w:color w:val="231F20"/>
        </w:rPr>
        <w:t>Business Combinations</w:t>
      </w:r>
      <w:r>
        <w:rPr>
          <w:rFonts w:ascii="Times New Roman" w:cs="Times New Roman" w:eastAsia="Times New Roman" w:hAnsi="Times New Roman"/>
          <w:sz w:val="18"/>
          <w:szCs w:val="18"/>
          <w:color w:val="231F20"/>
        </w:rPr>
        <w:t>. The purchase price was allocated to intangible assets in the amount of $1.7 million and goodwill in the amount of $34.3 million based on the respective estimated fair values. The resulting goodwill is not deductible for income tax purposes. Pro forma results of operations for this acquisition have not been presented because they were not material to the consolidated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Intangible assets, net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1160" w:type="dxa"/>
            <w:vAlign w:val="bottom"/>
          </w:tcPr>
          <w:p>
            <w:pPr>
              <w:jc w:val="center"/>
              <w:ind w:right="199"/>
              <w:spacing w:after="0" w:line="12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7"/>
                <w:szCs w:val="17"/>
                <w:color w:val="auto"/>
              </w:rPr>
            </w:pPr>
          </w:p>
        </w:tc>
        <w:tc>
          <w:tcPr>
            <w:tcW w:w="116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60" w:type="dxa"/>
            <w:vAlign w:val="bottom"/>
            <w:gridSpan w:val="4"/>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1160" w:type="dxa"/>
            <w:vAlign w:val="bottom"/>
          </w:tcPr>
          <w:p>
            <w:pPr>
              <w:jc w:val="center"/>
              <w:ind w:right="199"/>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116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231F20"/>
        </w:rPr>
        <w:t>Intangible amortization expense was approximately $8.9 million, $7.6 million and $4.4 million for the years ended December 31, 2023, 2022 and 2021, respectively. Amortization of developed technology and customer relationships are included in cost of revenue and sales and marketing expense, respectively, on the Company’s consolidated statement of operations and comprehensive loss.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ind w:left="980"/>
              <w:spacing w:after="0"/>
              <w:rPr>
                <w:sz w:val="20"/>
                <w:szCs w:val="20"/>
                <w:color w:val="auto"/>
              </w:rPr>
            </w:pPr>
            <w:r>
              <w:rPr>
                <w:rFonts w:ascii="Times New Roman" w:cs="Times New Roman" w:eastAsia="Times New Roman" w:hAnsi="Times New Roman"/>
                <w:sz w:val="18"/>
                <w:szCs w:val="18"/>
                <w:color w:val="231F20"/>
              </w:rPr>
              <w:t>As of December 31, 2023, future amortization expense by year is expected to be as follows (in thousands):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9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0" w:type="dxa"/>
            <w:vAlign w:val="bottom"/>
          </w:tcPr>
          <w:p>
            <w:pPr>
              <w:spacing w:after="0"/>
              <w:rPr>
                <w:sz w:val="1"/>
                <w:szCs w:val="1"/>
                <w:color w:val="auto"/>
              </w:rPr>
            </w:pP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0" w:type="dxa"/>
            <w:vAlign w:val="bottom"/>
          </w:tcPr>
          <w:p>
            <w:pPr>
              <w:spacing w:after="0"/>
              <w:rPr>
                <w:sz w:val="1"/>
                <w:szCs w:val="1"/>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23"/>
        </w:trPr>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9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780" w:type="dxa"/>
            <w:vAlign w:val="bottom"/>
          </w:tcPr>
          <w:p>
            <w:pPr>
              <w:ind w:left="980"/>
              <w:spacing w:after="0"/>
              <w:rPr>
                <w:sz w:val="20"/>
                <w:szCs w:val="20"/>
                <w:color w:val="auto"/>
              </w:rPr>
            </w:pPr>
            <w:r>
              <w:rPr>
                <w:rFonts w:ascii="Times New Roman" w:cs="Times New Roman" w:eastAsia="Times New Roman" w:hAnsi="Times New Roman"/>
                <w:sz w:val="18"/>
                <w:szCs w:val="18"/>
                <w:color w:val="231F20"/>
              </w:rPr>
              <w:t>The changes in the carrying amount of goodwill were as follows (in thousands):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348,277</w:t>
            </w:r>
          </w:p>
        </w:tc>
        <w:tc>
          <w:tcPr>
            <w:tcW w:w="0" w:type="dxa"/>
            <w:vAlign w:val="bottom"/>
          </w:tcPr>
          <w:p>
            <w:pPr>
              <w:spacing w:after="0"/>
              <w:rPr>
                <w:sz w:val="1"/>
                <w:szCs w:val="1"/>
                <w:color w:val="auto"/>
              </w:rPr>
            </w:pP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Acquisitions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0" w:type="dxa"/>
            <w:vAlign w:val="bottom"/>
          </w:tcPr>
          <w:p>
            <w:pPr>
              <w:spacing w:after="0"/>
              <w:rPr>
                <w:sz w:val="1"/>
                <w:szCs w:val="1"/>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352,694</w:t>
            </w: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231F20"/>
        </w:rPr>
        <w:t>7. Accrued Expenses and Other Current Liabilities</w:t>
      </w:r>
    </w:p>
    <w:p>
      <w:pPr>
        <w:spacing w:after="0" w:line="200" w:lineRule="exact"/>
        <w:rPr>
          <w:sz w:val="20"/>
          <w:szCs w:val="20"/>
          <w:color w:val="auto"/>
        </w:rPr>
      </w:pPr>
    </w:p>
    <w:p>
      <w:pPr>
        <w:spacing w:after="0" w:line="3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Accrued expenses and other current liabilities consisted of the following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82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Accrued cloud hosting and infrastructure expenses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73,566</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commissions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tax liability and sales tax</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25,818</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25,038</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171,158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1" w:lineRule="exact"/>
        <w:rPr>
          <w:sz w:val="20"/>
          <w:szCs w:val="20"/>
          <w:color w:val="auto"/>
        </w:rPr>
      </w:pPr>
    </w:p>
    <w:p>
      <w:pPr>
        <w:ind w:left="340" w:right="100" w:hanging="332"/>
        <w:spacing w:after="0" w:line="258" w:lineRule="auto"/>
        <w:tabs>
          <w:tab w:leader="none" w:pos="338" w:val="left"/>
        </w:tabs>
        <w:numPr>
          <w:ilvl w:val="0"/>
          <w:numId w:val="3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Due to the timing of when invoices are received, accounts payable on the consolidated balance sheets includes cloud hosting and infrastructure expenses of $70.2 million and $12.6 million for the years ended December 31, 2023 and 2022,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8. Convertible Senior Notes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bear interest at a rate of 0.125% per year, payable semiannually in arrears on June 15 and December 15 of each year, beginning on December 15, 2020. The 2025 Notes will mature on June 15, 2025, unless earlier converted, redeemed or repurchased.</w:t>
      </w:r>
    </w:p>
    <w:p>
      <w:pPr>
        <w:spacing w:after="0" w:line="183" w:lineRule="exact"/>
        <w:rPr>
          <w:sz w:val="20"/>
          <w:szCs w:val="20"/>
          <w:color w:val="auto"/>
        </w:rPr>
      </w:pPr>
    </w:p>
    <w:p>
      <w:pPr>
        <w:ind w:right="20" w:firstLine="972"/>
        <w:spacing w:after="0" w:line="282" w:lineRule="auto"/>
        <w:rPr>
          <w:sz w:val="20"/>
          <w:szCs w:val="20"/>
          <w:color w:val="auto"/>
        </w:rPr>
      </w:pPr>
      <w:r>
        <w:rPr>
          <w:rFonts w:ascii="Times New Roman" w:cs="Times New Roman" w:eastAsia="Times New Roman" w:hAnsi="Times New Roman"/>
          <w:sz w:val="18"/>
          <w:szCs w:val="18"/>
          <w:color w:val="auto"/>
        </w:rPr>
        <w:t>Holders may convert their notes at their option at any time prior to the close of business on the business day immediately preceding March 15, 2025 only under the following circumstances:</w:t>
      </w:r>
    </w:p>
    <w:p>
      <w:pPr>
        <w:spacing w:after="0" w:line="54" w:lineRule="exact"/>
        <w:rPr>
          <w:sz w:val="20"/>
          <w:szCs w:val="20"/>
          <w:color w:val="auto"/>
        </w:rPr>
      </w:pPr>
    </w:p>
    <w:p>
      <w:pPr>
        <w:jc w:val="both"/>
        <w:ind w:left="1460" w:hanging="480"/>
        <w:spacing w:after="0" w:line="261" w:lineRule="auto"/>
        <w:tabs>
          <w:tab w:leader="none" w:pos="14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September 30, 2020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71"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(the “measurement period”) in which the trading price per $1,000 principal amount of 2025 Notes for each trading day of the measurement period was less than 98% of the product of the last reported sale price of the Company’s Class A common stock and the conversion rate on each such trading day;</w:t>
      </w:r>
    </w:p>
    <w:p>
      <w:pPr>
        <w:spacing w:after="0" w:line="67" w:lineRule="exact"/>
        <w:rPr>
          <w:rFonts w:ascii="Times New Roman" w:cs="Times New Roman" w:eastAsia="Times New Roman" w:hAnsi="Times New Roman"/>
          <w:sz w:val="18"/>
          <w:szCs w:val="18"/>
          <w:color w:val="auto"/>
        </w:rPr>
      </w:pPr>
    </w:p>
    <w:p>
      <w:pPr>
        <w:ind w:left="1460" w:hanging="480"/>
        <w:spacing w:after="0" w:line="282" w:lineRule="auto"/>
        <w:tabs>
          <w:tab w:leader="none" w:pos="14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2025 Notes for redemption, at any time prior to the close of business on the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2025 Notes (“the Indenture”).</w:t>
      </w:r>
    </w:p>
    <w:p>
      <w:pPr>
        <w:spacing w:after="0" w:line="225"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On or after March 15, 2025 until the close of business on the second scheduled trading day immediately preceding the maturity date, holders may convert all or any portion of their notes, in integral multiples of $1,000 principal amount, at the option of the holder regardless of the foregoing circumstances. The conversion rate for the 2025 Notes is initially 10.8338 shares of Class A common stock per $1,000 principal amount of notes (equivalent to an initial conversion price of approximately $92.30 per share of Class A common stock), subject to adjustment as set forth in the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30 trading day observation period as described in the Indenture. In addition, if specific corporate events occur prior to the applicable maturity date, or if the Company elects to redeem the 2025 Notes, the Company will increase the conversion rate for a holder who elects to convert their notes in connection with such a corporate event or redemption in certain circumstances.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7" w:name="page78"/>
    <w:bookmarkEnd w:id="77"/>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During the three months ended December 31, 2023, the conditional conversion feature of the 2025 Notes was not triggered as the last reported sale price of the Company’s Class A common stock was not greater than or equal to 130% of the conversion price for at least 20 trading days (whether or not consecutive) during a period of 30 consecutive trading days ending on, and including, the last trading day of the quarter ended December 31, 2023. Therefore the 2025 Notes are not convertible, in whole or in part, at the option of the holders between January 1, 2024 through March 31, 2024. Whether the 2025 Notes will be convertible in future periods will depend on the continued satisfaction of this condition or another conversion condition.</w:t>
      </w:r>
    </w:p>
    <w:p>
      <w:pPr>
        <w:spacing w:after="0" w:line="18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When a conversion notice is received, the Company has the option to pay or deliver cash, shares of the Company’s common stock, or a combination thereof. Since the issuance of the 2025 Notes, the Company received and settled an immaterial amount of conversion notices from the holders in cash. As of December 31, 2023, the 2025 Notes were classified as long-term debt on the Company's consolidated balance sheet.</w:t>
      </w:r>
    </w:p>
    <w:p>
      <w:pPr>
        <w:spacing w:after="0" w:line="176"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The Company may redeem for cash all or any portion of the 2025 Notes prior to the 31st scheduled trading day immediately preceding the maturity date,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2025 Notes to be redeemed, plus accrued and unpaid interest to, but excluding, the redemption date.</w:t>
      </w:r>
    </w:p>
    <w:p>
      <w:pPr>
        <w:spacing w:after="0" w:line="183"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In accounting for the issuance of the 2025 Notes, the 2025 Notes were separated into liability and equity components. The carrying amount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2025 Notes. This difference represents the debt discount that is amortized to interest expense over the contractual terms of the 2025 Notes using the effective interest rate method. The carrying amount of the equity component representing the conversion option was $177.2 million. The equity component was recorded in additional paid-in capital and is not remeasured as long as it continues to meet the conditions for equity classification.</w:t>
      </w:r>
    </w:p>
    <w:p>
      <w:pPr>
        <w:spacing w:after="0" w:line="18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In accounting for the debt issuance costs of $17.3 million related to the 2025 Notes, the Company allocated the total amount incurred to the liability and equity components of the 2025 Notes in the same proportion as the allocation of the proceeds. Issuance costs attributable to the liability component were $13.2 million and will be amortized, along with the debt discount, to interest expense over the contractual term of the 2025 Notes at an effective interest rate of 5.97%. Issuance costs attributable to the equity component were $4.1 million and are netted against the equity component in additional paid-in capital.</w:t>
      </w:r>
    </w:p>
    <w:p>
      <w:pPr>
        <w:spacing w:after="0" w:line="181"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 xml:space="preserve">On January 1, 2021 the Company adopted ASU No. 2020-06, </w:t>
      </w:r>
      <w:r>
        <w:rPr>
          <w:rFonts w:ascii="Times New Roman" w:cs="Times New Roman" w:eastAsia="Times New Roman" w:hAnsi="Times New Roman"/>
          <w:sz w:val="18"/>
          <w:szCs w:val="18"/>
          <w:i w:val="1"/>
          <w:iCs w:val="1"/>
          <w:color w:val="auto"/>
        </w:rPr>
        <w:t>Accounting for Convertible Instruments and Contracts in an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As a result of the adoption, the debt conversion option of $177.2 million and debt issuance costs of $4.1 million previously attributable to the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are no longer presented in equity. Similarly, the debt discount, that is equal to the carrying value of the embedded conversion feature upon issuance, is no longer amortized into income as interest expense over the life of the instrument. This resulted in a $16.8 million decrease to the opening balance of accumulated deficit, a $173.1 million decrease to the opening balance of additional paid-in capital and a $156.3 million increase to the opening balance of convertible senior notes, net on the consolidated balance sheet.</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net carrying amount of the liability component of the 2025 Notes was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280" w:type="dxa"/>
            <w:vAlign w:val="bottom"/>
            <w:shd w:val="clear" w:color="auto" w:fill="CCEEFF"/>
          </w:tcPr>
          <w:p>
            <w:pPr>
              <w:jc w:val="center"/>
              <w:ind w:right="6030"/>
              <w:spacing w:after="0"/>
              <w:rPr>
                <w:sz w:val="20"/>
                <w:szCs w:val="20"/>
                <w:color w:val="auto"/>
              </w:rPr>
            </w:pPr>
            <w:r>
              <w:rPr>
                <w:rFonts w:ascii="Times New Roman" w:cs="Times New Roman" w:eastAsia="Times New Roman" w:hAnsi="Times New Roman"/>
                <w:sz w:val="18"/>
                <w:szCs w:val="18"/>
                <w:color w:val="auto"/>
                <w:w w:val="99"/>
              </w:rPr>
              <w:t>Convertible senior notes, net: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747,496</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747,496</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w:t>
            </w:r>
          </w:p>
        </w:tc>
      </w:tr>
      <w:tr>
        <w:trPr>
          <w:trHeight w:val="223"/>
        </w:trPr>
        <w:tc>
          <w:tcPr>
            <w:tcW w:w="8280" w:type="dxa"/>
            <w:vAlign w:val="bottom"/>
          </w:tcPr>
          <w:p>
            <w:pPr>
              <w:jc w:val="center"/>
              <w:ind w:right="5990"/>
              <w:spacing w:after="0"/>
              <w:rPr>
                <w:sz w:val="20"/>
                <w:szCs w:val="20"/>
                <w:color w:val="auto"/>
              </w:rPr>
            </w:pPr>
            <w:r>
              <w:rPr>
                <w:rFonts w:ascii="Times New Roman" w:cs="Times New Roman" w:eastAsia="Times New Roman" w:hAnsi="Times New Roman"/>
                <w:sz w:val="18"/>
                <w:szCs w:val="18"/>
                <w:color w:val="auto"/>
                <w:w w:val="99"/>
              </w:rPr>
              <w:t>Net carrying amount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742,235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738,847</w:t>
            </w: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As of December 31, 2023, the total estimated fair value of the 2025 Notes was approximately $1,050.2 million. The fair value was determined based on the closing trading price or quoted market price per $100 of the 2025 Notes as of the last day of trading for the period. The fair value of the 2025 Notes is primarily affected by the trading price of the Company’s Class A common stock and market interest rates.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the interest expense related to the 2025 Notes for the years ended December 31, 2023, 2022, and 2021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3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3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48"/>
        </w:trPr>
        <w:tc>
          <w:tcPr>
            <w:tcW w:w="6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In connection with the pricing of the 2025 Notes, the Company entered into privately negotiated capped call transactions with certain counterparties (“Capped Calls”). The Capped Calls each have an initial strike price of approximately $92.30 per share, subject to certain adjustments, which corresponds to the initial conversion price of the 2025 Notes. The Capped Calls have initial cap prices of $151.04 per share, subject to certain adjustments. The Capped Calls are expected to partially offset the potential dilution to the Company’s Class A common stock upon any conversion of the 2025 Notes, with such offset subject to a cap based on the cap price. The Capped Calls cover, subject to anti-dilution adjustments, approximately 8.1 million shares of the Company’s Class A common stock. For accounting purposes, the Capped Calls are separate transactions, and not part of the 2025 Notes. As these transactions meet certain accounting criteria, the Capped Calls are recorded in stockholders' equity and are not accounted for as derivatives. The cost of $89.6 million incurred to purchase the Capped Calls was recorded as a reduction to additional paid-in capital and will not be remeasured.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9. Commitments and Contingencies</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The Company enters into non-cancelable purchase commitments and operating leases in the normal course of business. Non-cancelable purchase commitments for business operations and operating lease obligations total $485.0 million and $347.1 million, respectively, as of December 31, 2023, due primarily over the next 5 years. Purchase commitments for business operations are primarily related to cloud hosting and other software-based services.</w:t>
      </w:r>
    </w:p>
    <w:p>
      <w:pPr>
        <w:spacing w:after="0" w:line="18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The Company also issued long-term debt to finance the business. The principal and future interest payments related to the 2025 Notes are $749.0 million.</w:t>
      </w:r>
    </w:p>
    <w:p>
      <w:pPr>
        <w:spacing w:after="0" w:line="158" w:lineRule="exact"/>
        <w:rPr>
          <w:sz w:val="20"/>
          <w:szCs w:val="20"/>
          <w:color w:val="auto"/>
        </w:rPr>
      </w:pPr>
    </w:p>
    <w:p>
      <w:pPr>
        <w:jc w:val="both"/>
        <w:ind w:firstLine="972"/>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401(k) Plan</w:t>
      </w:r>
      <w:r>
        <w:rPr>
          <w:rFonts w:ascii="Times New Roman" w:cs="Times New Roman" w:eastAsia="Times New Roman" w:hAnsi="Times New Roman"/>
          <w:sz w:val="18"/>
          <w:szCs w:val="18"/>
          <w:color w:val="231F20"/>
        </w:rPr>
        <w:t>—The Company sponsors a 401(k) defined contribution plan covering all eligible U.S. employees. The Company is responsible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 xml:space="preserve">for administrative costs of the 401(k) plan and beginning on January 1, 2022, the Company began making matching contributions to the 401(k) plan. For the years ended </w:t>
      </w:r>
      <w:r>
        <w:rPr>
          <w:rFonts w:ascii="Times New Roman" w:cs="Times New Roman" w:eastAsia="Times New Roman" w:hAnsi="Times New Roman"/>
          <w:sz w:val="18"/>
          <w:szCs w:val="18"/>
          <w:color w:val="000000"/>
        </w:rPr>
        <w:t>December 31, 2023 and 2022</w:t>
      </w:r>
      <w:r>
        <w:rPr>
          <w:rFonts w:ascii="Times New Roman" w:cs="Times New Roman" w:eastAsia="Times New Roman" w:hAnsi="Times New Roman"/>
          <w:sz w:val="18"/>
          <w:szCs w:val="18"/>
          <w:color w:val="231F20"/>
        </w:rPr>
        <w:t>, the Company incurred expense of $6.3 million and $5.7 million for matching contributions, respectively. The Company did not make any matching contributions to the 401(k) plan for the year ended December 31, 2021.</w:t>
      </w:r>
    </w:p>
    <w:p>
      <w:pPr>
        <w:spacing w:after="0" w:line="176" w:lineRule="exact"/>
        <w:rPr>
          <w:sz w:val="20"/>
          <w:szCs w:val="20"/>
          <w:color w:val="auto"/>
        </w:rPr>
      </w:pPr>
    </w:p>
    <w:p>
      <w:pPr>
        <w:jc w:val="both"/>
        <w:ind w:firstLine="972"/>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Legal Matters</w:t>
      </w:r>
      <w:r>
        <w:rPr>
          <w:rFonts w:ascii="Times New Roman" w:cs="Times New Roman" w:eastAsia="Times New Roman" w:hAnsi="Times New Roman"/>
          <w:sz w:val="18"/>
          <w:szCs w:val="18"/>
          <w:color w:val="231F20"/>
        </w:rPr>
        <w:t>—The Company is involved from time to time in various claims and legal actions arising in the ordinary course of business.</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While it is not feasible to predict or determine the ultimate outcome of these matters, the Company believes that none of its current legal proceedings will have a material adverse effect on its financial position or results of operations.</w:t>
      </w:r>
    </w:p>
    <w:p>
      <w:pPr>
        <w:spacing w:after="0" w:line="171"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b w:val="1"/>
          <w:bCs w:val="1"/>
          <w:i w:val="1"/>
          <w:iCs w:val="1"/>
          <w:color w:val="231F20"/>
        </w:rPr>
        <w:t>Indemnification</w:t>
      </w:r>
      <w:r>
        <w:rPr>
          <w:rFonts w:ascii="Times New Roman" w:cs="Times New Roman" w:eastAsia="Times New Roman" w:hAnsi="Times New Roman"/>
          <w:sz w:val="18"/>
          <w:szCs w:val="18"/>
          <w:color w:val="231F20"/>
        </w:rPr>
        <w:t>—The Company enters into indemnification provisions under some agreements with other parties in the ordinary course of</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consolidated statements of operations in connection with the indemnification provisions have not been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10. Leases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The Company has entered into various non-cancelable operating leases for its facilities expiring between 2024 and 2033. Certain lease agreements contain an option for the Company to renew a lease for a term of up to three years or an option to terminate a lease early within one year. The Company considers these options, which may be elected at the Company’s sole discretion, in determining the lease term on a lease-by-lease basis.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79" w:name="page80"/>
    <w:bookmarkEnd w:id="79"/>
    <w:p>
      <w:pPr>
        <w:ind w:firstLine="972"/>
        <w:spacing w:after="0" w:line="282" w:lineRule="auto"/>
        <w:rPr>
          <w:sz w:val="20"/>
          <w:szCs w:val="20"/>
          <w:color w:val="auto"/>
        </w:rPr>
      </w:pPr>
      <w:r>
        <w:rPr>
          <w:rFonts w:ascii="Times New Roman" w:cs="Times New Roman" w:eastAsia="Times New Roman" w:hAnsi="Times New Roman"/>
          <w:sz w:val="18"/>
          <w:szCs w:val="18"/>
          <w:color w:val="231F20"/>
        </w:rPr>
        <w:t>Lease expense for these leases is recognized on a straight-line basis over the lease term, with variable lease payments recognized in the period those payments are incurred.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Rent expense for the years ended December 31, 2023, 2022 and 2021 was $43.5 million, $34.0 million, and $23.8 million, respectively.</w:t>
      </w:r>
    </w:p>
    <w:p>
      <w:pPr>
        <w:spacing w:after="0" w:line="225"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231F20"/>
        </w:rPr>
        <w:t>The Company recorded $0.9 million, $1.0 million, and $1.0 million in sub-lease income for the years ended December 31, 2023, 2022 and 2021, respectively. Sub-lease income is recorded as a credit to rent expense.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The components of lease cost recognized within the Company’s consolidated statements of operations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0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20,198</w:t>
            </w: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1"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Includes non-cash lease expense of $26.4 million, $21.4 million, and $17.2 million for the years ended December 31, 2023, 2022 and 2021, respectively.</w:t>
      </w:r>
    </w:p>
    <w:p>
      <w:pPr>
        <w:spacing w:after="0" w:line="2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Supplemental cash flow information and non-cash activity related to the Company’s operating leases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13,273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20,741</w:t>
            </w:r>
          </w:p>
        </w:tc>
        <w:tc>
          <w:tcPr>
            <w:tcW w:w="20" w:type="dxa"/>
            <w:vAlign w:val="bottom"/>
            <w:shd w:val="clear" w:color="auto" w:fill="CCEEFF"/>
          </w:tcPr>
          <w:p>
            <w:pPr>
              <w:spacing w:after="0"/>
              <w:rPr>
                <w:sz w:val="19"/>
                <w:szCs w:val="19"/>
                <w:color w:val="auto"/>
              </w:rPr>
            </w:pP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new lease liabilities</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61,594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17,476</w:t>
            </w:r>
          </w:p>
        </w:tc>
        <w:tc>
          <w:tcPr>
            <w:tcW w:w="20" w:type="dxa"/>
            <w:vAlign w:val="bottom"/>
          </w:tcPr>
          <w:p>
            <w:pPr>
              <w:spacing w:after="0"/>
              <w:rPr>
                <w:sz w:val="20"/>
                <w:szCs w:val="20"/>
                <w:color w:val="auto"/>
              </w:rPr>
            </w:pPr>
          </w:p>
        </w:tc>
      </w:tr>
      <w:tr>
        <w:trPr>
          <w:trHeight w:val="508"/>
        </w:trPr>
        <w:tc>
          <w:tcPr>
            <w:tcW w:w="882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231F20"/>
                <w:w w:val="99"/>
              </w:rPr>
              <w:t>Maturities of lease liabilities by fiscal year for the Company’s operating leases are as follows (in thousands):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6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67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17,995</w:t>
            </w:r>
          </w:p>
        </w:tc>
        <w:tc>
          <w:tcPr>
            <w:tcW w:w="20" w:type="dxa"/>
            <w:vAlign w:val="bottom"/>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34,234</w:t>
            </w:r>
          </w:p>
        </w:tc>
        <w:tc>
          <w:tcPr>
            <w:tcW w:w="2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w:t>
            </w:r>
          </w:p>
        </w:tc>
        <w:tc>
          <w:tcPr>
            <w:tcW w:w="20" w:type="dxa"/>
            <w:vAlign w:val="bottom"/>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27,747</w:t>
            </w:r>
          </w:p>
        </w:tc>
        <w:tc>
          <w:tcPr>
            <w:tcW w:w="2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24,479</w:t>
            </w:r>
          </w:p>
        </w:tc>
        <w:tc>
          <w:tcPr>
            <w:tcW w:w="20" w:type="dxa"/>
            <w:vAlign w:val="bottom"/>
          </w:tcPr>
          <w:p>
            <w:pPr>
              <w:spacing w:after="0"/>
              <w:rPr>
                <w:sz w:val="19"/>
                <w:szCs w:val="19"/>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73,102</w:t>
            </w:r>
          </w:p>
        </w:tc>
        <w:tc>
          <w:tcPr>
            <w:tcW w:w="20" w:type="dxa"/>
            <w:vAlign w:val="bottom"/>
          </w:tcPr>
          <w:p>
            <w:pPr>
              <w:spacing w:after="0"/>
              <w:rPr>
                <w:sz w:val="19"/>
                <w:szCs w:val="19"/>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208,607</w:t>
            </w:r>
          </w:p>
        </w:tc>
        <w:tc>
          <w:tcPr>
            <w:tcW w:w="20" w:type="dxa"/>
            <w:vAlign w:val="bottom"/>
          </w:tcPr>
          <w:p>
            <w:pPr>
              <w:spacing w:after="0"/>
              <w:rPr>
                <w:sz w:val="19"/>
                <w:szCs w:val="19"/>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(48,505)</w:t>
            </w:r>
          </w:p>
        </w:tc>
        <w:tc>
          <w:tcPr>
            <w:tcW w:w="20" w:type="dxa"/>
            <w:vAlign w:val="bottom"/>
          </w:tcPr>
          <w:p>
            <w:pPr>
              <w:spacing w:after="0"/>
              <w:rPr>
                <w:sz w:val="19"/>
                <w:szCs w:val="19"/>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160,102</w:t>
            </w:r>
          </w:p>
        </w:tc>
        <w:tc>
          <w:tcPr>
            <w:tcW w:w="20" w:type="dxa"/>
            <w:vAlign w:val="bottom"/>
          </w:tcPr>
          <w:p>
            <w:pPr>
              <w:spacing w:after="0"/>
              <w:rPr>
                <w:sz w:val="21"/>
                <w:szCs w:val="2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various operating leases that had not yet commenced, which are excluded from the table above. The operating leases will commence between fiscal year 2024 and 2025 with total undiscounted future payments of $138.5 million and a weighted-average lease term of 9 years.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Weighted average remaining lease term and discount rate for the Company’s operating leases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5.12%</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11.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Geographical Information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0" w:name="page81"/>
    <w:bookmarkEnd w:id="80"/>
    <w:p>
      <w:pPr>
        <w:ind w:left="980"/>
        <w:spacing w:after="0"/>
        <w:rPr>
          <w:sz w:val="20"/>
          <w:szCs w:val="20"/>
          <w:color w:val="auto"/>
        </w:rPr>
      </w:pPr>
      <w:r>
        <w:rPr>
          <w:rFonts w:ascii="Times New Roman" w:cs="Times New Roman" w:eastAsia="Times New Roman" w:hAnsi="Times New Roman"/>
          <w:sz w:val="18"/>
          <w:szCs w:val="18"/>
          <w:color w:val="auto"/>
        </w:rPr>
        <w:t>Revenue by location is determined by the billing address of the customer. The following table sets forth revenue by geographic area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7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1,487,319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736,218</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641,040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292,566</w:t>
            </w: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2,128,359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1,028,784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0369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322"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Includes revenue from the United States of $1,411.0 million, $1,134.1 million, and $691.8 million for the years ended December 31, 2023, 2022, and 2021, respectively.</w:t>
      </w:r>
    </w:p>
    <w:p>
      <w:pPr>
        <w:spacing w:after="0" w:line="221" w:lineRule="exact"/>
        <w:rPr>
          <w:sz w:val="20"/>
          <w:szCs w:val="20"/>
          <w:color w:val="auto"/>
        </w:rPr>
      </w:pPr>
    </w:p>
    <w:p>
      <w:pPr>
        <w:ind w:right="60" w:firstLine="972"/>
        <w:spacing w:after="0" w:line="282" w:lineRule="auto"/>
        <w:rPr>
          <w:sz w:val="20"/>
          <w:szCs w:val="20"/>
          <w:color w:val="auto"/>
        </w:rPr>
      </w:pPr>
      <w:r>
        <w:rPr>
          <w:rFonts w:ascii="Times New Roman" w:cs="Times New Roman" w:eastAsia="Times New Roman" w:hAnsi="Times New Roman"/>
          <w:sz w:val="18"/>
          <w:szCs w:val="18"/>
          <w:color w:val="231F20"/>
        </w:rPr>
        <w:t>Other than the United States, no other individual country accounted for 10% or more of total revenue for the years ended December 31, 2023, 2022, or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Accounts Receivable</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As of December 31, 2023 and 2022, unbilled accounts receivable of approximately $61.2 million and $60.0 million, respectively, was included in accounts receivable on the Company’s consolidated balance sheets.</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During the years ended December 31, 2023 and 2022, the Company charged $5.5 million and $2.7 million, respectively, of accounts receivable deemed uncollectible against the allowance for credit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229"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231F20"/>
        </w:rPr>
        <w:t>Revenue recognized during the years ended December 31, 2023, 2022 and 2021 which was included in the deferred revenue balances at the beginning of each respective period, was $525.5 million, $374.6 million, and $206.6 million.</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As of December 31, 2023, and 2022, the aggregate transaction price allocated to remaining performance obligations was $1,839.4 million and $1,057.2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Deferred contract costs on the Company’s consolidated balance sheets were $118.7 million and $88.4 million as of December 31, 2023 and 2022, respectively. Amortization expense was $39.2 million, $28.0 million and $17.9 million for the years ended December 31, 2023, 2022 and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12.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Class B Common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to Class A common stock upon sale or transfer, subject to certain limited exceptions.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2023, 2,016,413 shares of Class B common stock were converted into Class A common stock.</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authorized 2,000,000,000 shares of Class A common stock and 310,000,000 shares of Class B common stock, each at a par value per share of $0.00001, of which 305,395,175 shares of Class A common stock and 25,684,571 shares of Class B common stock were issued and outstanding.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1" w:name="page82"/>
    <w:bookmarkEnd w:id="81"/>
    <w:p>
      <w:pPr>
        <w:ind w:left="980"/>
        <w:spacing w:after="0"/>
        <w:rPr>
          <w:sz w:val="20"/>
          <w:szCs w:val="20"/>
          <w:color w:val="auto"/>
        </w:rPr>
      </w:pPr>
      <w:r>
        <w:rPr>
          <w:rFonts w:ascii="Times New Roman" w:cs="Times New Roman" w:eastAsia="Times New Roman" w:hAnsi="Times New Roman"/>
          <w:sz w:val="17"/>
          <w:szCs w:val="17"/>
          <w:color w:val="231F20"/>
        </w:rPr>
        <w:t>As of December 31, 2023 and 2022, the Company had reserved shares of common stock for future issuance as follows:</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Options, RSUs and PSUs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available for future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subject to the employee stock purchase plan</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Total shares of common stock reserved for future issuance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33655</wp:posOffset>
            </wp:positionV>
            <wp:extent cx="20059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35" w:lineRule="exact"/>
        <w:rPr>
          <w:sz w:val="20"/>
          <w:szCs w:val="20"/>
          <w:color w:val="auto"/>
        </w:rPr>
      </w:pPr>
    </w:p>
    <w:p>
      <w:pPr>
        <w:ind w:left="6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61" w:lineRule="exact"/>
        <w:rPr>
          <w:sz w:val="20"/>
          <w:szCs w:val="20"/>
          <w:color w:val="auto"/>
        </w:rPr>
      </w:pPr>
    </w:p>
    <w:p>
      <w:pPr>
        <w:ind w:left="80"/>
        <w:spacing w:after="0"/>
        <w:tabs>
          <w:tab w:leader="none" w:pos="1700" w:val="left"/>
        </w:tabs>
        <w:rPr>
          <w:sz w:val="20"/>
          <w:szCs w:val="20"/>
          <w:color w:val="auto"/>
        </w:rPr>
      </w:pPr>
      <w:r>
        <w:rPr>
          <w:rFonts w:ascii="Times New Roman" w:cs="Times New Roman" w:eastAsia="Times New Roman" w:hAnsi="Times New Roman"/>
          <w:sz w:val="17"/>
          <w:szCs w:val="17"/>
          <w:color w:val="auto"/>
        </w:rPr>
        <w:t>25,741,136</w:t>
      </w:r>
      <w:r>
        <w:rPr>
          <w:sz w:val="20"/>
          <w:szCs w:val="20"/>
          <w:color w:val="auto"/>
        </w:rPr>
        <w:tab/>
      </w:r>
      <w:r>
        <w:rPr>
          <w:rFonts w:ascii="Times New Roman" w:cs="Times New Roman" w:eastAsia="Times New Roman" w:hAnsi="Times New Roman"/>
          <w:sz w:val="17"/>
          <w:szCs w:val="17"/>
          <w:color w:val="auto"/>
        </w:rPr>
        <w:t>30,930,540</w:t>
      </w:r>
    </w:p>
    <w:p>
      <w:pPr>
        <w:spacing w:after="0" w:line="39" w:lineRule="exact"/>
        <w:rPr>
          <w:sz w:val="20"/>
          <w:szCs w:val="20"/>
          <w:color w:val="auto"/>
        </w:rPr>
      </w:pPr>
    </w:p>
    <w:p>
      <w:pPr>
        <w:ind w:left="80"/>
        <w:spacing w:after="0"/>
        <w:tabs>
          <w:tab w:leader="none" w:pos="1700" w:val="left"/>
        </w:tabs>
        <w:rPr>
          <w:sz w:val="20"/>
          <w:szCs w:val="20"/>
          <w:color w:val="auto"/>
        </w:rPr>
      </w:pPr>
      <w:r>
        <w:rPr>
          <w:rFonts w:ascii="Times New Roman" w:cs="Times New Roman" w:eastAsia="Times New Roman" w:hAnsi="Times New Roman"/>
          <w:sz w:val="17"/>
          <w:szCs w:val="17"/>
          <w:color w:val="auto"/>
        </w:rPr>
        <w:t>73,189,660</w:t>
      </w:r>
      <w:r>
        <w:rPr>
          <w:sz w:val="20"/>
          <w:szCs w:val="20"/>
          <w:color w:val="auto"/>
        </w:rPr>
        <w:tab/>
      </w:r>
      <w:r>
        <w:rPr>
          <w:rFonts w:ascii="Times New Roman" w:cs="Times New Roman" w:eastAsia="Times New Roman" w:hAnsi="Times New Roman"/>
          <w:sz w:val="17"/>
          <w:szCs w:val="17"/>
          <w:color w:val="auto"/>
        </w:rPr>
        <w:t>63,291,013</w:t>
      </w:r>
    </w:p>
    <w:p>
      <w:pPr>
        <w:spacing w:after="0" w:line="34" w:lineRule="exact"/>
        <w:rPr>
          <w:sz w:val="20"/>
          <w:szCs w:val="20"/>
          <w:color w:val="auto"/>
        </w:rPr>
      </w:pPr>
    </w:p>
    <w:p>
      <w:pPr>
        <w:ind w:left="80"/>
        <w:spacing w:after="0"/>
        <w:tabs>
          <w:tab w:leader="none" w:pos="1700" w:val="left"/>
        </w:tabs>
        <w:rPr>
          <w:sz w:val="20"/>
          <w:szCs w:val="20"/>
          <w:color w:val="auto"/>
        </w:rPr>
      </w:pPr>
      <w:r>
        <w:rPr>
          <w:rFonts w:ascii="Times New Roman" w:cs="Times New Roman" w:eastAsia="Times New Roman" w:hAnsi="Times New Roman"/>
          <w:sz w:val="17"/>
          <w:szCs w:val="17"/>
          <w:color w:val="auto"/>
        </w:rPr>
        <w:t>17,481,059</w:t>
      </w:r>
      <w:r>
        <w:rPr>
          <w:sz w:val="20"/>
          <w:szCs w:val="20"/>
          <w:color w:val="auto"/>
        </w:rPr>
        <w:tab/>
      </w:r>
      <w:r>
        <w:rPr>
          <w:rFonts w:ascii="Times New Roman" w:cs="Times New Roman" w:eastAsia="Times New Roman" w:hAnsi="Times New Roman"/>
          <w:sz w:val="17"/>
          <w:szCs w:val="17"/>
          <w:color w:val="auto"/>
        </w:rPr>
        <w:t>14,806,591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21590</wp:posOffset>
            </wp:positionV>
            <wp:extent cx="20059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3"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116,411,855</w:t>
      </w:r>
      <w:r>
        <w:rPr>
          <w:sz w:val="20"/>
          <w:szCs w:val="20"/>
          <w:color w:val="auto"/>
        </w:rPr>
        <w:tab/>
      </w:r>
      <w:r>
        <w:rPr>
          <w:rFonts w:ascii="Times New Roman" w:cs="Times New Roman" w:eastAsia="Times New Roman" w:hAnsi="Times New Roman"/>
          <w:sz w:val="18"/>
          <w:szCs w:val="18"/>
          <w:color w:val="auto"/>
        </w:rPr>
        <w:t>109,028,144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17145</wp:posOffset>
            </wp:positionV>
            <wp:extent cx="2005965"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05965" cy="3429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7880" w:space="720"/>
            <w:col w:w="2640"/>
          </w:cols>
          <w:pgMar w:left="320" w:top="1107" w:right="33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972"/>
        <w:spacing w:after="0" w:line="273" w:lineRule="auto"/>
        <w:rPr>
          <w:sz w:val="20"/>
          <w:szCs w:val="20"/>
          <w:color w:val="auto"/>
        </w:rPr>
      </w:pPr>
      <w:r>
        <w:rPr>
          <w:rFonts w:ascii="Times New Roman" w:cs="Times New Roman" w:eastAsia="Times New Roman" w:hAnsi="Times New Roman"/>
          <w:sz w:val="18"/>
          <w:szCs w:val="18"/>
          <w:color w:val="auto"/>
        </w:rPr>
        <w:t>The Company has two equity incentive plans, the 2012 Equity Incentive Plan (the “2012 Plan”) and the 2019 Equity Incentive Plan (the “2019 Plan”). In connection with the Company's initial public offering (“the IPO”), the Company ceased granting awards under the 2012 Plan, and all</w:t>
      </w:r>
    </w:p>
    <w:p>
      <w:pPr>
        <w:spacing w:after="0" w:line="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shares that remained available for issuance under the 2012 Plan at that time were transferred to the </w:t>
      </w:r>
      <w:r>
        <w:rPr>
          <w:rFonts w:ascii="Times New Roman" w:cs="Times New Roman" w:eastAsia="Times New Roman" w:hAnsi="Times New Roman"/>
          <w:sz w:val="18"/>
          <w:szCs w:val="18"/>
          <w:color w:val="231F20"/>
        </w:rPr>
        <w:t>2019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Additionally, as of December 31, 2023, there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were 12,054,709 shares of Class A common stock issuable upon conversion of Class B common stock underlying options outstanding under the 2012 Plan. </w:t>
      </w:r>
      <w:r>
        <w:rPr>
          <w:rFonts w:ascii="Times New Roman" w:cs="Times New Roman" w:eastAsia="Times New Roman" w:hAnsi="Times New Roman"/>
          <w:sz w:val="18"/>
          <w:szCs w:val="18"/>
          <w:color w:val="000000"/>
        </w:rPr>
        <w:t xml:space="preserve">Under the </w:t>
      </w:r>
      <w:r>
        <w:rPr>
          <w:rFonts w:ascii="Times New Roman" w:cs="Times New Roman" w:eastAsia="Times New Roman" w:hAnsi="Times New Roman"/>
          <w:sz w:val="18"/>
          <w:szCs w:val="18"/>
          <w:color w:val="231F20"/>
        </w:rPr>
        <w:t>2019 Plan</w:t>
      </w:r>
      <w:r>
        <w:rPr>
          <w:rFonts w:ascii="Times New Roman" w:cs="Times New Roman" w:eastAsia="Times New Roman" w:hAnsi="Times New Roman"/>
          <w:sz w:val="18"/>
          <w:szCs w:val="18"/>
          <w:color w:val="000000"/>
        </w:rPr>
        <w:t xml:space="preserve">, the Board and any other committee or subcommittee of the Board may grant stock options, stock appreciation rights, restricted stock awards, restricted stock units (“RSUs”), and performance stock units (“PSUs”) and other awards, each equity award valued or based on the Company’s Class A common stock, to employees, directors, consultants, and advisors of the Company. </w:t>
      </w:r>
      <w:r>
        <w:rPr>
          <w:rFonts w:ascii="Times New Roman" w:cs="Times New Roman" w:eastAsia="Times New Roman" w:hAnsi="Times New Roman"/>
          <w:sz w:val="18"/>
          <w:szCs w:val="18"/>
          <w:color w:val="231F20"/>
        </w:rPr>
        <w:t>As of December 31, 2023, there were 73,189,660 shares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available for grant under the 2019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The following table summarizes the Company's stock option activity and weighted-average exercise prices: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w w:val="99"/>
              </w:rPr>
              <w:t>Weighted-</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Number of</w:t>
            </w:r>
          </w:p>
        </w:tc>
        <w:tc>
          <w:tcPr>
            <w:tcW w:w="22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231F20"/>
              </w:rPr>
              <w:t>Weighted-</w:t>
            </w: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231F20"/>
              </w:rPr>
              <w:t>Average</w:t>
            </w:r>
          </w:p>
        </w:tc>
        <w:tc>
          <w:tcPr>
            <w:tcW w:w="200" w:type="dxa"/>
            <w:vAlign w:val="bottom"/>
          </w:tcPr>
          <w:p>
            <w:pPr>
              <w:spacing w:after="0"/>
              <w:rPr>
                <w:sz w:val="12"/>
                <w:szCs w:val="12"/>
                <w:color w:val="auto"/>
              </w:rPr>
            </w:pPr>
          </w:p>
        </w:tc>
        <w:tc>
          <w:tcPr>
            <w:tcW w:w="134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7"/>
        </w:trPr>
        <w:tc>
          <w:tcPr>
            <w:tcW w:w="472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231F20"/>
              </w:rPr>
              <w:t>Remaining</w:t>
            </w:r>
          </w:p>
        </w:tc>
        <w:tc>
          <w:tcPr>
            <w:tcW w:w="2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6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231F20"/>
              </w:rPr>
              <w:t>Options</w:t>
            </w: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231F20"/>
              </w:rPr>
              <w:t>Average</w:t>
            </w: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231F20"/>
              </w:rPr>
              <w:t>Contractual Life</w:t>
            </w:r>
          </w:p>
        </w:tc>
        <w:tc>
          <w:tcPr>
            <w:tcW w:w="200" w:type="dxa"/>
            <w:vAlign w:val="bottom"/>
          </w:tcPr>
          <w:p>
            <w:pPr>
              <w:spacing w:after="0"/>
              <w:rPr>
                <w:sz w:val="12"/>
                <w:szCs w:val="12"/>
                <w:color w:val="auto"/>
              </w:rPr>
            </w:pPr>
          </w:p>
        </w:tc>
        <w:tc>
          <w:tcPr>
            <w:tcW w:w="1340" w:type="dxa"/>
            <w:vAlign w:val="bottom"/>
          </w:tcPr>
          <w:p>
            <w:pPr>
              <w:jc w:val="center"/>
              <w:ind w:right="159"/>
              <w:spacing w:after="0" w:line="146"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8"/>
        </w:trPr>
        <w:tc>
          <w:tcPr>
            <w:tcW w:w="4720" w:type="dxa"/>
            <w:vAlign w:val="bottom"/>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231F20"/>
              </w:rPr>
              <w:t>Outstanding</w:t>
            </w:r>
          </w:p>
        </w:tc>
        <w:tc>
          <w:tcPr>
            <w:tcW w:w="22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231F20"/>
              </w:rPr>
              <w:t>Exercise Price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w w:val="97"/>
              </w:rPr>
              <w:t>(in Years)</w:t>
            </w:r>
          </w:p>
        </w:tc>
        <w:tc>
          <w:tcPr>
            <w:tcW w:w="20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18,551,857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1,303,464</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(6,455,931)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12,077,635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1,426,912</w:t>
            </w:r>
          </w:p>
        </w:tc>
        <w:tc>
          <w:tcPr>
            <w:tcW w:w="0" w:type="dxa"/>
            <w:vAlign w:val="bottom"/>
          </w:tcPr>
          <w:p>
            <w:pPr>
              <w:spacing w:after="0"/>
              <w:rPr>
                <w:sz w:val="1"/>
                <w:szCs w:val="1"/>
                <w:color w:val="auto"/>
              </w:rPr>
            </w:pPr>
          </w:p>
        </w:tc>
      </w:tr>
      <w:tr>
        <w:trPr>
          <w:trHeight w:val="22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Exercisable—December 31,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12,074,409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1,426,607</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As of December 31, 2023, there were 22,926 shares of Class A common stock and 12,054,709 shares of Class B common stock issuable upon the exercise of options outstanding. As of December 31, 2022, there were 28,557 shares of Class A common stock and 18,523,300 shares of Class B common stock issuable upon the exercise of options outstanding.</w:t>
      </w:r>
    </w:p>
    <w:p>
      <w:pPr>
        <w:spacing w:after="0" w:line="176" w:lineRule="exact"/>
        <w:rPr>
          <w:sz w:val="20"/>
          <w:szCs w:val="20"/>
          <w:color w:val="auto"/>
        </w:rPr>
      </w:pPr>
    </w:p>
    <w:p>
      <w:pPr>
        <w:jc w:val="both"/>
        <w:ind w:right="20" w:firstLine="972"/>
        <w:spacing w:after="0" w:line="261" w:lineRule="auto"/>
        <w:rPr>
          <w:sz w:val="20"/>
          <w:szCs w:val="20"/>
          <w:color w:val="auto"/>
        </w:rPr>
      </w:pPr>
      <w:r>
        <w:rPr>
          <w:rFonts w:ascii="Times New Roman" w:cs="Times New Roman" w:eastAsia="Times New Roman" w:hAnsi="Times New Roman"/>
          <w:sz w:val="18"/>
          <w:szCs w:val="18"/>
          <w:color w:val="auto"/>
        </w:rPr>
        <w:t>Approximately all compensation cost related to unvested awards was recognized as of December 31, 2023. Compensation cost related to unvested awards not yet recognized was approximately $10.1 million as of December 31, 2022. The weighted-average period over which this compensation cost related to unvested employee awards will be recognized is 1.0 year and 0.6 years as of December 31, 2023 and December 31, 2022, respectively.</w:t>
      </w:r>
    </w:p>
    <w:p>
      <w:pPr>
        <w:spacing w:after="0" w:line="18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There were no options granted during the years ended December 31, 2023, 2022 and 2021. The Company received approximately $20.9 million, $10.0 million and $14.9 million in cash proceeds from options exercised during the years ended December 31, 2023, 2022 and 2021, respectively. The intrinsic value of options exercised during the years ended December 31, 2023, 2022 and 2021 was approximately $565.9 million, $301.6 million and $579.6 million, respectively. The aggregate fair value of options vested during the years ended December 31, 2023, 2022 and 2021 was $12.5 million, $23.9 million and $28.1 million,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Restricted Stock and Performance Stock Units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summarizes the activity for the Company’s unvested RSUs and PSUs: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13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52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7"/>
                <w:szCs w:val="17"/>
                <w:color w:val="auto"/>
              </w:rPr>
            </w:pPr>
          </w:p>
        </w:tc>
        <w:tc>
          <w:tcPr>
            <w:tcW w:w="13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balance as of December 31,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12,378,683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909,833</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7,382,006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Forfeited/canceled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(1,302,870)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balance as of December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13,663,501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1,658,476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The Company issued a total of 122,224 shares of restricted Class A common stock in connection with acquisitions, net of shares retired, during the year ended December 31, 2023, which are subject to service-based vesting conditions over approximately four years from the respective grant dates.</w:t>
      </w:r>
    </w:p>
    <w:p>
      <w:pPr>
        <w:spacing w:after="0" w:line="176"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unvested RSUs and restricted shares of common stock not yet recognized was approximately $1,187.3 million and $1,151.1 million as of December 31, 2023 and December 31, 2022, respectively. The weighted-average period over which this compensation cost related to unvested RSUs and restricted shares of common stock will be recognized is 2.8 years and 2.9 years as of December 31, 2023 and December 31, 2022, respectively.</w:t>
      </w:r>
    </w:p>
    <w:p>
      <w:pPr>
        <w:spacing w:after="0" w:line="180"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 xml:space="preserve">Total compensation cost related to unvested PSUs not yet recognized was approximately </w:t>
      </w:r>
      <w:r>
        <w:rPr>
          <w:rFonts w:ascii="Times New Roman" w:cs="Times New Roman" w:eastAsia="Times New Roman" w:hAnsi="Times New Roman"/>
          <w:sz w:val="18"/>
          <w:szCs w:val="18"/>
          <w:color w:val="000000"/>
        </w:rPr>
        <w:t>$25.1 million and $19.0 million</w:t>
      </w:r>
      <w:r>
        <w:rPr>
          <w:rFonts w:ascii="Times New Roman" w:cs="Times New Roman" w:eastAsia="Times New Roman" w:hAnsi="Times New Roman"/>
          <w:sz w:val="18"/>
          <w:szCs w:val="18"/>
          <w:color w:val="231F20"/>
        </w:rPr>
        <w:t xml:space="preserve"> as of December 31, 2023, and December 31, 2022, respectively. The weighted-average period over which this compensation cost related to unvested PSUs will be recognized is </w:t>
      </w:r>
      <w:r>
        <w:rPr>
          <w:rFonts w:ascii="Times New Roman" w:cs="Times New Roman" w:eastAsia="Times New Roman" w:hAnsi="Times New Roman"/>
          <w:sz w:val="18"/>
          <w:szCs w:val="18"/>
          <w:color w:val="000000"/>
        </w:rPr>
        <w:t>1.3 years and 1.4 years</w:t>
      </w:r>
      <w:r>
        <w:rPr>
          <w:rFonts w:ascii="Times New Roman" w:cs="Times New Roman" w:eastAsia="Times New Roman" w:hAnsi="Times New Roman"/>
          <w:sz w:val="18"/>
          <w:szCs w:val="18"/>
          <w:color w:val="231F20"/>
        </w:rPr>
        <w:t xml:space="preserve"> as of December 31, 2023, and December 31, 2022, respectively. There were no PSUs outstanding during the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Stock-based compensation was included in the consolidated statement of operations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101,942</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35,035</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22,195</w:t>
            </w: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net of amounts capitalized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163,737</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w:t>
            </w: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173,397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In September 2019, the Board adopted and approved the 2019 ESPP, which became effective on the date of the final prospectus for the Company’s IPO.</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Historically offering periods have been approximately 6 months.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pacing w:after="0" w:line="18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The Company recognized $16.0 million, $11.2 million, and $7.6 million of stock-based compensation expense related to the ESPP during the years ended December 31, 2023, 2022, and 2021, respectively.</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83" w:name="page84"/>
    <w:bookmarkEnd w:id="83"/>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As of December 31, 2023, and 2022, $6.6 million and $6.0 million, respectively has been withheld on behalf of employees for a future purchase under the ESPP due to the timing of payroll deductions.</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the Company issued 517,430, 316,875, and 291,871 shares of Class A common stock under the ESPP. </w:t>
      </w:r>
      <w:r>
        <w:rPr>
          <w:rFonts w:ascii="Times New Roman" w:cs="Times New Roman" w:eastAsia="Times New Roman" w:hAnsi="Times New Roman"/>
          <w:sz w:val="18"/>
          <w:szCs w:val="18"/>
          <w:color w:val="231F20"/>
        </w:rPr>
        <w:t>As of December 31, 2023, 17,481,059 shares of Class A common stock remain available for grant under the ESPP.</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the ESPP not yet recognized was approximately $6.8 million and $7.1 million as of December 31, 2023 and 2022, respectively. The weighted average period over which this compensation cost will be recognized is 0.4 years as of December 31,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13. Interest Income and Other Income, Net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Interest income and other income, net consist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21,412</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(loss) income,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14. Income Taxes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231F20"/>
        </w:rPr>
        <w:t>Income Taxes</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color w:val="231F20"/>
        </w:rPr>
        <w:t>For financial reporting purposes, income (loss) before income taxes, includes the following components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2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6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10340" w:type="dxa"/>
            <w:vAlign w:val="bottom"/>
            <w:gridSpan w:val="9"/>
          </w:tcPr>
          <w:p>
            <w:pPr>
              <w:ind w:left="980"/>
              <w:spacing w:after="0"/>
              <w:rPr>
                <w:sz w:val="20"/>
                <w:szCs w:val="20"/>
                <w:color w:val="auto"/>
              </w:rPr>
            </w:pPr>
            <w:r>
              <w:rPr>
                <w:rFonts w:ascii="Times New Roman" w:cs="Times New Roman" w:eastAsia="Times New Roman" w:hAnsi="Times New Roman"/>
                <w:sz w:val="18"/>
                <w:szCs w:val="18"/>
                <w:color w:val="231F20"/>
                <w:w w:val="99"/>
              </w:rPr>
              <w:t>Total income taxes allocated to operations for the years ended December 31, 2023, 2022 and 2021 were as follows (in thousands):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5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9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5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9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5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9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8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0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4" w:name="page85"/>
    <w:bookmarkEnd w:id="84"/>
    <w:p>
      <w:pPr>
        <w:jc w:val="both"/>
        <w:ind w:firstLine="972"/>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Tax Rate Reconciliation</w:t>
      </w:r>
      <w:r>
        <w:rPr>
          <w:rFonts w:ascii="Times New Roman" w:cs="Times New Roman" w:eastAsia="Times New Roman" w:hAnsi="Times New Roman"/>
          <w:sz w:val="18"/>
          <w:szCs w:val="18"/>
          <w:color w:val="231F20"/>
        </w:rPr>
        <w:t>—Income tax expense was $11.7 million, $12.1 million and $2.3 million for the years ended December 31, 2023,</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2022 and 2021, respectively, and differed from the amounts computed by applying the U.S. federal statutory income tax rate of 21% for the years ended December 31, 2023, 2022 and 2021, to pretax income (loss) from operations as a result of the following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federal statutory rate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Meals and entertainment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valuation allowance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62,173</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Uncertain tax positions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tax costs on international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 based compensation deductions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(57,350)</w:t>
            </w: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Return to provision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R&amp;D tax credits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Certain reclassifications have been made to the components of Tax Rate Reconciliation for the year ending December 31, 2022 and 2021 to conform to the 2023 presentation.</w:t>
      </w:r>
    </w:p>
    <w:p>
      <w:pPr>
        <w:spacing w:after="0" w:line="162"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231F20"/>
        </w:rPr>
        <w:t>For the year ended December 31, 2023, 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5"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231F20"/>
        </w:rPr>
        <w:t>The Company is subject to tax laws in the United States and numerous foreign jurisdictions. The United States and many international legislative and regulatory bodies continually propose and enact legislation that could significantly impact how U.S. multinational corporations are taxed. The Company is closely monitoring proposed legislation and its potential impact. For tax years beginning on or after January 1, 2022, the Tax Cuts and Jobs Act of 2017 eliminates the option to deduct research and development expenditures, as defined under IRC Section 174, in the year incurred. Instead, taxpayers are required to amortize such expenditures over five years if incurred in the U.S. and over fifteen years if incurred in a foreign jurisdiction.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5" w:name="page86"/>
    <w:bookmarkEnd w:id="85"/>
    <w:p>
      <w:pPr>
        <w:jc w:val="both"/>
        <w:ind w:firstLine="972"/>
        <w:spacing w:after="0" w:line="286" w:lineRule="auto"/>
        <w:rPr>
          <w:sz w:val="20"/>
          <w:szCs w:val="20"/>
          <w:color w:val="auto"/>
        </w:rPr>
      </w:pPr>
      <w:r>
        <w:rPr>
          <w:rFonts w:ascii="Times New Roman" w:cs="Times New Roman" w:eastAsia="Times New Roman" w:hAnsi="Times New Roman"/>
          <w:sz w:val="18"/>
          <w:szCs w:val="18"/>
          <w:b w:val="1"/>
          <w:bCs w:val="1"/>
          <w:color w:val="231F20"/>
        </w:rPr>
        <w:t>Components of Deferred Taxes</w:t>
      </w:r>
      <w:r>
        <w:rPr>
          <w:rFonts w:ascii="Times New Roman" w:cs="Times New Roman" w:eastAsia="Times New Roman" w:hAnsi="Times New Roman"/>
          <w:sz w:val="18"/>
          <w:szCs w:val="18"/>
          <w:color w:val="231F20"/>
        </w:rPr>
        <w:t>—The tax effects of temporary differences that give rise to the deferred tax assets and deferred tax liabilities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at December 31, 2023 and 2022 are presented below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54,974</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R&amp;D tax credits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13,841</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48,872</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Section 174 capitalization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76,625</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liability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18,793</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373,666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228,599</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(321,612)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(188,817)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52,054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Commissions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(22,182)</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 of use asset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(17,151)</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(39,333)</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231F20"/>
        </w:rPr>
        <w:t>The Company accounts for income taxes using an asset and liability method and deferred income tax assets and liabilities are measured using the currently enacted tax rates that apply to taxable income in effect for the years in which those tax assets and liabilities are expected to be realized or settled. The Company’s deferred tax assets and liabilities consist primarily of federal and state net operating loss carryforwards and basis differences for financial reporting and tax purposes of certain assets and liabilities.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Based upon the weight of all available evidence, which includes the historical operating performance and the recorded cumulative losses in prior fiscal periods, management does not believe as of December 31, 2023 and 2022 that it is more likely than not that the Company will realize its U.S. deferred tax assets. As a result, a valuation allowance of $321.6 million and $188.8 million has been provided at December 31, 2023 and 2022, respectively. The valuation allowance changed by $132.8 million and $40.2 million at December 31, 2023 and 2022, respectively. Certain reclassifications have been made to the components of deferred tax for the year ending December 31, 2022 to conform to the 2023 presentation.</w:t>
      </w:r>
    </w:p>
    <w:p>
      <w:pPr>
        <w:spacing w:after="0" w:line="19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At December 31, 2023 and 2022, the Company has net operating loss carryforwards for federal tax purposes of approximately $148.9 million and $243.4 million, respectively, which is available to offset federal taxable income. The federal net operating loss carryforwards generated at December 31, 2017 and prior will begin to expire in 2031, if not utilized. Net operating losses generated after December 31, 2017 have an indefinite carryforward period but are subject to an 80% of taxable income limitation after December 31, 2020. The Company has approximately $206.4 million and $92.0 million of post-apportioned net operating loss carryforwards as of December 31, 2023 and 2022, respectively for various state tax purposes. The state net operating loss carryforwards will begin to expire in 2026, if not utilized.</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Generally, the utilization of net operating losses may be subject to an annual limitation provided for in the Internal Revenue Code of 1986, as amended, under Section 382 and similar state codes. The Company has prepared an analysis to determine whether its net operating losses may be limited under such provisions. It has been determined that any annual limitation would not result in the expiration of net operating loss carryforwards before utilization.</w:t>
      </w:r>
    </w:p>
    <w:p>
      <w:pPr>
        <w:spacing w:after="0" w:line="18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In general, it is the practice and intention of the Company to reinvest the earnings of its non-U.S. subsidiaries in those operations. Historically, the Company has not made a provision for U.S. income tax with respect to accumulated earnings of foreign subsidiaries where the foreign investment of such earnings is essentially permanent in duration. Generally, such amounts would become subject to U.S. taxation upon the remittance of dividends and under certain other circumstances. The Company has not provided U.S. taxes on unremitted earnings of its foreign subsidiaries as it asserts permanent reinvestment on any accumulated earnings and profits.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6" w:name="page87"/>
    <w:bookmarkEnd w:id="86"/>
    <w:p>
      <w:pPr>
        <w:jc w:val="both"/>
        <w:ind w:firstLine="972"/>
        <w:spacing w:after="0" w:line="267" w:lineRule="auto"/>
        <w:rPr>
          <w:sz w:val="20"/>
          <w:szCs w:val="20"/>
          <w:color w:val="auto"/>
        </w:rPr>
      </w:pPr>
      <w:r>
        <w:rPr>
          <w:rFonts w:ascii="Times New Roman" w:cs="Times New Roman" w:eastAsia="Times New Roman" w:hAnsi="Times New Roman"/>
          <w:sz w:val="18"/>
          <w:szCs w:val="18"/>
          <w:color w:val="231F20"/>
        </w:rPr>
        <w:t xml:space="preserve">Consistent with the provisions of ASC 740, </w:t>
      </w:r>
      <w:r>
        <w:rPr>
          <w:rFonts w:ascii="Times New Roman" w:cs="Times New Roman" w:eastAsia="Times New Roman" w:hAnsi="Times New Roman"/>
          <w:sz w:val="18"/>
          <w:szCs w:val="18"/>
          <w:i w:val="1"/>
          <w:iCs w:val="1"/>
          <w:color w:val="231F20"/>
        </w:rPr>
        <w:t>Income Taxes</w:t>
      </w:r>
      <w:r>
        <w:rPr>
          <w:rFonts w:ascii="Times New Roman" w:cs="Times New Roman" w:eastAsia="Times New Roman" w:hAnsi="Times New Roman"/>
          <w:sz w:val="18"/>
          <w:szCs w:val="18"/>
          <w:color w:val="231F20"/>
        </w:rPr>
        <w:t>,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shows the changes in the gross amount of unrecognized tax benefits as of December 31, 2023</w:t>
      </w:r>
      <w:r>
        <w:rPr>
          <w:rFonts w:ascii="Times New Roman" w:cs="Times New Roman" w:eastAsia="Times New Roman" w:hAnsi="Times New Roman"/>
          <w:sz w:val="18"/>
          <w:szCs w:val="18"/>
          <w:color w:val="231F20"/>
        </w:rPr>
        <w:t>, 2022 and 2021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based on tax positions during the current period</w:t>
            </w:r>
          </w:p>
        </w:tc>
        <w:tc>
          <w:tcPr>
            <w:tcW w:w="9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based on tax positions during the current period</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
        </w:trPr>
        <w:tc>
          <w:tcPr>
            <w:tcW w:w="6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231F20"/>
        </w:rPr>
        <w:t>The total amount of unrecognized tax benefits that, if recognized would impact the effective tax rate would be $0.1 million for the year ended December 31, 2023.</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The Company’s policy for classifying interest and penalties associated with unrecognized income tax benefits is to include such items in income tax expense. The total amount of interest and penalties associated with unrecognized income tax benefits is $0.1 million and $0.1 million for the years ended December 31, 2023 and 2022.</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As such the Company anticipates insignificant changes to unrecognized tax benefits over the next 12 months.</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The Company files income tax returns in the U.S. federal jurisdiction, various state jurisdictions and in various international jurisdictions. Tax years 2017 and forward generally remain open for examination for federal and state tax purposes. To the extent utilized in future years’ tax returns, net operating loss carryforwards at December 31, 2023 and 2022 will remain subject to examination until the respective tax year is 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Income (Loss) Per Share</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Basic and diluted net income (loss) per common share is presented in conformity with the two-class method required for participating securities. Immediately prior to the consummation of the Company’s IPO in September 2019, all outstanding shares of convertible preferred stock and common stock were converted into shares of Class B common stock. As a result, Class A and Class B common stock are the only outstanding equity in the Company.</w:t>
      </w:r>
    </w:p>
    <w:p>
      <w:pPr>
        <w:spacing w:after="0" w:line="18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Basic and diluted net income (loss) per share is computed using the weighted-average number of common shares of common stock outstanding during the period. The undistributed earnings are allocated based on the contractual participation rights of the 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loss per share of Class A common stock, the undistributed earnings are equal to net loss for that computation.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87" w:name="page88"/>
    <w:bookmarkEnd w:id="87"/>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 (in thousands, except per share data):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22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8"/>
                <w:szCs w:val="18"/>
                <w:color w:val="auto"/>
              </w:rPr>
            </w:pPr>
          </w:p>
        </w:tc>
        <w:tc>
          <w:tcPr>
            <w:tcW w:w="9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Weighted average shares used in</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calculating net income (loss) per share,</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298,116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283,989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240,999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68,049</w:t>
            </w: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Allocation of distributed income (loss) for</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computation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0" w:type="dxa"/>
            <w:vAlign w:val="bottom"/>
          </w:tcPr>
          <w:p>
            <w:pPr>
              <w:spacing w:after="0"/>
              <w:rPr>
                <w:sz w:val="1"/>
                <w:szCs w:val="1"/>
                <w:color w:val="auto"/>
              </w:rPr>
            </w:pPr>
          </w:p>
        </w:tc>
      </w:tr>
      <w:tr>
        <w:trPr>
          <w:trHeight w:val="175"/>
        </w:trPr>
        <w:tc>
          <w:tcPr>
            <w:tcW w:w="35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Reallocation of undistributed income (loss)</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as a result of conversion of Class B to</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shares</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Allocation of undistributed income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2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Number of shares used in basic calculation</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68,049</w:t>
            </w:r>
          </w:p>
        </w:tc>
        <w:tc>
          <w:tcPr>
            <w:tcW w:w="0" w:type="dxa"/>
            <w:vAlign w:val="bottom"/>
          </w:tcPr>
          <w:p>
            <w:pPr>
              <w:spacing w:after="0"/>
              <w:rPr>
                <w:sz w:val="1"/>
                <w:szCs w:val="1"/>
                <w:color w:val="auto"/>
              </w:rPr>
            </w:pPr>
          </w:p>
        </w:tc>
      </w:tr>
      <w:tr>
        <w:trPr>
          <w:trHeight w:val="176"/>
        </w:trPr>
        <w:tc>
          <w:tcPr>
            <w:tcW w:w="35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Weighted average effect of diluted</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Conversion of Class B to Class A</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Employee stock options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2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Restricted stock units and performance</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 units</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2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Unvested restricted stock in connection</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with acquisitions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2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Shares issuable upon conversion of the</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520" w:type="dxa"/>
            <w:vAlign w:val="bottom"/>
          </w:tcPr>
          <w:p>
            <w:pPr>
              <w:ind w:left="680"/>
              <w:spacing w:after="0" w:line="156" w:lineRule="exact"/>
              <w:rPr>
                <w:sz w:val="20"/>
                <w:szCs w:val="20"/>
                <w:color w:val="auto"/>
              </w:rPr>
            </w:pPr>
            <w:r>
              <w:rPr>
                <w:rFonts w:ascii="Times New Roman" w:cs="Times New Roman" w:eastAsia="Times New Roman" w:hAnsi="Times New Roman"/>
                <w:sz w:val="18"/>
                <w:szCs w:val="18"/>
                <w:color w:val="auto"/>
              </w:rPr>
              <w:t>Number of shares used in diluted</w:t>
            </w: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calculation</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350,292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315,410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309,048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68,049</w:t>
            </w: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periods presented where the Company was in a loss position, basic net loss per share is the same as diluted net loss per share as the inclusion of all potential common shares outstanding would have been anti-dilutive. Potentially dilutive securities that were not included in the diluted per share calculations because they would be anti-dilutive were as follows (in thousands):</w:t>
      </w:r>
    </w:p>
    <w:p>
      <w:pPr>
        <w:spacing w:after="0" w:line="88"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and RSUs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2,248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29,454</w:t>
            </w: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early exercised stock options and restricted shares of common stock</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the employee stock purchase plan</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the convertible senior notes</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ASU No. 2020-06 requires the application of the if-converted method to calculate the impact of convertible instruments on diluted earnings per share when the instruments may be settled in cash or shares. See Note 2, </w:t>
      </w:r>
      <w:r>
        <w:rPr>
          <w:rFonts w:ascii="Times New Roman" w:cs="Times New Roman" w:eastAsia="Times New Roman" w:hAnsi="Times New Roman"/>
          <w:sz w:val="18"/>
          <w:szCs w:val="18"/>
          <w:i w:val="1"/>
          <w:iCs w:val="1"/>
          <w:color w:val="auto"/>
        </w:rPr>
        <w:t>Basis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8" w:name="page89"/>
    <w:bookmarkEnd w:id="88"/>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Presentation and Summary of Significant Accounting Policies—Accounting Policies Recently Adopted </w:t>
      </w:r>
      <w:r>
        <w:rPr>
          <w:rFonts w:ascii="Times New Roman" w:cs="Times New Roman" w:eastAsia="Times New Roman" w:hAnsi="Times New Roman"/>
          <w:sz w:val="18"/>
          <w:szCs w:val="18"/>
          <w:color w:val="auto"/>
        </w:rPr>
        <w:t>for more information.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the conditional conversion feature of the 2025 Notes was not triggered and the 2025 Notes are not convertible, in whole or in part, at the option of the holders between January 1, 2024 through March 31, 2024. The Company uses the if-converted method for calculating any potential dilutive effect of the conversion options embedded in the 2025 Notes on diluted net income per share; however, since the Company is in a net loss position, there was no dilutive effect during any period presented.</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entered into Capped Calls in connection with the issuance of the 2025 Notes. The effect of the Capped Calls was also excluded from the calculation of diluted net income per share as the effect of the Capped Calls would have been anti-dilutive. The Capped Calls are expected to partially offset the potential dilution to the Company’s Class A common stock upon any conversion of the 2025 Notes.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December 31, 2023. Based on the evaluation of our disclosure controls and procedures as of December 31, 2023, our Chief Executive Officer and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December 31, 2023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Based on the results of its evaluation, management concluded that our internal control over financial reporting was effective as of December 31, 2023. Our independent registered public accounting firm, Deloitte &amp; Touche LLP, has issued an auditors’ report on the effectiveness of our internal control over financial reporting, which is included in Item 8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Rule 15d15(d) of the Exchange Act that occurred during the fiscal quarter ended December 31, 2023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Datadog,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Datadog, Inc. and its subsidiaries (the “Company”)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23, 2024,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2023, the Company’s directors and officers (as defined in Rule 16a-1(f) under the Exchange Act) adopted written plans intended to satisfy the affirmative defense conditions of Securities Exchange Act Rule 10b5-1(c) for the sale of the Company’s securities as set forth in the table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Adoption Date</w:t>
            </w:r>
          </w:p>
        </w:tc>
        <w:tc>
          <w:tcPr>
            <w:tcW w:w="2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Shares of Class A Common Stock to be</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09"/>
        </w:trPr>
        <w:tc>
          <w:tcPr>
            <w:tcW w:w="1660" w:type="dxa"/>
            <w:vAlign w:val="bottom"/>
            <w:gridSpan w:val="2"/>
            <w:vMerge w:val="continue"/>
          </w:tcPr>
          <w:p>
            <w:pPr>
              <w:spacing w:after="0"/>
              <w:rPr>
                <w:sz w:val="9"/>
                <w:szCs w:val="9"/>
                <w:color w:val="auto"/>
              </w:rPr>
            </w:pPr>
          </w:p>
        </w:tc>
        <w:tc>
          <w:tcPr>
            <w:tcW w:w="2920" w:type="dxa"/>
            <w:vAlign w:val="bottom"/>
            <w:gridSpan w:val="2"/>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2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Sold</w:t>
            </w: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00" w:type="dxa"/>
            <w:vAlign w:val="bottom"/>
            <w:gridSpan w:val="2"/>
            <w:vMerge w:val="continue"/>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David Obstler</w:t>
            </w:r>
          </w:p>
        </w:tc>
        <w:tc>
          <w:tcPr>
            <w:tcW w:w="100" w:type="dxa"/>
            <w:vAlign w:val="bottom"/>
            <w:shd w:val="clear" w:color="auto" w:fill="CCEEFF"/>
          </w:tcPr>
          <w:p>
            <w:pPr>
              <w:spacing w:after="0"/>
              <w:rPr>
                <w:sz w:val="19"/>
                <w:szCs w:val="19"/>
                <w:color w:val="auto"/>
              </w:rPr>
            </w:pP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Chief Financial Officer</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10, 2023</w:t>
            </w:r>
          </w:p>
        </w:tc>
        <w:tc>
          <w:tcPr>
            <w:tcW w:w="100" w:type="dxa"/>
            <w:vAlign w:val="bottom"/>
            <w:shd w:val="clear" w:color="auto" w:fill="CCEEFF"/>
          </w:tcPr>
          <w:p>
            <w:pPr>
              <w:spacing w:after="0"/>
              <w:rPr>
                <w:sz w:val="19"/>
                <w:szCs w:val="19"/>
                <w:color w:val="auto"/>
              </w:rPr>
            </w:pPr>
          </w:p>
        </w:tc>
        <w:tc>
          <w:tcPr>
            <w:tcW w:w="2800" w:type="dxa"/>
            <w:vAlign w:val="bottom"/>
            <w:shd w:val="clear" w:color="auto" w:fill="CCEEFF"/>
          </w:tcPr>
          <w:p>
            <w:pPr>
              <w:jc w:val="center"/>
              <w:ind w:right="962"/>
              <w:spacing w:after="0" w:line="223" w:lineRule="exact"/>
              <w:rPr>
                <w:sz w:val="20"/>
                <w:szCs w:val="20"/>
                <w:color w:val="auto"/>
              </w:rPr>
            </w:pPr>
            <w:r>
              <w:rPr>
                <w:rFonts w:ascii="Times New Roman" w:cs="Times New Roman" w:eastAsia="Times New Roman" w:hAnsi="Times New Roman"/>
                <w:sz w:val="16"/>
                <w:szCs w:val="16"/>
                <w:color w:val="auto"/>
              </w:rPr>
              <w:t xml:space="preserve">200,000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15, 2025</w:t>
            </w:r>
          </w:p>
        </w:tc>
        <w:tc>
          <w:tcPr>
            <w:tcW w:w="0" w:type="dxa"/>
            <w:vAlign w:val="bottom"/>
          </w:tcPr>
          <w:p>
            <w:pPr>
              <w:spacing w:after="0"/>
              <w:rPr>
                <w:sz w:val="1"/>
                <w:szCs w:val="1"/>
                <w:color w:val="auto"/>
              </w:rPr>
            </w:pPr>
          </w:p>
        </w:tc>
      </w:tr>
      <w:tr>
        <w:trPr>
          <w:trHeight w:val="230"/>
        </w:trPr>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Armelle de Madre</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Chief People Officer</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December 12, 2023</w:t>
            </w:r>
          </w:p>
        </w:tc>
        <w:tc>
          <w:tcPr>
            <w:tcW w:w="2900" w:type="dxa"/>
            <w:vAlign w:val="bottom"/>
            <w:gridSpan w:val="2"/>
          </w:tcPr>
          <w:p>
            <w:pPr>
              <w:jc w:val="center"/>
              <w:ind w:right="80"/>
              <w:spacing w:after="0" w:line="230" w:lineRule="exact"/>
              <w:rPr>
                <w:sz w:val="20"/>
                <w:szCs w:val="20"/>
                <w:color w:val="auto"/>
              </w:rPr>
            </w:pPr>
            <w:r>
              <w:rPr>
                <w:rFonts w:ascii="Times New Roman" w:cs="Times New Roman" w:eastAsia="Times New Roman" w:hAnsi="Times New Roman"/>
                <w:sz w:val="16"/>
                <w:szCs w:val="16"/>
                <w:color w:val="auto"/>
                <w:w w:val="97"/>
              </w:rPr>
              <w:t xml:space="preserve">Up to 72,870 </w:t>
            </w:r>
            <w:r>
              <w:rPr>
                <w:rFonts w:ascii="Times New Roman" w:cs="Times New Roman" w:eastAsia="Times New Roman" w:hAnsi="Times New Roman"/>
                <w:sz w:val="21"/>
                <w:szCs w:val="21"/>
                <w:color w:val="auto"/>
                <w:w w:val="97"/>
                <w:vertAlign w:val="superscript"/>
              </w:rPr>
              <w:t>(2)</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31, 2025</w:t>
            </w:r>
          </w:p>
        </w:tc>
        <w:tc>
          <w:tcPr>
            <w:tcW w:w="0" w:type="dxa"/>
            <w:vAlign w:val="bottom"/>
          </w:tcPr>
          <w:p>
            <w:pPr>
              <w:spacing w:after="0"/>
              <w:rPr>
                <w:sz w:val="1"/>
                <w:szCs w:val="1"/>
                <w:color w:val="auto"/>
              </w:rPr>
            </w:pPr>
          </w:p>
        </w:tc>
      </w:tr>
      <w:tr>
        <w:trPr>
          <w:trHeight w:val="229"/>
        </w:trPr>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Dev Ittycheria</w:t>
            </w:r>
          </w:p>
        </w:tc>
        <w:tc>
          <w:tcPr>
            <w:tcW w:w="2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Director</w:t>
            </w:r>
          </w:p>
        </w:tc>
        <w:tc>
          <w:tcPr>
            <w:tcW w:w="1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December 12, 2023</w:t>
            </w:r>
          </w:p>
        </w:tc>
        <w:tc>
          <w:tcPr>
            <w:tcW w:w="2800" w:type="dxa"/>
            <w:vAlign w:val="bottom"/>
            <w:shd w:val="clear" w:color="auto" w:fill="CCEEFF"/>
          </w:tcPr>
          <w:p>
            <w:pPr>
              <w:jc w:val="right"/>
              <w:ind w:right="1062"/>
              <w:spacing w:after="0"/>
              <w:rPr>
                <w:sz w:val="20"/>
                <w:szCs w:val="20"/>
                <w:color w:val="auto"/>
              </w:rPr>
            </w:pPr>
            <w:r>
              <w:rPr>
                <w:rFonts w:ascii="Times New Roman" w:cs="Times New Roman" w:eastAsia="Times New Roman" w:hAnsi="Times New Roman"/>
                <w:sz w:val="16"/>
                <w:szCs w:val="16"/>
                <w:color w:val="auto"/>
              </w:rPr>
              <w:t>135,000</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28, 2025</w:t>
            </w:r>
          </w:p>
        </w:tc>
        <w:tc>
          <w:tcPr>
            <w:tcW w:w="0" w:type="dxa"/>
            <w:vAlign w:val="bottom"/>
          </w:tcPr>
          <w:p>
            <w:pPr>
              <w:spacing w:after="0"/>
              <w:rPr>
                <w:sz w:val="1"/>
                <w:szCs w:val="1"/>
                <w:color w:val="auto"/>
              </w:rPr>
            </w:pPr>
          </w:p>
        </w:tc>
      </w:tr>
      <w:tr>
        <w:trPr>
          <w:trHeight w:val="250"/>
        </w:trPr>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Sean Walters</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Chief Revenue Officer</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December 14, 2023</w:t>
            </w:r>
          </w:p>
        </w:tc>
        <w:tc>
          <w:tcPr>
            <w:tcW w:w="2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 xml:space="preserve">Up to 86,510 </w:t>
            </w:r>
            <w:r>
              <w:rPr>
                <w:rFonts w:ascii="Times New Roman" w:cs="Times New Roman" w:eastAsia="Times New Roman" w:hAnsi="Times New Roman"/>
                <w:sz w:val="21"/>
                <w:szCs w:val="21"/>
                <w:color w:val="auto"/>
                <w:w w:val="97"/>
                <w:vertAlign w:val="superscript"/>
              </w:rPr>
              <w:t>(2)</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11, 2025</w:t>
            </w:r>
          </w:p>
        </w:tc>
        <w:tc>
          <w:tcPr>
            <w:tcW w:w="0" w:type="dxa"/>
            <w:vAlign w:val="bottom"/>
          </w:tcPr>
          <w:p>
            <w:pPr>
              <w:spacing w:after="0"/>
              <w:rPr>
                <w:sz w:val="1"/>
                <w:szCs w:val="1"/>
                <w:color w:val="auto"/>
              </w:rPr>
            </w:pPr>
          </w:p>
        </w:tc>
      </w:tr>
    </w:tbl>
    <w:p>
      <w:pPr>
        <w:ind w:left="340" w:hanging="314"/>
        <w:spacing w:after="0"/>
        <w:tabs>
          <w:tab w:leader="none" w:pos="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includes 100,000 shares to be sold under the Rule 10b5-1 trading plan by the Obstler Children 2019 Trust.</w:t>
      </w:r>
    </w:p>
    <w:p>
      <w:pPr>
        <w:spacing w:after="0" w:line="1" w:lineRule="exact"/>
        <w:rPr>
          <w:rFonts w:ascii="Times New Roman" w:cs="Times New Roman" w:eastAsia="Times New Roman" w:hAnsi="Times New Roman"/>
          <w:sz w:val="14"/>
          <w:szCs w:val="14"/>
          <w:color w:val="auto"/>
        </w:rPr>
      </w:pPr>
    </w:p>
    <w:p>
      <w:pPr>
        <w:jc w:val="both"/>
        <w:ind w:left="360" w:right="20" w:hanging="334"/>
        <w:spacing w:after="0" w:line="249" w:lineRule="auto"/>
        <w:tabs>
          <w:tab w:leader="none" w:pos="35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number of shares that will be sold under the Rule 10b5-1 trading plan will be reduced by the number of shares sold pursuant to the Company’s election under its equity incentive plans to require the satisfaction of tax withholding obligations realized upon the vesting of RSUs and PSUs to be funded by a sell-to-cover transaction. The number of Company shares to be sold to satisfy the Company’s tax withholding obligation is not known at this time as it is dependent on future events, including the future trading price of the Company’s shares.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(other than as set forth below) will be included in the proxy statement for our 2024 annual meeting of stockholders to be filed with the SEC within 120 days after the end of our fiscal year ended December 31, 2023, or the 2024 Proxy Statement, and is incorporated herein by reference.</w:t>
      </w:r>
    </w:p>
    <w:p>
      <w:pPr>
        <w:spacing w:after="0" w:line="176"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have adopted a Code of Conduct that applies to all our employees, officers and directors. The Code of Conduct is available on our website at www.investors.datadoghq.com.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Nasdaq. Our website is not incorporated by reference into this Annual Report on Form 10-K, and you should not consider information on our website to be part of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2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00" w:type="dxa"/>
            <w:vAlign w:val="bottom"/>
          </w:tcPr>
          <w:p>
            <w:pPr>
              <w:spacing w:after="0"/>
              <w:rPr>
                <w:sz w:val="20"/>
                <w:szCs w:val="20"/>
                <w:color w:val="auto"/>
              </w:rPr>
            </w:pPr>
          </w:p>
        </w:tc>
      </w:tr>
      <w:tr>
        <w:trPr>
          <w:trHeight w:val="432"/>
        </w:trPr>
        <w:tc>
          <w:tcPr>
            <w:tcW w:w="104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800" w:type="dxa"/>
            <w:vAlign w:val="bottom"/>
          </w:tcPr>
          <w:p>
            <w:pPr>
              <w:spacing w:after="0"/>
              <w:rPr>
                <w:sz w:val="24"/>
                <w:szCs w:val="24"/>
                <w:color w:val="auto"/>
              </w:rPr>
            </w:pPr>
          </w:p>
        </w:tc>
      </w:tr>
      <w:tr>
        <w:trPr>
          <w:trHeight w:val="432"/>
        </w:trPr>
        <w:tc>
          <w:tcPr>
            <w:tcW w:w="104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(a) Documents filed as part of this report</w:t>
            </w:r>
          </w:p>
        </w:tc>
        <w:tc>
          <w:tcPr>
            <w:tcW w:w="800" w:type="dxa"/>
            <w:vAlign w:val="bottom"/>
          </w:tcPr>
          <w:p>
            <w:pPr>
              <w:spacing w:after="0"/>
              <w:rPr>
                <w:sz w:val="24"/>
                <w:szCs w:val="24"/>
                <w:color w:val="auto"/>
              </w:rPr>
            </w:pPr>
          </w:p>
        </w:tc>
      </w:tr>
      <w:tr>
        <w:trPr>
          <w:trHeight w:val="432"/>
        </w:trPr>
        <w:tc>
          <w:tcPr>
            <w:tcW w:w="104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(1) All financial statements</w:t>
            </w:r>
          </w:p>
        </w:tc>
        <w:tc>
          <w:tcPr>
            <w:tcW w:w="80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103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83"/>
        </w:trPr>
        <w:tc>
          <w:tcPr>
            <w:tcW w:w="20" w:type="dxa"/>
            <w:vAlign w:val="bottom"/>
            <w:tcBorders>
              <w:top w:val="single" w:sz="8" w:color="auto"/>
            </w:tcBorders>
          </w:tcPr>
          <w:p>
            <w:pPr>
              <w:spacing w:after="0"/>
              <w:rPr>
                <w:sz w:val="15"/>
                <w:szCs w:val="15"/>
                <w:color w:val="auto"/>
              </w:rPr>
            </w:pPr>
          </w:p>
        </w:tc>
        <w:tc>
          <w:tcPr>
            <w:tcW w:w="10280" w:type="dxa"/>
            <w:vAlign w:val="bottom"/>
            <w:tcBorders>
              <w:top w:val="single" w:sz="8" w:color="auto"/>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57</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5720" w:type="dxa"/>
            <w:vAlign w:val="bottom"/>
            <w:gridSpan w:val="6"/>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209"/>
        </w:trPr>
        <w:tc>
          <w:tcPr>
            <w:tcW w:w="20" w:type="dxa"/>
            <w:vAlign w:val="bottom"/>
          </w:tcPr>
          <w:p>
            <w:pPr>
              <w:spacing w:after="0"/>
              <w:rPr>
                <w:sz w:val="18"/>
                <w:szCs w:val="18"/>
                <w:color w:val="auto"/>
              </w:rPr>
            </w:pPr>
          </w:p>
        </w:tc>
        <w:tc>
          <w:tcPr>
            <w:tcW w:w="6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2023, 2022 and 2021</w:t>
            </w:r>
          </w:p>
        </w:tc>
        <w:tc>
          <w:tcPr>
            <w:tcW w:w="3520" w:type="dxa"/>
            <w:vAlign w:val="bottom"/>
            <w:gridSpan w:val="5"/>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09"/>
        </w:trPr>
        <w:tc>
          <w:tcPr>
            <w:tcW w:w="20" w:type="dxa"/>
            <w:vAlign w:val="bottom"/>
          </w:tcPr>
          <w:p>
            <w:pPr>
              <w:spacing w:after="0"/>
              <w:rPr>
                <w:sz w:val="18"/>
                <w:szCs w:val="18"/>
                <w:color w:val="auto"/>
              </w:rPr>
            </w:pPr>
          </w:p>
        </w:tc>
        <w:tc>
          <w:tcPr>
            <w:tcW w:w="103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2023, 2022 and 2021</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r>
      <w:tr>
        <w:trPr>
          <w:trHeight w:val="210"/>
        </w:trPr>
        <w:tc>
          <w:tcPr>
            <w:tcW w:w="20" w:type="dxa"/>
            <w:vAlign w:val="bottom"/>
          </w:tcPr>
          <w:p>
            <w:pPr>
              <w:spacing w:after="0"/>
              <w:rPr>
                <w:sz w:val="18"/>
                <w:szCs w:val="18"/>
                <w:color w:val="auto"/>
              </w:rPr>
            </w:pPr>
          </w:p>
        </w:tc>
        <w:tc>
          <w:tcPr>
            <w:tcW w:w="82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(Deficit) for the years ended December 31, 2023, 2022 and 2021</w:t>
            </w:r>
          </w:p>
        </w:tc>
        <w:tc>
          <w:tcPr>
            <w:tcW w:w="20" w:type="dxa"/>
            <w:vAlign w:val="bottom"/>
            <w:tcBorders>
              <w:top w:val="single" w:sz="8" w:color="0000FF"/>
            </w:tcBorders>
          </w:tcPr>
          <w:p>
            <w:pPr>
              <w:spacing w:after="0"/>
              <w:rPr>
                <w:sz w:val="18"/>
                <w:szCs w:val="18"/>
                <w:color w:val="auto"/>
              </w:rPr>
            </w:pPr>
          </w:p>
        </w:tc>
        <w:tc>
          <w:tcPr>
            <w:tcW w:w="2100" w:type="dxa"/>
            <w:vAlign w:val="bottom"/>
            <w:gridSpan w:val="2"/>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210"/>
        </w:trPr>
        <w:tc>
          <w:tcPr>
            <w:tcW w:w="20" w:type="dxa"/>
            <w:vAlign w:val="bottom"/>
          </w:tcPr>
          <w:p>
            <w:pPr>
              <w:spacing w:after="0"/>
              <w:rPr>
                <w:sz w:val="18"/>
                <w:szCs w:val="18"/>
                <w:color w:val="auto"/>
              </w:rPr>
            </w:pPr>
          </w:p>
        </w:tc>
        <w:tc>
          <w:tcPr>
            <w:tcW w:w="6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2022 and 2021</w:t>
            </w:r>
          </w:p>
        </w:tc>
        <w:tc>
          <w:tcPr>
            <w:tcW w:w="3460" w:type="dxa"/>
            <w:vAlign w:val="bottom"/>
            <w:gridSpan w:val="4"/>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09"/>
        </w:trPr>
        <w:tc>
          <w:tcPr>
            <w:tcW w:w="20" w:type="dxa"/>
            <w:vAlign w:val="bottom"/>
          </w:tcPr>
          <w:p>
            <w:pPr>
              <w:spacing w:after="0"/>
              <w:rPr>
                <w:sz w:val="18"/>
                <w:szCs w:val="18"/>
                <w:color w:val="auto"/>
              </w:rPr>
            </w:pPr>
          </w:p>
        </w:tc>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220" w:type="dxa"/>
            <w:vAlign w:val="bottom"/>
            <w:gridSpan w:val="8"/>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229"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All financial schedules have been omitted because the required information is either presented in the consolidated financial statements filed as part of this Annual Report on Form 10-K or the notes thereto or is not applicable or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2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3820" w:type="dxa"/>
            <w:vAlign w:val="bottom"/>
            <w:gridSpan w:val="1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0" w:type="dxa"/>
            <w:vAlign w:val="bottom"/>
            <w:tcBorders>
              <w:top w:val="single" w:sz="8" w:color="auto"/>
            </w:tcBorders>
            <w:vMerge w:val="restart"/>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80" w:type="dxa"/>
            <w:vAlign w:val="bottom"/>
            <w:tcBorders>
              <w:top w:val="single" w:sz="8" w:color="auto"/>
            </w:tcBorders>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40" w:type="dxa"/>
            <w:vAlign w:val="bottom"/>
            <w:tcBorders>
              <w:top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20" w:type="dxa"/>
            <w:vAlign w:val="bottom"/>
            <w:tcBorders>
              <w:top w:val="single" w:sz="8" w:color="auto"/>
            </w:tcBorders>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Filed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820" w:type="dxa"/>
            <w:vAlign w:val="bottom"/>
            <w:gridSpan w:val="17"/>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88"/>
        </w:trPr>
        <w:tc>
          <w:tcPr>
            <w:tcW w:w="11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820" w:type="dxa"/>
            <w:vAlign w:val="bottom"/>
            <w:tcBorders>
              <w:top w:val="single" w:sz="8" w:color="auto"/>
            </w:tcBorders>
            <w:gridSpan w:val="17"/>
          </w:tcPr>
          <w:p>
            <w:pPr>
              <w:spacing w:after="0" w:line="188"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Amended and Restated Certificate of Incorporation</w:t>
              </w:r>
            </w:hyperlink>
          </w:p>
        </w:tc>
        <w:tc>
          <w:tcPr>
            <w:tcW w:w="1200" w:type="dxa"/>
            <w:vAlign w:val="bottom"/>
            <w:tcBorders>
              <w:top w:val="single" w:sz="8" w:color="auto"/>
            </w:tcBorders>
          </w:tcPr>
          <w:p>
            <w:pPr>
              <w:jc w:val="center"/>
              <w:ind w:left="3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001-39051</w:t>
            </w:r>
          </w:p>
        </w:tc>
        <w:tc>
          <w:tcPr>
            <w:tcW w:w="9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3.1</w:t>
            </w:r>
          </w:p>
        </w:tc>
        <w:tc>
          <w:tcPr>
            <w:tcW w:w="1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September 23,</w:t>
            </w: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of Datadog, Inc.</w:t>
              </w:r>
            </w:hyperlink>
          </w:p>
        </w:tc>
        <w:tc>
          <w:tcPr>
            <w:tcW w:w="25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2019</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Amended and Restated Bylaws of Datadog, Inc.</w:t>
              </w:r>
            </w:hyperlink>
          </w:p>
        </w:tc>
        <w:tc>
          <w:tcPr>
            <w:tcW w:w="340" w:type="dxa"/>
            <w:vAlign w:val="bottom"/>
            <w:gridSpan w:val="8"/>
          </w:tcPr>
          <w:p>
            <w:pPr>
              <w:spacing w:after="0"/>
              <w:rPr>
                <w:sz w:val="24"/>
                <w:szCs w:val="24"/>
                <w:color w:val="auto"/>
              </w:rPr>
            </w:pPr>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333-233428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23, 2019</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20" w:type="dxa"/>
            <w:vAlign w:val="bottom"/>
            <w:gridSpan w:val="17"/>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Class A Common Stock Certificate.</w:t>
              </w:r>
            </w:hyperlink>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S-1/A</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333-233428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9,</w:t>
            </w: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9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17"/>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Description of Securities.</w:t>
              </w:r>
            </w:hyperlink>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7"/>
              </w:rPr>
              <w:t>10-K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17"/>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Indenture, dated June 2, 2020, between Datadog,</w:t>
              </w:r>
            </w:hyperlink>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 2020</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Inc. and U.S. Bank National Association, as Trustee.</w:t>
              </w:r>
            </w:hyperlink>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7"/>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Global Note representing Datadog, Inc.’s</w:t>
              </w:r>
            </w:hyperlink>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 2020</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0.</w:t>
              </w:r>
              <w:r>
                <w:rPr>
                  <w:rFonts w:ascii="Times New Roman" w:cs="Times New Roman" w:eastAsia="Times New Roman" w:hAnsi="Times New Roman"/>
                  <w:sz w:val="18"/>
                  <w:szCs w:val="18"/>
                  <w:u w:val="single" w:color="auto"/>
                  <w:color w:val="0000FF"/>
                </w:rPr>
                <w:t>125%</w:t>
              </w:r>
              <w:r>
                <w:rPr>
                  <w:rFonts w:ascii="Times New Roman" w:cs="Times New Roman" w:eastAsia="Times New Roman" w:hAnsi="Times New Roman"/>
                  <w:sz w:val="18"/>
                  <w:szCs w:val="18"/>
                  <w:color w:val="0000FF"/>
                </w:rPr>
                <w:t xml:space="preserve"> Convertible Senior Notes due 2025</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7"/>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Fourth Amended and Restated Investor Rights</w:t>
              </w:r>
            </w:hyperlink>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333-233428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23, 2019</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Agreement, dated December 28, 2015.</w:t>
              </w:r>
            </w:hyperlink>
          </w:p>
        </w:tc>
        <w:tc>
          <w:tcPr>
            <w:tcW w:w="560" w:type="dxa"/>
            <w:vAlign w:val="bottom"/>
            <w:tcBorders>
              <w:top w:val="single" w:sz="8" w:color="0000FF"/>
            </w:tcBorders>
            <w:gridSpan w:val="3"/>
          </w:tcPr>
          <w:p>
            <w:pPr>
              <w:spacing w:after="0"/>
              <w:rPr>
                <w:sz w:val="13"/>
                <w:szCs w:val="13"/>
                <w:color w:val="auto"/>
              </w:rPr>
            </w:pPr>
          </w:p>
        </w:tc>
        <w:tc>
          <w:tcPr>
            <w:tcW w:w="3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7"/>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Datadog, Inc. 2012 Equity Incentive Plan, and terms</w:t>
              </w:r>
            </w:hyperlink>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333-233428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23, 2019</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of agreements thereunder.</w:t>
              </w:r>
            </w:hyperlink>
          </w:p>
        </w:tc>
        <w:tc>
          <w:tcPr>
            <w:tcW w:w="190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7"/>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Datadog, Inc. 2019 Equity Incentive Plan and terms</w:t>
              </w:r>
            </w:hyperlink>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S-1/A</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333-233428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9,</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of agreements thereunder.</w:t>
              </w:r>
            </w:hyperlink>
          </w:p>
        </w:tc>
        <w:tc>
          <w:tcPr>
            <w:tcW w:w="1860" w:type="dxa"/>
            <w:vAlign w:val="bottom"/>
            <w:tcBorders>
              <w:top w:val="single" w:sz="8" w:color="0000FF"/>
            </w:tcBorders>
            <w:gridSpan w:val="10"/>
          </w:tcPr>
          <w:p>
            <w:pPr>
              <w:spacing w:after="0"/>
              <w:rPr>
                <w:sz w:val="13"/>
                <w:szCs w:val="13"/>
                <w:color w:val="auto"/>
              </w:rPr>
            </w:pPr>
          </w:p>
        </w:tc>
        <w:tc>
          <w:tcPr>
            <w:tcW w:w="8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2019</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7"/>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Datadog, Inc. 2019 Employee Stock Purchase Plan.</w:t>
              </w:r>
            </w:hyperlink>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S-1/A</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333-233428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9,</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9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17"/>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Performance Stock Units (PSU) Grant Notice and</w:t>
              </w:r>
            </w:hyperlink>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7"/>
              </w:rPr>
              <w:t>10-Q</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8, 2022</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Award Agreement</w:t>
              </w:r>
            </w:hyperlink>
          </w:p>
        </w:tc>
        <w:tc>
          <w:tcPr>
            <w:tcW w:w="220" w:type="dxa"/>
            <w:vAlign w:val="bottom"/>
            <w:gridSpan w:val="6"/>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2"/>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92</w:t>
            </w: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4" w:name="page95"/>
    <w:bookmarkEnd w:id="94"/>
    <w:tbl>
      <w:tblPr>
        <w:tblLayout w:type="fixed"/>
        <w:tblInd w:w="60" w:type="dxa"/>
        <w:tblCellMar>
          <w:top w:w="0" w:type="dxa"/>
          <w:left w:w="0" w:type="dxa"/>
          <w:bottom w:w="0" w:type="dxa"/>
          <w:right w:w="0" w:type="dxa"/>
        </w:tblCellMar>
      </w:tblPr>
      <w:tr>
        <w:trPr>
          <w:trHeight w:val="207"/>
        </w:trPr>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3"/>
              </w:rPr>
              <w:t>10.6#</w:t>
            </w:r>
          </w:p>
        </w:tc>
        <w:tc>
          <w:tcPr>
            <w:tcW w:w="3960" w:type="dxa"/>
            <w:vAlign w:val="bottom"/>
            <w:gridSpan w:val="4"/>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Indemnity Agreement entered into by and</w:t>
              </w:r>
            </w:hyperlink>
          </w:p>
        </w:tc>
        <w:tc>
          <w:tcPr>
            <w:tcW w:w="1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S-1/A</w:t>
            </w: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333-233428</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10.5</w:t>
            </w:r>
          </w:p>
        </w:tc>
        <w:tc>
          <w:tcPr>
            <w:tcW w:w="12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September 9,</w:t>
            </w:r>
          </w:p>
        </w:tc>
      </w:tr>
      <w:tr>
        <w:trPr>
          <w:trHeight w:val="155"/>
        </w:trPr>
        <w:tc>
          <w:tcPr>
            <w:tcW w:w="860" w:type="dxa"/>
            <w:vAlign w:val="bottom"/>
          </w:tcPr>
          <w:p>
            <w:pPr>
              <w:spacing w:after="0"/>
              <w:rPr>
                <w:sz w:val="13"/>
                <w:szCs w:val="13"/>
                <w:color w:val="auto"/>
              </w:rPr>
            </w:pPr>
          </w:p>
        </w:tc>
        <w:tc>
          <w:tcPr>
            <w:tcW w:w="364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between Datadog, Inc. and each director and</w:t>
              </w:r>
            </w:hyperlink>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jc w:val="right"/>
              <w:ind w:right="210"/>
              <w:spacing w:after="0" w:line="156" w:lineRule="exact"/>
              <w:rPr>
                <w:sz w:val="20"/>
                <w:szCs w:val="20"/>
                <w:color w:val="auto"/>
              </w:rPr>
            </w:pPr>
            <w:r>
              <w:rPr>
                <w:rFonts w:ascii="Times New Roman" w:cs="Times New Roman" w:eastAsia="Times New Roman" w:hAnsi="Times New Roman"/>
                <w:sz w:val="18"/>
                <w:szCs w:val="18"/>
                <w:color w:val="auto"/>
              </w:rPr>
              <w:t>2019</w:t>
            </w:r>
          </w:p>
        </w:tc>
      </w:tr>
      <w:tr>
        <w:trPr>
          <w:trHeight w:val="156"/>
        </w:trPr>
        <w:tc>
          <w:tcPr>
            <w:tcW w:w="860" w:type="dxa"/>
            <w:vAlign w:val="bottom"/>
          </w:tcPr>
          <w:p>
            <w:pPr>
              <w:spacing w:after="0"/>
              <w:rPr>
                <w:sz w:val="13"/>
                <w:szCs w:val="13"/>
                <w:color w:val="auto"/>
              </w:rPr>
            </w:pPr>
          </w:p>
        </w:tc>
        <w:tc>
          <w:tcPr>
            <w:tcW w:w="12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26">
              <w:r>
                <w:rPr>
                  <w:rFonts w:ascii="Times New Roman" w:cs="Times New Roman" w:eastAsia="Times New Roman" w:hAnsi="Times New Roman"/>
                  <w:sz w:val="18"/>
                  <w:szCs w:val="18"/>
                  <w:color w:val="0000FF"/>
                  <w:w w:val="98"/>
                </w:rPr>
                <w:t>executive officer.</w:t>
              </w:r>
            </w:hyperlink>
          </w:p>
        </w:tc>
        <w:tc>
          <w:tcPr>
            <w:tcW w:w="1960" w:type="dxa"/>
            <w:vAlign w:val="bottom"/>
            <w:tcBorders>
              <w:top w:val="single" w:sz="8" w:color="0000FF"/>
            </w:tcBorders>
          </w:tcPr>
          <w:p>
            <w:pPr>
              <w:spacing w:after="0"/>
              <w:rPr>
                <w:sz w:val="13"/>
                <w:szCs w:val="13"/>
                <w:color w:val="auto"/>
              </w:rPr>
            </w:pPr>
          </w:p>
        </w:tc>
        <w:tc>
          <w:tcPr>
            <w:tcW w:w="74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r>
    </w:tbl>
    <w:p>
      <w:pPr>
        <w:spacing w:after="0" w:line="63" w:lineRule="exact"/>
        <w:rPr>
          <w:sz w:val="20"/>
          <w:szCs w:val="20"/>
          <w:color w:val="auto"/>
        </w:rPr>
      </w:pPr>
    </w:p>
    <w:p>
      <w:pPr>
        <w:sectPr>
          <w:pgSz w:w="11900" w:h="16838" w:orient="portrait"/>
          <w:cols w:equalWidth="0" w:num="1">
            <w:col w:w="10420"/>
          </w:cols>
          <w:pgMar w:left="620" w:top="1013" w:right="859" w:bottom="1440" w:gutter="0" w:footer="0" w:header="0"/>
        </w:sectPr>
      </w:pPr>
    </w:p>
    <w:p>
      <w:pPr>
        <w:spacing w:after="0" w:line="27" w:lineRule="exact"/>
        <w:rPr>
          <w:sz w:val="20"/>
          <w:szCs w:val="20"/>
          <w:color w:val="auto"/>
        </w:rPr>
      </w:pPr>
    </w:p>
    <w:p>
      <w:pPr>
        <w:jc w:val="center"/>
        <w:ind w:right="22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     </w:t>
      </w:r>
      <w:hyperlink r:id="rId127">
        <w:r>
          <w:rPr>
            <w:rFonts w:ascii="Times New Roman" w:cs="Times New Roman" w:eastAsia="Times New Roman" w:hAnsi="Times New Roman"/>
            <w:sz w:val="18"/>
            <w:szCs w:val="18"/>
            <w:u w:val="single" w:color="auto"/>
            <w:color w:val="0000FF"/>
          </w:rPr>
          <w:t>Offer Letter, by and between Datadog, Inc. and</w:t>
        </w:r>
      </w:hyperlink>
      <w:r>
        <w:rPr>
          <w:rFonts w:ascii="Times New Roman" w:cs="Times New Roman" w:eastAsia="Times New Roman" w:hAnsi="Times New Roman"/>
          <w:sz w:val="18"/>
          <w:szCs w:val="18"/>
          <w:color w:val="auto"/>
        </w:rPr>
        <w:t xml:space="preserve"> </w:t>
      </w:r>
      <w:hyperlink r:id="rId127">
        <w:r>
          <w:rPr>
            <w:rFonts w:ascii="Times New Roman" w:cs="Times New Roman" w:eastAsia="Times New Roman" w:hAnsi="Times New Roman"/>
            <w:sz w:val="18"/>
            <w:szCs w:val="18"/>
            <w:u w:val="single" w:color="auto"/>
            <w:color w:val="0000FF"/>
          </w:rPr>
          <w:t>Olivier Pomel, dated May 20, 2011.</w:t>
        </w:r>
      </w:hyperlink>
    </w:p>
    <w:p>
      <w:pPr>
        <w:spacing w:after="0" w:line="64" w:lineRule="exact"/>
        <w:rPr>
          <w:sz w:val="20"/>
          <w:szCs w:val="20"/>
          <w:color w:val="auto"/>
        </w:rPr>
      </w:pPr>
    </w:p>
    <w:p>
      <w:pPr>
        <w:ind w:left="920" w:right="280" w:hanging="874"/>
        <w:spacing w:after="0" w:line="237"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28">
        <w:r>
          <w:rPr>
            <w:rFonts w:ascii="Times New Roman" w:cs="Times New Roman" w:eastAsia="Times New Roman" w:hAnsi="Times New Roman"/>
            <w:sz w:val="18"/>
            <w:szCs w:val="18"/>
            <w:u w:val="single" w:color="auto"/>
            <w:color w:val="0000FF"/>
          </w:rPr>
          <w:t>Offer Letter, by and between Datadog, Inc. and</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David Obstler, dated August 28, 2018.</w:t>
        </w:r>
      </w:hyperlink>
    </w:p>
    <w:p>
      <w:pPr>
        <w:spacing w:after="0" w:line="64" w:lineRule="exact"/>
        <w:rPr>
          <w:sz w:val="20"/>
          <w:szCs w:val="20"/>
          <w:color w:val="auto"/>
        </w:rPr>
      </w:pPr>
    </w:p>
    <w:p>
      <w:pPr>
        <w:ind w:left="920" w:right="280" w:hanging="874"/>
        <w:spacing w:after="0" w:line="237"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29">
        <w:r>
          <w:rPr>
            <w:rFonts w:ascii="Times New Roman" w:cs="Times New Roman" w:eastAsia="Times New Roman" w:hAnsi="Times New Roman"/>
            <w:sz w:val="18"/>
            <w:szCs w:val="18"/>
            <w:u w:val="single" w:color="auto"/>
            <w:color w:val="0000FF"/>
          </w:rPr>
          <w:t>Offer Letter, by and between Datadog, Inc. and</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Alexis Lê-Quôc, dated May 20, 2011.</w:t>
        </w:r>
      </w:hyperlink>
    </w:p>
    <w:p>
      <w:pPr>
        <w:spacing w:after="0" w:line="52"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30">
        <w:r>
          <w:rPr>
            <w:rFonts w:ascii="Times New Roman" w:cs="Times New Roman" w:eastAsia="Times New Roman" w:hAnsi="Times New Roman"/>
            <w:sz w:val="17"/>
            <w:szCs w:val="17"/>
            <w:u w:val="single" w:color="auto"/>
            <w:color w:val="0000FF"/>
          </w:rPr>
          <w:t>Offer Letter, by and between Datadog, Inc. and</w:t>
        </w:r>
      </w:hyperlink>
    </w:p>
    <w:p>
      <w:pPr>
        <w:jc w:val="center"/>
        <w:ind w:right="240"/>
        <w:spacing w:after="0"/>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Amit Agarwal, dated May 4, 2012.</w:t>
        </w:r>
      </w:hyperlink>
    </w:p>
    <w:p>
      <w:pPr>
        <w:spacing w:after="0" w:line="70" w:lineRule="exact"/>
        <w:rPr>
          <w:sz w:val="20"/>
          <w:szCs w:val="20"/>
          <w:color w:val="auto"/>
        </w:rPr>
      </w:pPr>
    </w:p>
    <w:p>
      <w:pPr>
        <w:ind w:left="920" w:right="280" w:hanging="916"/>
        <w:spacing w:after="0" w:line="237"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31">
        <w:r>
          <w:rPr>
            <w:rFonts w:ascii="Times New Roman" w:cs="Times New Roman" w:eastAsia="Times New Roman" w:hAnsi="Times New Roman"/>
            <w:sz w:val="18"/>
            <w:szCs w:val="18"/>
            <w:u w:val="single" w:color="auto"/>
            <w:color w:val="0000FF"/>
          </w:rPr>
          <w:t>Offer Letter, by and between Datadog, Inc. and</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Adam Blitzer, dated April 23, 2021.</w:t>
        </w:r>
      </w:hyperlink>
    </w:p>
    <w:p>
      <w:pPr>
        <w:spacing w:after="0" w:line="64" w:lineRule="exact"/>
        <w:rPr>
          <w:sz w:val="20"/>
          <w:szCs w:val="20"/>
          <w:color w:val="auto"/>
        </w:rPr>
      </w:pPr>
    </w:p>
    <w:p>
      <w:pPr>
        <w:ind w:left="920" w:right="160" w:hanging="919"/>
        <w:spacing w:after="0" w:line="263" w:lineRule="auto"/>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32">
        <w:r>
          <w:rPr>
            <w:rFonts w:ascii="Times New Roman" w:cs="Times New Roman" w:eastAsia="Times New Roman" w:hAnsi="Times New Roman"/>
            <w:sz w:val="17"/>
            <w:szCs w:val="17"/>
            <w:u w:val="single" w:color="auto"/>
            <w:color w:val="0000FF"/>
          </w:rPr>
          <w:t>Amended Offer Letter, by and between Datadog,</w:t>
        </w:r>
      </w:hyperlink>
      <w:r>
        <w:rPr>
          <w:rFonts w:ascii="Times New Roman" w:cs="Times New Roman" w:eastAsia="Times New Roman" w:hAnsi="Times New Roman"/>
          <w:sz w:val="17"/>
          <w:szCs w:val="17"/>
          <w:u w:val="single" w:color="auto"/>
          <w:color w:val="0000FF"/>
        </w:rPr>
        <w:t xml:space="preserve"> </w:t>
      </w:r>
      <w:hyperlink r:id="rId132">
        <w:r>
          <w:rPr>
            <w:rFonts w:ascii="Times New Roman" w:cs="Times New Roman" w:eastAsia="Times New Roman" w:hAnsi="Times New Roman"/>
            <w:sz w:val="17"/>
            <w:szCs w:val="17"/>
            <w:u w:val="single" w:color="auto"/>
            <w:color w:val="0000FF"/>
          </w:rPr>
          <w:t>Inc. and Sean Walters, dated January 5, 2022</w:t>
        </w:r>
      </w:hyperlink>
    </w:p>
    <w:p>
      <w:pPr>
        <w:spacing w:after="0" w:line="44" w:lineRule="exact"/>
        <w:rPr>
          <w:sz w:val="20"/>
          <w:szCs w:val="20"/>
          <w:color w:val="auto"/>
        </w:rPr>
      </w:pPr>
    </w:p>
    <w:p>
      <w:pPr>
        <w:ind w:left="920" w:hanging="874"/>
        <w:spacing w:after="0" w:line="237"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33">
        <w:r>
          <w:rPr>
            <w:rFonts w:ascii="Times New Roman" w:cs="Times New Roman" w:eastAsia="Times New Roman" w:hAnsi="Times New Roman"/>
            <w:sz w:val="18"/>
            <w:szCs w:val="18"/>
            <w:u w:val="single" w:color="auto"/>
            <w:color w:val="0000FF"/>
          </w:rPr>
          <w:t>Agreement of Sub-Sub-Sublease, by and between</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Datadog, Inc. and Ideeli Inc., dated April 14, 2016.</w:t>
        </w:r>
      </w:hyperlink>
    </w:p>
    <w:p>
      <w:pPr>
        <w:spacing w:after="0" w:line="64" w:lineRule="exact"/>
        <w:rPr>
          <w:sz w:val="20"/>
          <w:szCs w:val="20"/>
          <w:color w:val="auto"/>
        </w:rPr>
      </w:pPr>
    </w:p>
    <w:p>
      <w:pPr>
        <w:ind w:left="920" w:right="440" w:hanging="874"/>
        <w:spacing w:after="0" w:line="226"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34">
        <w:r>
          <w:rPr>
            <w:rFonts w:ascii="Times New Roman" w:cs="Times New Roman" w:eastAsia="Times New Roman" w:hAnsi="Times New Roman"/>
            <w:sz w:val="18"/>
            <w:szCs w:val="18"/>
            <w:u w:val="single" w:color="auto"/>
            <w:color w:val="0000FF"/>
          </w:rPr>
          <w:t>Agreement of Sub-Sublease, by and between</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Datadog, Inc. and BT Americas Inc., dated</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September 18, 2017.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07"/>
        </w:trPr>
        <w:tc>
          <w:tcPr>
            <w:tcW w:w="7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S-1/A</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333-233428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September 9,</w:t>
            </w:r>
          </w:p>
        </w:tc>
      </w:tr>
      <w:tr>
        <w:trPr>
          <w:trHeight w:val="234"/>
        </w:trPr>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38"/>
        </w:trPr>
        <w:tc>
          <w:tcPr>
            <w:tcW w:w="7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S-1/A</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333-233428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September 9,</w:t>
            </w:r>
          </w:p>
        </w:tc>
      </w:tr>
      <w:tr>
        <w:trPr>
          <w:trHeight w:val="234"/>
        </w:trPr>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92"/>
        </w:trPr>
        <w:tc>
          <w:tcPr>
            <w:tcW w:w="7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10-Q</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May 7, 2021</w:t>
            </w:r>
          </w:p>
        </w:tc>
      </w:tr>
      <w:tr>
        <w:trPr>
          <w:trHeight w:val="473"/>
        </w:trPr>
        <w:tc>
          <w:tcPr>
            <w:tcW w:w="7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10-Q</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May 7, 2021</w:t>
            </w:r>
          </w:p>
        </w:tc>
      </w:tr>
      <w:tr>
        <w:trPr>
          <w:trHeight w:val="473"/>
        </w:trPr>
        <w:tc>
          <w:tcPr>
            <w:tcW w:w="7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10-Q</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May 6, 2022</w:t>
            </w:r>
          </w:p>
        </w:tc>
      </w:tr>
      <w:tr>
        <w:trPr>
          <w:trHeight w:val="418"/>
        </w:trPr>
        <w:tc>
          <w:tcPr>
            <w:tcW w:w="7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February 24,</w:t>
            </w:r>
          </w:p>
        </w:tc>
      </w:tr>
      <w:tr>
        <w:trPr>
          <w:trHeight w:val="234"/>
        </w:trPr>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92"/>
        </w:trPr>
        <w:tc>
          <w:tcPr>
            <w:tcW w:w="7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333-233428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August 23, 2019</w:t>
            </w:r>
          </w:p>
        </w:tc>
      </w:tr>
      <w:tr>
        <w:trPr>
          <w:trHeight w:val="473"/>
        </w:trPr>
        <w:tc>
          <w:tcPr>
            <w:tcW w:w="7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333-233428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August 23, 2019</w:t>
            </w:r>
          </w:p>
        </w:tc>
      </w:tr>
    </w:tbl>
    <w:p>
      <w:pPr>
        <w:spacing w:after="0" w:line="4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4600" w:space="580"/>
            <w:col w:w="5240"/>
          </w:cols>
          <w:pgMar w:left="620" w:top="1013" w:right="8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10.15#</w:t>
            </w:r>
          </w:p>
        </w:tc>
        <w:tc>
          <w:tcPr>
            <w:tcW w:w="4040" w:type="dxa"/>
            <w:vAlign w:val="bottom"/>
            <w:gridSpan w:val="1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Amended and Restated Non-Employee Director</w:t>
              </w:r>
            </w:hyperlink>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0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August 9, 2023</w:t>
            </w:r>
          </w:p>
        </w:tc>
      </w:tr>
      <w:tr>
        <w:trPr>
          <w:trHeight w:val="156"/>
        </w:trPr>
        <w:tc>
          <w:tcPr>
            <w:tcW w:w="920" w:type="dxa"/>
            <w:vAlign w:val="bottom"/>
          </w:tcPr>
          <w:p>
            <w:pPr>
              <w:spacing w:after="0"/>
              <w:rPr>
                <w:sz w:val="13"/>
                <w:szCs w:val="13"/>
                <w:color w:val="auto"/>
              </w:rPr>
            </w:pPr>
          </w:p>
        </w:tc>
        <w:tc>
          <w:tcPr>
            <w:tcW w:w="34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Compensation Policy.</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9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10.16#</w:t>
            </w:r>
          </w:p>
        </w:tc>
        <w:tc>
          <w:tcPr>
            <w:tcW w:w="4040" w:type="dxa"/>
            <w:vAlign w:val="bottom"/>
            <w:gridSpan w:val="19"/>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Change of Control and Severance</w:t>
              </w:r>
            </w:hyperlink>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S-1/A</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333-233428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20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September 9,</w:t>
            </w:r>
          </w:p>
        </w:tc>
      </w:tr>
      <w:tr>
        <w:trPr>
          <w:trHeight w:val="156"/>
        </w:trPr>
        <w:tc>
          <w:tcPr>
            <w:tcW w:w="9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Agreement.</w:t>
              </w:r>
            </w:hyperlink>
          </w:p>
        </w:tc>
        <w:tc>
          <w:tcPr>
            <w:tcW w:w="2200" w:type="dxa"/>
            <w:vAlign w:val="bottom"/>
            <w:tcBorders>
              <w:top w:val="single" w:sz="8" w:color="0000FF"/>
            </w:tcBorders>
            <w:gridSpan w:val="5"/>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jc w:val="center"/>
              <w:ind w:right="410"/>
              <w:spacing w:after="0" w:line="156" w:lineRule="exact"/>
              <w:rPr>
                <w:sz w:val="20"/>
                <w:szCs w:val="20"/>
                <w:color w:val="auto"/>
              </w:rPr>
            </w:pPr>
            <w:r>
              <w:rPr>
                <w:rFonts w:ascii="Times New Roman" w:cs="Times New Roman" w:eastAsia="Times New Roman" w:hAnsi="Times New Roman"/>
                <w:sz w:val="18"/>
                <w:szCs w:val="18"/>
                <w:color w:val="auto"/>
                <w:w w:val="99"/>
              </w:rPr>
              <w:t>2019</w:t>
            </w:r>
          </w:p>
        </w:tc>
      </w:tr>
      <w:tr>
        <w:trPr>
          <w:trHeight w:val="277"/>
        </w:trPr>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10.17</w:t>
            </w:r>
          </w:p>
        </w:tc>
        <w:tc>
          <w:tcPr>
            <w:tcW w:w="37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Form of Confirmation for Capped Call Transaction.</w:t>
              </w:r>
            </w:hyperlink>
          </w:p>
        </w:tc>
        <w:tc>
          <w:tcPr>
            <w:tcW w:w="300" w:type="dxa"/>
            <w:vAlign w:val="bottom"/>
            <w:gridSpan w:val="3"/>
          </w:tcPr>
          <w:p>
            <w:pPr>
              <w:spacing w:after="0"/>
              <w:rPr>
                <w:sz w:val="24"/>
                <w:szCs w:val="24"/>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0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June 2, 2020</w:t>
            </w:r>
          </w:p>
        </w:tc>
      </w:tr>
      <w:tr>
        <w:trPr>
          <w:trHeight w:val="264"/>
        </w:trPr>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10.18</w:t>
            </w:r>
          </w:p>
        </w:tc>
        <w:tc>
          <w:tcPr>
            <w:tcW w:w="4040" w:type="dxa"/>
            <w:vAlign w:val="bottom"/>
            <w:gridSpan w:val="19"/>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Agreement of Sublease, by and between Datadog,</w:t>
              </w:r>
            </w:hyperlink>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10-K</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20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March 1, 2021</w:t>
            </w:r>
          </w:p>
        </w:tc>
      </w:tr>
      <w:tr>
        <w:trPr>
          <w:trHeight w:val="155"/>
        </w:trPr>
        <w:tc>
          <w:tcPr>
            <w:tcW w:w="92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Inc. and Clearbridge Investments, LLC, dated July</w:t>
              </w:r>
            </w:hyperlink>
          </w:p>
        </w:tc>
        <w:tc>
          <w:tcPr>
            <w:tcW w:w="4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54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6"/>
              </w:rPr>
            </w:pPr>
            <w:hyperlink r:id="rId138">
              <w:r>
                <w:rPr>
                  <w:rFonts w:ascii="Times New Roman" w:cs="Times New Roman" w:eastAsia="Times New Roman" w:hAnsi="Times New Roman"/>
                  <w:sz w:val="18"/>
                  <w:szCs w:val="18"/>
                  <w:color w:val="0000FF"/>
                  <w:w w:val="96"/>
                </w:rPr>
                <w:t>9, 2020</w:t>
              </w:r>
            </w:hyperlink>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77"/>
        </w:trPr>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10.19</w:t>
            </w:r>
          </w:p>
        </w:tc>
        <w:tc>
          <w:tcPr>
            <w:tcW w:w="4040" w:type="dxa"/>
            <w:vAlign w:val="bottom"/>
            <w:gridSpan w:val="19"/>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Lease, by and between Datadog, Inc. and FC Eighth</w:t>
              </w:r>
            </w:hyperlink>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0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August 8, 2022</w:t>
            </w:r>
          </w:p>
        </w:tc>
      </w:tr>
      <w:tr>
        <w:trPr>
          <w:trHeight w:val="155"/>
        </w:trPr>
        <w:tc>
          <w:tcPr>
            <w:tcW w:w="920" w:type="dxa"/>
            <w:vAlign w:val="bottom"/>
          </w:tcPr>
          <w:p>
            <w:pPr>
              <w:spacing w:after="0"/>
              <w:rPr>
                <w:sz w:val="13"/>
                <w:szCs w:val="13"/>
                <w:color w:val="auto"/>
              </w:rPr>
            </w:pPr>
          </w:p>
        </w:tc>
        <w:tc>
          <w:tcPr>
            <w:tcW w:w="37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Ave., LLC, dated July 28,2022.</w:t>
              </w:r>
            </w:hyperlink>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21.1</w:t>
            </w:r>
          </w:p>
        </w:tc>
        <w:tc>
          <w:tcPr>
            <w:tcW w:w="4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List of Subsidiaries of Datadog, Inc.</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63"/>
        </w:trPr>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23.1</w:t>
            </w:r>
          </w:p>
        </w:tc>
        <w:tc>
          <w:tcPr>
            <w:tcW w:w="4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Consent of Deloitte &amp; Touche LLP, independent</w:t>
            </w:r>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76"/>
              </w:rPr>
              <w:t>X</w:t>
            </w:r>
          </w:p>
        </w:tc>
      </w:tr>
      <w:tr>
        <w:trPr>
          <w:trHeight w:val="155"/>
        </w:trPr>
        <w:tc>
          <w:tcPr>
            <w:tcW w:w="920" w:type="dxa"/>
            <w:vAlign w:val="bottom"/>
          </w:tcPr>
          <w:p>
            <w:pPr>
              <w:spacing w:after="0"/>
              <w:rPr>
                <w:sz w:val="13"/>
                <w:szCs w:val="13"/>
                <w:color w:val="auto"/>
              </w:rPr>
            </w:pPr>
          </w:p>
        </w:tc>
        <w:tc>
          <w:tcPr>
            <w:tcW w:w="348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registered public accounting firm.</w:t>
            </w:r>
          </w:p>
        </w:tc>
        <w:tc>
          <w:tcPr>
            <w:tcW w:w="2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24.1</w:t>
            </w:r>
          </w:p>
        </w:tc>
        <w:tc>
          <w:tcPr>
            <w:tcW w:w="4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Power of Attorney (incorporated by reference to the</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76"/>
              </w:rPr>
              <w:t>X</w:t>
            </w:r>
          </w:p>
        </w:tc>
      </w:tr>
      <w:tr>
        <w:trPr>
          <w:trHeight w:val="155"/>
        </w:trPr>
        <w:tc>
          <w:tcPr>
            <w:tcW w:w="920" w:type="dxa"/>
            <w:vAlign w:val="bottom"/>
          </w:tcPr>
          <w:p>
            <w:pPr>
              <w:spacing w:after="0"/>
              <w:rPr>
                <w:sz w:val="13"/>
                <w:szCs w:val="13"/>
                <w:color w:val="auto"/>
              </w:rPr>
            </w:pPr>
          </w:p>
        </w:tc>
        <w:tc>
          <w:tcPr>
            <w:tcW w:w="374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signature pages of this Annual Report on Form 10-</w:t>
            </w:r>
          </w:p>
        </w:tc>
        <w:tc>
          <w:tcPr>
            <w:tcW w:w="6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368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K).</w:t>
            </w:r>
          </w:p>
        </w:tc>
        <w:tc>
          <w:tcPr>
            <w:tcW w:w="120" w:type="dxa"/>
            <w:vAlign w:val="bottom"/>
            <w:gridSpan w:val="3"/>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0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31.1</w:t>
            </w:r>
          </w:p>
        </w:tc>
        <w:tc>
          <w:tcPr>
            <w:tcW w:w="4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76"/>
              </w:rPr>
              <w:t>X</w:t>
            </w:r>
          </w:p>
        </w:tc>
      </w:tr>
      <w:tr>
        <w:trPr>
          <w:trHeight w:val="155"/>
        </w:trPr>
        <w:tc>
          <w:tcPr>
            <w:tcW w:w="920" w:type="dxa"/>
            <w:vAlign w:val="bottom"/>
          </w:tcPr>
          <w:p>
            <w:pPr>
              <w:spacing w:after="0"/>
              <w:rPr>
                <w:sz w:val="13"/>
                <w:szCs w:val="13"/>
                <w:color w:val="auto"/>
              </w:rPr>
            </w:pPr>
          </w:p>
        </w:tc>
        <w:tc>
          <w:tcPr>
            <w:tcW w:w="314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00" w:type="dxa"/>
            <w:vAlign w:val="bottom"/>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under the</w:t>
            </w: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380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 as Adopted</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ind w:left="920"/>
        <w:spacing w:after="0" w:line="205" w:lineRule="auto"/>
        <w:rPr>
          <w:sz w:val="20"/>
          <w:szCs w:val="20"/>
          <w:color w:val="auto"/>
        </w:rPr>
      </w:pPr>
      <w:r>
        <w:rPr>
          <w:rFonts w:ascii="Times New Roman" w:cs="Times New Roman" w:eastAsia="Times New Roman" w:hAnsi="Times New Roman"/>
          <w:sz w:val="18"/>
          <w:szCs w:val="18"/>
          <w:u w:val="single" w:color="auto"/>
          <w:color w:val="0000FF"/>
        </w:rPr>
        <w:t>Pursuant to Section 302 of the Sarbanes-Oxley Act</w:t>
      </w:r>
    </w:p>
    <w:p>
      <w:pPr>
        <w:ind w:left="920"/>
        <w:spacing w:after="0"/>
        <w:rPr>
          <w:sz w:val="20"/>
          <w:szCs w:val="20"/>
          <w:color w:val="auto"/>
        </w:rPr>
      </w:pPr>
      <w:r>
        <w:rPr>
          <w:rFonts w:ascii="Times New Roman" w:cs="Times New Roman" w:eastAsia="Times New Roman" w:hAnsi="Times New Roman"/>
          <w:sz w:val="18"/>
          <w:szCs w:val="18"/>
          <w:u w:val="single" w:color="auto"/>
          <w:color w:val="0000FF"/>
        </w:rPr>
        <w:t>of 2002.</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620" w:top="1013" w:right="859" w:bottom="1440" w:gutter="0" w:footer="0" w:header="0"/>
          <w:type w:val="continuous"/>
        </w:sectPr>
      </w:pPr>
    </w:p>
    <w:bookmarkStart w:id="95" w:name="page96"/>
    <w:bookmarkEnd w:id="95"/>
    <w:tbl>
      <w:tblPr>
        <w:tblLayout w:type="fixed"/>
        <w:tblInd w:w="220" w:type="dxa"/>
        <w:tblCellMar>
          <w:top w:w="0" w:type="dxa"/>
          <w:left w:w="0" w:type="dxa"/>
          <w:bottom w:w="0" w:type="dxa"/>
          <w:right w:w="0" w:type="dxa"/>
        </w:tblCellMar>
      </w:tblPr>
      <w:tr>
        <w:trPr>
          <w:trHeight w:val="207"/>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31.2</w:t>
            </w:r>
          </w:p>
        </w:tc>
        <w:tc>
          <w:tcPr>
            <w:tcW w:w="38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w:t>
            </w:r>
          </w:p>
        </w:tc>
        <w:tc>
          <w:tcPr>
            <w:tcW w:w="5700" w:type="dxa"/>
            <w:vAlign w:val="bottom"/>
          </w:tcPr>
          <w:p>
            <w:pPr>
              <w:ind w:left="5580"/>
              <w:spacing w:after="0"/>
              <w:rPr>
                <w:sz w:val="20"/>
                <w:szCs w:val="20"/>
                <w:color w:val="auto"/>
              </w:rPr>
            </w:pPr>
            <w:r>
              <w:rPr>
                <w:rFonts w:ascii="Times New Roman" w:cs="Times New Roman" w:eastAsia="Times New Roman" w:hAnsi="Times New Roman"/>
                <w:sz w:val="18"/>
                <w:szCs w:val="18"/>
                <w:color w:val="auto"/>
                <w:w w:val="76"/>
              </w:rPr>
              <w:t>X</w:t>
            </w:r>
          </w:p>
        </w:tc>
      </w:tr>
      <w:tr>
        <w:trPr>
          <w:trHeight w:val="156"/>
        </w:trPr>
        <w:tc>
          <w:tcPr>
            <w:tcW w:w="1000" w:type="dxa"/>
            <w:vAlign w:val="bottom"/>
          </w:tcPr>
          <w:p>
            <w:pPr>
              <w:spacing w:after="0"/>
              <w:rPr>
                <w:sz w:val="13"/>
                <w:szCs w:val="13"/>
                <w:color w:val="auto"/>
              </w:rPr>
            </w:pPr>
          </w:p>
        </w:tc>
        <w:tc>
          <w:tcPr>
            <w:tcW w:w="376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to Rules 13a-14(a) and 15d-14(a) under the</w:t>
            </w:r>
          </w:p>
        </w:tc>
        <w:tc>
          <w:tcPr>
            <w:tcW w:w="4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3800" w:type="dxa"/>
            <w:vAlign w:val="bottom"/>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 as Adopted</w:t>
            </w:r>
          </w:p>
        </w:tc>
        <w:tc>
          <w:tcPr>
            <w:tcW w:w="570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328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6"/>
              </w:rPr>
              <w:t>Pursuant to Section 302 of the Sarbanes-Oxley</w:t>
            </w:r>
          </w:p>
        </w:tc>
        <w:tc>
          <w:tcPr>
            <w:tcW w:w="520" w:type="dxa"/>
            <w:vAlign w:val="bottom"/>
            <w:gridSpan w:val="9"/>
          </w:tcPr>
          <w:p>
            <w:pPr>
              <w:ind w:left="140"/>
              <w:spacing w:after="0" w:line="169" w:lineRule="exact"/>
              <w:rPr>
                <w:sz w:val="20"/>
                <w:szCs w:val="20"/>
                <w:color w:val="auto"/>
              </w:rPr>
            </w:pPr>
            <w:r>
              <w:rPr>
                <w:rFonts w:ascii="Times New Roman" w:cs="Times New Roman" w:eastAsia="Times New Roman" w:hAnsi="Times New Roman"/>
                <w:sz w:val="18"/>
                <w:szCs w:val="18"/>
                <w:color w:val="0000FF"/>
              </w:rPr>
              <w:t>Act</w:t>
            </w:r>
          </w:p>
        </w:tc>
        <w:tc>
          <w:tcPr>
            <w:tcW w:w="5700" w:type="dxa"/>
            <w:vAlign w:val="bottom"/>
          </w:tcPr>
          <w:p>
            <w:pPr>
              <w:spacing w:after="0"/>
              <w:rPr>
                <w:sz w:val="14"/>
                <w:szCs w:val="14"/>
                <w:color w:val="auto"/>
              </w:rPr>
            </w:pPr>
          </w:p>
        </w:tc>
      </w:tr>
      <w:tr>
        <w:trPr>
          <w:trHeight w:val="156"/>
        </w:trPr>
        <w:tc>
          <w:tcPr>
            <w:tcW w:w="1000" w:type="dxa"/>
            <w:vAlign w:val="bottom"/>
          </w:tcPr>
          <w:p>
            <w:pPr>
              <w:spacing w:after="0"/>
              <w:rPr>
                <w:sz w:val="13"/>
                <w:szCs w:val="13"/>
                <w:color w:val="auto"/>
              </w:rPr>
            </w:pPr>
          </w:p>
        </w:tc>
        <w:tc>
          <w:tcPr>
            <w:tcW w:w="368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77"/>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32.1*</w:t>
            </w:r>
          </w:p>
        </w:tc>
        <w:tc>
          <w:tcPr>
            <w:tcW w:w="38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w:t>
            </w:r>
          </w:p>
        </w:tc>
        <w:tc>
          <w:tcPr>
            <w:tcW w:w="5700" w:type="dxa"/>
            <w:vAlign w:val="bottom"/>
          </w:tcPr>
          <w:p>
            <w:pPr>
              <w:ind w:left="5580"/>
              <w:spacing w:after="0"/>
              <w:rPr>
                <w:sz w:val="20"/>
                <w:szCs w:val="20"/>
                <w:color w:val="auto"/>
              </w:rPr>
            </w:pPr>
            <w:r>
              <w:rPr>
                <w:rFonts w:ascii="Times New Roman" w:cs="Times New Roman" w:eastAsia="Times New Roman" w:hAnsi="Times New Roman"/>
                <w:sz w:val="18"/>
                <w:szCs w:val="18"/>
                <w:color w:val="auto"/>
                <w:w w:val="76"/>
              </w:rPr>
              <w:t>X</w:t>
            </w:r>
          </w:p>
        </w:tc>
      </w:tr>
      <w:tr>
        <w:trPr>
          <w:trHeight w:val="156"/>
        </w:trPr>
        <w:tc>
          <w:tcPr>
            <w:tcW w:w="1000" w:type="dxa"/>
            <w:vAlign w:val="bottom"/>
          </w:tcPr>
          <w:p>
            <w:pPr>
              <w:spacing w:after="0"/>
              <w:rPr>
                <w:sz w:val="13"/>
                <w:szCs w:val="13"/>
                <w:color w:val="auto"/>
              </w:rPr>
            </w:pPr>
          </w:p>
        </w:tc>
        <w:tc>
          <w:tcPr>
            <w:tcW w:w="3800" w:type="dxa"/>
            <w:vAlign w:val="bottom"/>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to 18 U.S.C. Section 1350, as Adopted Pursuant to</w:t>
            </w:r>
          </w:p>
        </w:tc>
        <w:tc>
          <w:tcPr>
            <w:tcW w:w="570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18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r>
      <w:tr>
        <w:trPr>
          <w:trHeight w:val="277"/>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32.2*</w:t>
            </w:r>
          </w:p>
        </w:tc>
        <w:tc>
          <w:tcPr>
            <w:tcW w:w="38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w:t>
            </w:r>
          </w:p>
        </w:tc>
        <w:tc>
          <w:tcPr>
            <w:tcW w:w="5700" w:type="dxa"/>
            <w:vAlign w:val="bottom"/>
          </w:tcPr>
          <w:p>
            <w:pPr>
              <w:ind w:left="5580"/>
              <w:spacing w:after="0"/>
              <w:rPr>
                <w:sz w:val="20"/>
                <w:szCs w:val="20"/>
                <w:color w:val="auto"/>
              </w:rPr>
            </w:pPr>
            <w:r>
              <w:rPr>
                <w:rFonts w:ascii="Times New Roman" w:cs="Times New Roman" w:eastAsia="Times New Roman" w:hAnsi="Times New Roman"/>
                <w:sz w:val="18"/>
                <w:szCs w:val="18"/>
                <w:color w:val="auto"/>
                <w:w w:val="76"/>
              </w:rPr>
              <w:t>X</w:t>
            </w:r>
          </w:p>
        </w:tc>
      </w:tr>
      <w:tr>
        <w:trPr>
          <w:trHeight w:val="156"/>
        </w:trPr>
        <w:tc>
          <w:tcPr>
            <w:tcW w:w="1000" w:type="dxa"/>
            <w:vAlign w:val="bottom"/>
          </w:tcPr>
          <w:p>
            <w:pPr>
              <w:spacing w:after="0"/>
              <w:rPr>
                <w:sz w:val="13"/>
                <w:szCs w:val="13"/>
                <w:color w:val="auto"/>
              </w:rPr>
            </w:pPr>
          </w:p>
        </w:tc>
        <w:tc>
          <w:tcPr>
            <w:tcW w:w="376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to 18 U.S.C. Section 1350, as Adopted Pursuant to</w:t>
            </w:r>
          </w:p>
        </w:tc>
        <w:tc>
          <w:tcPr>
            <w:tcW w:w="4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366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r>
      <w:tr>
        <w:trPr>
          <w:trHeight w:val="277"/>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97.1*</w:t>
            </w:r>
          </w:p>
        </w:tc>
        <w:tc>
          <w:tcPr>
            <w:tcW w:w="34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Policy Relating to Recovery of Erroneously</w:t>
            </w:r>
          </w:p>
        </w:tc>
        <w:tc>
          <w:tcPr>
            <w:tcW w:w="340" w:type="dxa"/>
            <w:vAlign w:val="bottom"/>
            <w:gridSpan w:val="8"/>
          </w:tcPr>
          <w:p>
            <w:pPr>
              <w:spacing w:after="0"/>
              <w:rPr>
                <w:sz w:val="24"/>
                <w:szCs w:val="24"/>
                <w:color w:val="auto"/>
              </w:rPr>
            </w:pPr>
          </w:p>
        </w:tc>
        <w:tc>
          <w:tcPr>
            <w:tcW w:w="5700" w:type="dxa"/>
            <w:vAlign w:val="bottom"/>
          </w:tcPr>
          <w:p>
            <w:pPr>
              <w:ind w:left="5580"/>
              <w:spacing w:after="0"/>
              <w:rPr>
                <w:sz w:val="20"/>
                <w:szCs w:val="20"/>
                <w:color w:val="auto"/>
              </w:rPr>
            </w:pPr>
            <w:r>
              <w:rPr>
                <w:rFonts w:ascii="Times New Roman" w:cs="Times New Roman" w:eastAsia="Times New Roman" w:hAnsi="Times New Roman"/>
                <w:sz w:val="18"/>
                <w:szCs w:val="18"/>
                <w:color w:val="auto"/>
                <w:w w:val="76"/>
              </w:rPr>
              <w:t>X</w:t>
            </w:r>
          </w:p>
        </w:tc>
      </w:tr>
      <w:tr>
        <w:trPr>
          <w:trHeight w:val="156"/>
        </w:trPr>
        <w:tc>
          <w:tcPr>
            <w:tcW w:w="100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Awarded Compensation</w:t>
            </w:r>
          </w:p>
        </w:tc>
        <w:tc>
          <w:tcPr>
            <w:tcW w:w="1420" w:type="dxa"/>
            <w:vAlign w:val="bottom"/>
            <w:tcBorders>
              <w:top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r>
      <w:tr>
        <w:trPr>
          <w:trHeight w:val="277"/>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101.INS</w:t>
            </w:r>
          </w:p>
        </w:tc>
        <w:tc>
          <w:tcPr>
            <w:tcW w:w="38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5700" w:type="dxa"/>
            <w:vAlign w:val="bottom"/>
          </w:tcPr>
          <w:p>
            <w:pPr>
              <w:ind w:left="558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100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63"/>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101.SCH</w:t>
            </w:r>
          </w:p>
        </w:tc>
        <w:tc>
          <w:tcPr>
            <w:tcW w:w="348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9"/>
              </w:rPr>
              <w:t>XBRL Taxonomy Extension Schema Document</w:t>
            </w:r>
          </w:p>
        </w:tc>
        <w:tc>
          <w:tcPr>
            <w:tcW w:w="320" w:type="dxa"/>
            <w:vAlign w:val="bottom"/>
            <w:gridSpan w:val="7"/>
          </w:tcPr>
          <w:p>
            <w:pPr>
              <w:spacing w:after="0"/>
              <w:rPr>
                <w:sz w:val="22"/>
                <w:szCs w:val="22"/>
                <w:color w:val="auto"/>
              </w:rPr>
            </w:pPr>
          </w:p>
        </w:tc>
        <w:tc>
          <w:tcPr>
            <w:tcW w:w="5700" w:type="dxa"/>
            <w:vAlign w:val="bottom"/>
          </w:tcPr>
          <w:p>
            <w:pPr>
              <w:ind w:left="5580"/>
              <w:spacing w:after="0"/>
              <w:rPr>
                <w:sz w:val="20"/>
                <w:szCs w:val="20"/>
                <w:color w:val="auto"/>
              </w:rPr>
            </w:pPr>
            <w:r>
              <w:rPr>
                <w:rFonts w:ascii="Times New Roman" w:cs="Times New Roman" w:eastAsia="Times New Roman" w:hAnsi="Times New Roman"/>
                <w:sz w:val="18"/>
                <w:szCs w:val="18"/>
                <w:color w:val="auto"/>
                <w:w w:val="76"/>
              </w:rPr>
              <w:t>X</w:t>
            </w:r>
          </w:p>
        </w:tc>
      </w:tr>
      <w:tr>
        <w:trPr>
          <w:trHeight w:val="263"/>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101.CAL</w:t>
            </w:r>
          </w:p>
        </w:tc>
        <w:tc>
          <w:tcPr>
            <w:tcW w:w="38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5700" w:type="dxa"/>
            <w:vAlign w:val="bottom"/>
          </w:tcPr>
          <w:p>
            <w:pPr>
              <w:ind w:left="5580"/>
              <w:spacing w:after="0"/>
              <w:rPr>
                <w:sz w:val="20"/>
                <w:szCs w:val="20"/>
                <w:color w:val="auto"/>
              </w:rPr>
            </w:pPr>
            <w:r>
              <w:rPr>
                <w:rFonts w:ascii="Times New Roman" w:cs="Times New Roman" w:eastAsia="Times New Roman" w:hAnsi="Times New Roman"/>
                <w:sz w:val="18"/>
                <w:szCs w:val="18"/>
                <w:color w:val="auto"/>
                <w:w w:val="76"/>
              </w:rPr>
              <w:t>X</w:t>
            </w:r>
          </w:p>
        </w:tc>
      </w:tr>
      <w:tr>
        <w:trPr>
          <w:trHeight w:val="156"/>
        </w:trPr>
        <w:tc>
          <w:tcPr>
            <w:tcW w:w="100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w w:val="98"/>
              </w:rPr>
              <w:t>Document</w:t>
            </w:r>
          </w:p>
        </w:tc>
        <w:tc>
          <w:tcPr>
            <w:tcW w:w="2880" w:type="dxa"/>
            <w:vAlign w:val="bottom"/>
            <w:tcBorders>
              <w:top w:val="single" w:sz="8" w:color="auto"/>
            </w:tcBorders>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r>
      <w:tr>
        <w:trPr>
          <w:trHeight w:val="277"/>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101.DEF</w:t>
            </w:r>
          </w:p>
        </w:tc>
        <w:tc>
          <w:tcPr>
            <w:tcW w:w="38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5700" w:type="dxa"/>
            <w:vAlign w:val="bottom"/>
          </w:tcPr>
          <w:p>
            <w:pPr>
              <w:ind w:left="5580"/>
              <w:spacing w:after="0"/>
              <w:rPr>
                <w:sz w:val="20"/>
                <w:szCs w:val="20"/>
                <w:color w:val="auto"/>
              </w:rPr>
            </w:pPr>
            <w:r>
              <w:rPr>
                <w:rFonts w:ascii="Times New Roman" w:cs="Times New Roman" w:eastAsia="Times New Roman" w:hAnsi="Times New Roman"/>
                <w:sz w:val="18"/>
                <w:szCs w:val="18"/>
                <w:color w:val="auto"/>
                <w:w w:val="76"/>
              </w:rPr>
              <w:t>X</w:t>
            </w:r>
          </w:p>
        </w:tc>
      </w:tr>
      <w:tr>
        <w:trPr>
          <w:trHeight w:val="156"/>
        </w:trPr>
        <w:tc>
          <w:tcPr>
            <w:tcW w:w="100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w w:val="98"/>
              </w:rPr>
              <w:t>Document</w:t>
            </w:r>
          </w:p>
        </w:tc>
        <w:tc>
          <w:tcPr>
            <w:tcW w:w="2800" w:type="dxa"/>
            <w:vAlign w:val="bottom"/>
            <w:tcBorders>
              <w:top w:val="single" w:sz="8" w:color="auto"/>
            </w:tcBorders>
            <w:gridSpan w:val="9"/>
          </w:tcPr>
          <w:p>
            <w:pPr>
              <w:spacing w:after="0"/>
              <w:rPr>
                <w:sz w:val="13"/>
                <w:szCs w:val="13"/>
                <w:color w:val="auto"/>
              </w:rPr>
            </w:pPr>
          </w:p>
        </w:tc>
        <w:tc>
          <w:tcPr>
            <w:tcW w:w="14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r>
      <w:tr>
        <w:trPr>
          <w:trHeight w:val="277"/>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101.LAB</w:t>
            </w:r>
          </w:p>
        </w:tc>
        <w:tc>
          <w:tcPr>
            <w:tcW w:w="38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5700" w:type="dxa"/>
            <w:vAlign w:val="bottom"/>
          </w:tcPr>
          <w:p>
            <w:pPr>
              <w:ind w:left="5580"/>
              <w:spacing w:after="0"/>
              <w:rPr>
                <w:sz w:val="20"/>
                <w:szCs w:val="20"/>
                <w:color w:val="auto"/>
              </w:rPr>
            </w:pPr>
            <w:r>
              <w:rPr>
                <w:rFonts w:ascii="Times New Roman" w:cs="Times New Roman" w:eastAsia="Times New Roman" w:hAnsi="Times New Roman"/>
                <w:sz w:val="18"/>
                <w:szCs w:val="18"/>
                <w:color w:val="auto"/>
                <w:w w:val="76"/>
              </w:rPr>
              <w:t>X</w:t>
            </w:r>
          </w:p>
        </w:tc>
      </w:tr>
      <w:tr>
        <w:trPr>
          <w:trHeight w:val="156"/>
        </w:trPr>
        <w:tc>
          <w:tcPr>
            <w:tcW w:w="100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w w:val="98"/>
              </w:rPr>
              <w:t>Document</w:t>
            </w:r>
          </w:p>
        </w:tc>
        <w:tc>
          <w:tcPr>
            <w:tcW w:w="2460" w:type="dxa"/>
            <w:vAlign w:val="bottom"/>
            <w:tcBorders>
              <w:top w:val="single" w:sz="8" w:color="auto"/>
            </w:tcBorders>
            <w:gridSpan w:val="5"/>
          </w:tcPr>
          <w:p>
            <w:pPr>
              <w:spacing w:after="0"/>
              <w:rPr>
                <w:sz w:val="13"/>
                <w:szCs w:val="13"/>
                <w:color w:val="auto"/>
              </w:rPr>
            </w:pPr>
          </w:p>
        </w:tc>
        <w:tc>
          <w:tcPr>
            <w:tcW w:w="480" w:type="dxa"/>
            <w:vAlign w:val="bottom"/>
            <w:gridSpan w:val="8"/>
          </w:tcPr>
          <w:p>
            <w:pPr>
              <w:spacing w:after="0"/>
              <w:rPr>
                <w:sz w:val="13"/>
                <w:szCs w:val="13"/>
                <w:color w:val="auto"/>
              </w:rPr>
            </w:pPr>
          </w:p>
        </w:tc>
        <w:tc>
          <w:tcPr>
            <w:tcW w:w="10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r>
      <w:tr>
        <w:trPr>
          <w:trHeight w:val="277"/>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101.PRE</w:t>
            </w:r>
          </w:p>
        </w:tc>
        <w:tc>
          <w:tcPr>
            <w:tcW w:w="38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5700" w:type="dxa"/>
            <w:vAlign w:val="bottom"/>
          </w:tcPr>
          <w:p>
            <w:pPr>
              <w:ind w:left="5580"/>
              <w:spacing w:after="0"/>
              <w:rPr>
                <w:sz w:val="20"/>
                <w:szCs w:val="20"/>
                <w:color w:val="auto"/>
              </w:rPr>
            </w:pPr>
            <w:r>
              <w:rPr>
                <w:rFonts w:ascii="Times New Roman" w:cs="Times New Roman" w:eastAsia="Times New Roman" w:hAnsi="Times New Roman"/>
                <w:sz w:val="18"/>
                <w:szCs w:val="18"/>
                <w:color w:val="auto"/>
                <w:w w:val="76"/>
              </w:rPr>
              <w:t>X</w:t>
            </w:r>
          </w:p>
        </w:tc>
      </w:tr>
      <w:tr>
        <w:trPr>
          <w:trHeight w:val="156"/>
        </w:trPr>
        <w:tc>
          <w:tcPr>
            <w:tcW w:w="100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w w:val="98"/>
              </w:rPr>
              <w:t>Document</w:t>
            </w:r>
          </w:p>
        </w:tc>
        <w:tc>
          <w:tcPr>
            <w:tcW w:w="2940" w:type="dxa"/>
            <w:vAlign w:val="bottom"/>
            <w:tcBorders>
              <w:top w:val="single" w:sz="8" w:color="auto"/>
            </w:tcBorders>
            <w:gridSpan w:val="13"/>
          </w:tcPr>
          <w:p>
            <w:pPr>
              <w:spacing w:after="0"/>
              <w:rPr>
                <w:sz w:val="13"/>
                <w:szCs w:val="13"/>
                <w:color w:val="auto"/>
              </w:rPr>
            </w:pPr>
          </w:p>
        </w:tc>
        <w:tc>
          <w:tcPr>
            <w:tcW w:w="10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r>
    </w:tbl>
    <w:p>
      <w:pPr>
        <w:spacing w:after="0" w:line="31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w:t>
      </w:r>
    </w:p>
    <w:p>
      <w:pPr>
        <w:spacing w:after="0" w:line="27" w:lineRule="exact"/>
        <w:rPr>
          <w:sz w:val="20"/>
          <w:szCs w:val="20"/>
          <w:color w:val="auto"/>
        </w:rPr>
      </w:pPr>
    </w:p>
    <w:p>
      <w:pPr>
        <w:ind w:left="820" w:hanging="812"/>
        <w:spacing w:after="0" w:line="255" w:lineRule="auto"/>
        <w:tabs>
          <w:tab w:leader="none" w:pos="3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182" w:lineRule="exact"/>
        <w:rPr>
          <w:sz w:val="20"/>
          <w:szCs w:val="20"/>
          <w:color w:val="auto"/>
        </w:rPr>
      </w:pPr>
    </w:p>
    <w:p>
      <w:pPr>
        <w:jc w:val="center"/>
        <w:ind w:right="890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4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DATADOG, INC.</w:t>
            </w:r>
          </w:p>
        </w:tc>
      </w:tr>
      <w:tr>
        <w:trPr>
          <w:trHeight w:val="49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Olivier Pomel</w:t>
            </w:r>
          </w:p>
        </w:tc>
      </w:tr>
      <w:tr>
        <w:trPr>
          <w:trHeight w:val="218"/>
        </w:trPr>
        <w:tc>
          <w:tcPr>
            <w:tcW w:w="3660" w:type="dxa"/>
            <w:vAlign w:val="bottom"/>
          </w:tcPr>
          <w:p>
            <w:pPr>
              <w:spacing w:after="0"/>
              <w:rPr>
                <w:sz w:val="18"/>
                <w:szCs w:val="18"/>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Olivier Pomel</w:t>
            </w:r>
          </w:p>
        </w:tc>
      </w:tr>
      <w:tr>
        <w:trPr>
          <w:trHeight w:val="234"/>
        </w:trPr>
        <w:tc>
          <w:tcPr>
            <w:tcW w:w="3660" w:type="dxa"/>
            <w:vAlign w:val="bottom"/>
          </w:tcPr>
          <w:p>
            <w:pPr>
              <w:spacing w:after="0"/>
              <w:rPr>
                <w:sz w:val="20"/>
                <w:szCs w:val="20"/>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bl>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Olivier Pomel and Alexis Lê-Quôc,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8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7" w:name="page98"/>
    <w:bookmarkEnd w:id="97"/>
    <w:p>
      <w:pPr>
        <w:ind w:left="5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33655</wp:posOffset>
            </wp:positionV>
            <wp:extent cx="2040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8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Olivier Pomel</w:t>
      </w:r>
    </w:p>
    <w:p>
      <w:pPr>
        <w:spacing w:after="0" w:line="3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David Obstler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David Obstler</w:t>
      </w:r>
    </w:p>
    <w:p>
      <w:pPr>
        <w:spacing w:after="0" w:line="3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Alexis Le-Qu</w:t>
      </w:r>
      <w:r>
        <w:rPr>
          <w:rFonts w:ascii="Times New Roman" w:cs="Times New Roman" w:eastAsia="Times New Roman" w:hAnsi="Times New Roman"/>
          <w:sz w:val="18"/>
          <w:szCs w:val="18"/>
          <w:color w:val="auto"/>
        </w:rPr>
        <w:t>ô</w:t>
      </w:r>
      <w:r>
        <w:rPr>
          <w:rFonts w:ascii="Times New Roman" w:cs="Times New Roman" w:eastAsia="Times New Roman" w:hAnsi="Times New Roman"/>
          <w:sz w:val="18"/>
          <w:szCs w:val="18"/>
          <w:i w:val="1"/>
          <w:iCs w:val="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Alexis Le-Quôc</w:t>
      </w:r>
    </w:p>
    <w:p>
      <w:pPr>
        <w:spacing w:after="0" w:line="31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Michael Callahan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Michael Callahan</w:t>
      </w:r>
    </w:p>
    <w:p>
      <w:pPr>
        <w:spacing w:after="0" w:line="3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 Matthew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Matthew Jacobson</w:t>
      </w:r>
    </w:p>
    <w:p>
      <w:pPr>
        <w:spacing w:after="0" w:line="3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Dev Ittycheria</w:t>
      </w:r>
    </w:p>
    <w:p>
      <w:pPr>
        <w:spacing w:after="0" w:line="3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 Julie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Julie Richardson</w:t>
      </w:r>
    </w:p>
    <w:p>
      <w:pPr>
        <w:spacing w:after="0" w:line="3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Shardul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Shardul Shah</w:t>
      </w:r>
    </w:p>
    <w:p>
      <w:pPr>
        <w:spacing w:after="0" w:line="3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Titi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Titi Cole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440" w:type="dxa"/>
            <w:vAlign w:val="bottom"/>
            <w:gridSpan w:val="2"/>
          </w:tcPr>
          <w:p>
            <w:pPr>
              <w:ind w:left="25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5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52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3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440" w:type="dxa"/>
            <w:vAlign w:val="bottom"/>
          </w:tcPr>
          <w:p>
            <w:pPr>
              <w:spacing w:after="0"/>
              <w:rPr>
                <w:sz w:val="20"/>
                <w:szCs w:val="20"/>
                <w:color w:val="auto"/>
              </w:rPr>
            </w:pPr>
          </w:p>
        </w:tc>
      </w:tr>
      <w:tr>
        <w:trPr>
          <w:trHeight w:val="574"/>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3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440" w:type="dxa"/>
            <w:vAlign w:val="bottom"/>
          </w:tcPr>
          <w:p>
            <w:pPr>
              <w:spacing w:after="0"/>
              <w:rPr>
                <w:sz w:val="20"/>
                <w:szCs w:val="20"/>
                <w:color w:val="auto"/>
              </w:rPr>
            </w:pPr>
          </w:p>
        </w:tc>
      </w:tr>
      <w:tr>
        <w:trPr>
          <w:trHeight w:val="628"/>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Technology Officer and 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797"/>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81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81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81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81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81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2">
            <w:col w:w="1780" w:space="720"/>
            <w:col w:w="7880"/>
          </w:cols>
          <w:pgMar w:left="1140" w:top="1019" w:right="37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54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w w:val="99"/>
              </w:rPr>
              <w:t>List of Subsidiaries of Datadog, Inc.</w:t>
            </w:r>
          </w:p>
        </w:tc>
      </w:tr>
      <w:tr>
        <w:trPr>
          <w:trHeight w:val="459"/>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0"/>
        </w:trPr>
        <w:tc>
          <w:tcPr>
            <w:tcW w:w="4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45"/>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Datadog France SAS</w:t>
            </w:r>
          </w:p>
        </w:tc>
        <w:tc>
          <w:tcPr>
            <w:tcW w:w="2180" w:type="dxa"/>
            <w:vAlign w:val="bottom"/>
          </w:tcPr>
          <w:p>
            <w:pPr>
              <w:spacing w:after="0"/>
              <w:rPr>
                <w:sz w:val="21"/>
                <w:szCs w:val="21"/>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Datadog Ireland Limited</w:t>
            </w:r>
          </w:p>
        </w:tc>
        <w:tc>
          <w:tcPr>
            <w:tcW w:w="218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Datadog Cloud Spain SL</w:t>
            </w:r>
          </w:p>
        </w:tc>
        <w:tc>
          <w:tcPr>
            <w:tcW w:w="218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29"/>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Datadog Ireland Limited UK Branch</w:t>
            </w:r>
          </w:p>
        </w:tc>
        <w:tc>
          <w:tcPr>
            <w:tcW w:w="218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Datadog Netherlands BV</w:t>
            </w:r>
          </w:p>
        </w:tc>
        <w:tc>
          <w:tcPr>
            <w:tcW w:w="218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r>
    </w:tbl>
    <w:p>
      <w:pPr>
        <w:sectPr>
          <w:pgSz w:w="11900" w:h="16838" w:orient="portrait"/>
          <w:cols w:equalWidth="0" w:num="1">
            <w:col w:w="11220"/>
          </w:cols>
          <w:pgMar w:left="340" w:top="88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CONSENT OF INDEPENDENT REGISTERED PUBLIC ACCOUNTING FIRM</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Verdana" w:cs="Verdana" w:eastAsia="Verdana" w:hAnsi="Verdana"/>
          <w:sz w:val="16"/>
          <w:szCs w:val="16"/>
          <w:color w:val="auto"/>
        </w:rPr>
        <w:t>We consent to the incorporation by reference in Registration Statement Nos. 333-233903, 333-237176, 333-254229 and 333-270280 on</w:t>
      </w:r>
    </w:p>
    <w:p>
      <w:pPr>
        <w:ind w:right="80"/>
        <w:spacing w:after="0" w:line="208" w:lineRule="auto"/>
        <w:rPr>
          <w:sz w:val="20"/>
          <w:szCs w:val="20"/>
          <w:color w:val="auto"/>
        </w:rPr>
      </w:pPr>
      <w:r>
        <w:rPr>
          <w:rFonts w:ascii="Verdana" w:cs="Verdana" w:eastAsia="Verdana" w:hAnsi="Verdana"/>
          <w:sz w:val="16"/>
          <w:szCs w:val="16"/>
          <w:color w:val="auto"/>
        </w:rPr>
        <w:t>Form S-8 of our reports dated February 23, 2024 relating to the consolidated financial statements of Datadog, Inc. and subsidiaries (the “Company”), and the effectiveness of the Company's internal control over financial reporting, appearing in this Annual Report on Form</w:t>
      </w:r>
    </w:p>
    <w:p>
      <w:pPr>
        <w:spacing w:after="0"/>
        <w:rPr>
          <w:sz w:val="20"/>
          <w:szCs w:val="20"/>
          <w:color w:val="auto"/>
        </w:rPr>
      </w:pPr>
      <w:r>
        <w:rPr>
          <w:rFonts w:ascii="Verdana" w:cs="Verdana" w:eastAsia="Verdana" w:hAnsi="Verdana"/>
          <w:sz w:val="16"/>
          <w:szCs w:val="16"/>
          <w:color w:val="auto"/>
        </w:rPr>
        <w:t>10-K for the year ended December 31, 2023.</w:t>
      </w:r>
    </w:p>
    <w:p>
      <w:pPr>
        <w:spacing w:after="0" w:line="238" w:lineRule="exact"/>
        <w:rPr>
          <w:sz w:val="20"/>
          <w:szCs w:val="20"/>
          <w:color w:val="auto"/>
        </w:rPr>
      </w:pPr>
    </w:p>
    <w:p>
      <w:pPr>
        <w:spacing w:after="0"/>
        <w:rPr>
          <w:sz w:val="20"/>
          <w:szCs w:val="20"/>
          <w:color w:val="auto"/>
        </w:rPr>
      </w:pPr>
      <w:r>
        <w:rPr>
          <w:rFonts w:ascii="Verdana" w:cs="Verdana" w:eastAsia="Verdana" w:hAnsi="Verdana"/>
          <w:sz w:val="16"/>
          <w:szCs w:val="16"/>
          <w:color w:val="auto"/>
        </w:rPr>
        <w:t>/s/ Deloitte &amp; Touche LLP</w:t>
      </w:r>
    </w:p>
    <w:p>
      <w:pPr>
        <w:spacing w:after="0" w:line="224" w:lineRule="exact"/>
        <w:rPr>
          <w:sz w:val="20"/>
          <w:szCs w:val="20"/>
          <w:color w:val="auto"/>
        </w:rPr>
      </w:pPr>
    </w:p>
    <w:p>
      <w:pPr>
        <w:spacing w:after="0"/>
        <w:rPr>
          <w:sz w:val="20"/>
          <w:szCs w:val="20"/>
          <w:color w:val="auto"/>
        </w:rPr>
      </w:pPr>
      <w:r>
        <w:rPr>
          <w:rFonts w:ascii="Verdana" w:cs="Verdana" w:eastAsia="Verdana" w:hAnsi="Verdana"/>
          <w:sz w:val="16"/>
          <w:szCs w:val="16"/>
          <w:color w:val="auto"/>
        </w:rPr>
        <w:t>New York, New York</w:t>
      </w:r>
    </w:p>
    <w:p>
      <w:pPr>
        <w:spacing w:after="0" w:line="224" w:lineRule="exact"/>
        <w:rPr>
          <w:sz w:val="20"/>
          <w:szCs w:val="20"/>
          <w:color w:val="auto"/>
        </w:rPr>
      </w:pPr>
    </w:p>
    <w:p>
      <w:pPr>
        <w:spacing w:after="0"/>
        <w:rPr>
          <w:sz w:val="20"/>
          <w:szCs w:val="20"/>
          <w:color w:val="auto"/>
        </w:rPr>
      </w:pPr>
      <w:r>
        <w:rPr>
          <w:rFonts w:ascii="Verdana" w:cs="Verdana" w:eastAsia="Verdana" w:hAnsi="Verdana"/>
          <w:sz w:val="16"/>
          <w:szCs w:val="16"/>
          <w:color w:val="auto"/>
        </w:rPr>
        <w:t>February 23, 2024</w:t>
      </w:r>
    </w:p>
    <w:p>
      <w:pPr>
        <w:sectPr>
          <w:pgSz w:w="11900" w:h="16838" w:orient="portrait"/>
          <w:cols w:equalWidth="0" w:num="1">
            <w:col w:w="11240"/>
          </w:cols>
          <w:pgMar w:left="320" w:top="88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Olivier Pomel, certify that:</w:t>
      </w:r>
    </w:p>
    <w:p>
      <w:pPr>
        <w:spacing w:after="0" w:line="225"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Datadog, Inc. (the “registrant”) for the fiscal year ended December 31, 2023;</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4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960" w:hanging="656"/>
        <w:spacing w:after="0" w:line="266" w:lineRule="auto"/>
        <w:tabs>
          <w:tab w:leader="none" w:pos="195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960" w:right="360" w:hanging="656"/>
        <w:spacing w:after="0" w:line="266" w:lineRule="auto"/>
        <w:tabs>
          <w:tab w:leader="none" w:pos="194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right="360" w:hanging="656"/>
        <w:spacing w:after="0" w:line="282" w:lineRule="auto"/>
        <w:tabs>
          <w:tab w:leader="none" w:pos="194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24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4"/>
        </w:trPr>
        <w:tc>
          <w:tcPr>
            <w:tcW w:w="3500" w:type="dxa"/>
            <w:vAlign w:val="bottom"/>
          </w:tcPr>
          <w:p>
            <w:pPr>
              <w:spacing w:after="0"/>
              <w:rPr>
                <w:sz w:val="18"/>
                <w:szCs w:val="18"/>
                <w:color w:val="auto"/>
              </w:rPr>
            </w:pPr>
          </w:p>
        </w:tc>
        <w:tc>
          <w:tcPr>
            <w:tcW w:w="248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Olivier Pomel</w:t>
            </w:r>
          </w:p>
        </w:tc>
      </w:tr>
      <w:tr>
        <w:trPr>
          <w:trHeight w:val="184"/>
        </w:trPr>
        <w:tc>
          <w:tcPr>
            <w:tcW w:w="3500" w:type="dxa"/>
            <w:vAlign w:val="bottom"/>
          </w:tcPr>
          <w:p>
            <w:pPr>
              <w:spacing w:after="0"/>
              <w:rPr>
                <w:sz w:val="16"/>
                <w:szCs w:val="16"/>
                <w:color w:val="auto"/>
              </w:rPr>
            </w:pPr>
          </w:p>
        </w:tc>
        <w:tc>
          <w:tcPr>
            <w:tcW w:w="2480" w:type="dxa"/>
            <w:vAlign w:val="bottom"/>
          </w:tcPr>
          <w:p>
            <w:pPr>
              <w:ind w:left="174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ectPr>
          <w:pgSz w:w="11900" w:h="16838" w:orient="portrait"/>
          <w:cols w:equalWidth="0" w:num="1">
            <w:col w:w="11240"/>
          </w:cols>
          <w:pgMar w:left="320" w:top="88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Obstler, certify that:</w:t>
      </w:r>
    </w:p>
    <w:p>
      <w:pPr>
        <w:spacing w:after="0" w:line="225"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Datadog, Inc. (the “registrant”) for the fiscal year ended December 31, 2023;</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4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960" w:hanging="656"/>
        <w:spacing w:after="0" w:line="266" w:lineRule="auto"/>
        <w:tabs>
          <w:tab w:leader="none" w:pos="195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960" w:right="360" w:hanging="656"/>
        <w:spacing w:after="0" w:line="266" w:lineRule="auto"/>
        <w:tabs>
          <w:tab w:leader="none" w:pos="194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right="360" w:hanging="656"/>
        <w:spacing w:after="0" w:line="282" w:lineRule="auto"/>
        <w:tabs>
          <w:tab w:leader="none" w:pos="194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24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Obstler</w:t>
            </w:r>
          </w:p>
        </w:tc>
      </w:tr>
      <w:tr>
        <w:trPr>
          <w:trHeight w:val="214"/>
        </w:trPr>
        <w:tc>
          <w:tcPr>
            <w:tcW w:w="3480" w:type="dxa"/>
            <w:vAlign w:val="bottom"/>
          </w:tcPr>
          <w:p>
            <w:pPr>
              <w:spacing w:after="0"/>
              <w:rPr>
                <w:sz w:val="18"/>
                <w:szCs w:val="18"/>
                <w:color w:val="auto"/>
              </w:rPr>
            </w:pPr>
          </w:p>
        </w:tc>
        <w:tc>
          <w:tcPr>
            <w:tcW w:w="248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Obstler</w:t>
            </w:r>
          </w:p>
        </w:tc>
      </w:tr>
      <w:tr>
        <w:trPr>
          <w:trHeight w:val="184"/>
        </w:trPr>
        <w:tc>
          <w:tcPr>
            <w:tcW w:w="3480" w:type="dxa"/>
            <w:vAlign w:val="bottom"/>
          </w:tcPr>
          <w:p>
            <w:pPr>
              <w:spacing w:after="0"/>
              <w:rPr>
                <w:sz w:val="16"/>
                <w:szCs w:val="16"/>
                <w:color w:val="auto"/>
              </w:rPr>
            </w:pPr>
          </w:p>
        </w:tc>
        <w:tc>
          <w:tcPr>
            <w:tcW w:w="2480" w:type="dxa"/>
            <w:vAlign w:val="bottom"/>
          </w:tcPr>
          <w:p>
            <w:pPr>
              <w:ind w:left="172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r>
    </w:tbl>
    <w:p>
      <w:pPr>
        <w:sectPr>
          <w:pgSz w:w="11900" w:h="16838" w:orient="portrait"/>
          <w:cols w:equalWidth="0" w:num="1">
            <w:col w:w="11240"/>
          </w:cols>
          <w:pgMar w:left="320" w:top="88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 Olivier Pomel, certify, pursuant to 18 U.S.C. Section 1350, as adopted pursuant to Section 906 of the Sarbanes-Oxley Act of 2002, that the Annual Report on Form 10-K of Datadog, Inc. for the fiscal year ended December 31, 2023 fully complies with the requirements of Section 13(a) or 15(d) of the Securities Exchange Act of 1934, as amended, and that information contained in such Annual Report on Form 10-K fairly presents, in all material respects, the financial condition and results of operations of Datadog, Inc.</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24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Olivier Pomel</w:t>
            </w:r>
          </w:p>
        </w:tc>
      </w:tr>
      <w:tr>
        <w:trPr>
          <w:trHeight w:val="214"/>
        </w:trPr>
        <w:tc>
          <w:tcPr>
            <w:tcW w:w="3500" w:type="dxa"/>
            <w:vAlign w:val="bottom"/>
          </w:tcPr>
          <w:p>
            <w:pPr>
              <w:spacing w:after="0"/>
              <w:rPr>
                <w:sz w:val="18"/>
                <w:szCs w:val="18"/>
                <w:color w:val="auto"/>
              </w:rPr>
            </w:pPr>
          </w:p>
        </w:tc>
        <w:tc>
          <w:tcPr>
            <w:tcW w:w="248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Olivier Pomel</w:t>
            </w:r>
          </w:p>
        </w:tc>
      </w:tr>
      <w:tr>
        <w:trPr>
          <w:trHeight w:val="184"/>
        </w:trPr>
        <w:tc>
          <w:tcPr>
            <w:tcW w:w="3500" w:type="dxa"/>
            <w:vAlign w:val="bottom"/>
          </w:tcPr>
          <w:p>
            <w:pPr>
              <w:spacing w:after="0"/>
              <w:rPr>
                <w:sz w:val="16"/>
                <w:szCs w:val="16"/>
                <w:color w:val="auto"/>
              </w:rPr>
            </w:pPr>
          </w:p>
        </w:tc>
        <w:tc>
          <w:tcPr>
            <w:tcW w:w="2480" w:type="dxa"/>
            <w:vAlign w:val="bottom"/>
          </w:tcPr>
          <w:p>
            <w:pPr>
              <w:ind w:left="174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5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Chief Executive Officer and Director</w:t>
            </w:r>
          </w:p>
        </w:tc>
      </w:tr>
      <w:tr>
        <w:trPr>
          <w:trHeight w:val="236"/>
        </w:trPr>
        <w:tc>
          <w:tcPr>
            <w:tcW w:w="3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ectPr>
          <w:pgSz w:w="11900" w:h="16838" w:orient="portrait"/>
          <w:cols w:equalWidth="0" w:num="1">
            <w:col w:w="11240"/>
          </w:cols>
          <w:pgMar w:left="320" w:top="88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 David Obstler, certify, pursuant to 18 U.S.C. Section 1350, as adopted pursuant to Section 906 of the Sarbanes-Oxley Act of 2002, that the Annual Report on Form 10-K of Datadog, Inc. for the fiscal year ended December 31, 2023 fully complies with the requirements of Section 13(a) or 15(d) of the Securities Exchange Act of 1934, as amended, and that information contained in such Annual Report on Form 10-K fairly presents, in all material respects, the financial condition and results of operations of Datadog, Inc.</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24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Obstler</w:t>
            </w:r>
          </w:p>
        </w:tc>
      </w:tr>
      <w:tr>
        <w:trPr>
          <w:trHeight w:val="214"/>
        </w:trPr>
        <w:tc>
          <w:tcPr>
            <w:tcW w:w="3480" w:type="dxa"/>
            <w:vAlign w:val="bottom"/>
          </w:tcPr>
          <w:p>
            <w:pPr>
              <w:spacing w:after="0"/>
              <w:rPr>
                <w:sz w:val="18"/>
                <w:szCs w:val="18"/>
                <w:color w:val="auto"/>
              </w:rPr>
            </w:pPr>
          </w:p>
        </w:tc>
        <w:tc>
          <w:tcPr>
            <w:tcW w:w="248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Obstler</w:t>
            </w:r>
          </w:p>
        </w:tc>
      </w:tr>
      <w:tr>
        <w:trPr>
          <w:trHeight w:val="184"/>
        </w:trPr>
        <w:tc>
          <w:tcPr>
            <w:tcW w:w="3480" w:type="dxa"/>
            <w:vAlign w:val="bottom"/>
          </w:tcPr>
          <w:p>
            <w:pPr>
              <w:spacing w:after="0"/>
              <w:rPr>
                <w:sz w:val="16"/>
                <w:szCs w:val="16"/>
                <w:color w:val="auto"/>
              </w:rPr>
            </w:pPr>
          </w:p>
        </w:tc>
        <w:tc>
          <w:tcPr>
            <w:tcW w:w="2480" w:type="dxa"/>
            <w:vAlign w:val="bottom"/>
          </w:tcPr>
          <w:p>
            <w:pPr>
              <w:ind w:left="172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r>
    </w:tbl>
    <w:p>
      <w:pPr>
        <w:sectPr>
          <w:pgSz w:w="11900" w:h="16838" w:orient="portrait"/>
          <w:cols w:equalWidth="0" w:num="1">
            <w:col w:w="11240"/>
          </w:cols>
          <w:pgMar w:left="320" w:top="887"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Datadog,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 Compensation Recoupment Policy</w:t>
      </w:r>
    </w:p>
    <w:p>
      <w:pPr>
        <w:spacing w:after="0" w:line="175"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Board of Directors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of Datadog, Inc., a Delaware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has determined that it is in the best</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interests of the Company and its stockholders to adopt this Incentive Compensation Recoupment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providing for the Company’s recoupment of Recoverable Incentive Compensation that is received by Covered Officers of the Company under certain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circumstances. Certain capitalized terms used in this Policy have the meanings given to such terms in Section 3 below.</w:t>
      </w:r>
    </w:p>
    <w:p>
      <w:pPr>
        <w:spacing w:after="0" w:line="140"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20"/>
          <w:szCs w:val="20"/>
          <w:b w:val="1"/>
          <w:bCs w:val="1"/>
          <w:i w:val="1"/>
          <w:iCs w:val="1"/>
          <w:color w:val="auto"/>
        </w:rPr>
        <w:t>Rule 10D-1</w:t>
      </w:r>
      <w:r>
        <w:rPr>
          <w:rFonts w:ascii="Times New Roman" w:cs="Times New Roman" w:eastAsia="Times New Roman" w:hAnsi="Times New Roman"/>
          <w:sz w:val="20"/>
          <w:szCs w:val="20"/>
          <w:color w:val="auto"/>
        </w:rPr>
        <w:t>”) and Nasdaq Listing Rule 5608 (the “</w:t>
      </w:r>
      <w:r>
        <w:rPr>
          <w:rFonts w:ascii="Times New Roman" w:cs="Times New Roman" w:eastAsia="Times New Roman" w:hAnsi="Times New Roman"/>
          <w:sz w:val="20"/>
          <w:szCs w:val="20"/>
          <w:b w:val="1"/>
          <w:bCs w:val="1"/>
          <w:i w:val="1"/>
          <w:iCs w:val="1"/>
          <w:color w:val="auto"/>
        </w:rPr>
        <w:t>Listing Standards</w:t>
      </w:r>
      <w:r>
        <w:rPr>
          <w:rFonts w:ascii="Times New Roman" w:cs="Times New Roman" w:eastAsia="Times New Roman" w:hAnsi="Times New Roman"/>
          <w:sz w:val="20"/>
          <w:szCs w:val="20"/>
          <w:color w:val="auto"/>
        </w:rPr>
        <w:t>”).</w:t>
      </w:r>
    </w:p>
    <w:p>
      <w:pPr>
        <w:spacing w:after="0" w:line="130"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 Date</w:t>
      </w:r>
    </w:p>
    <w:p>
      <w:pPr>
        <w:spacing w:after="0" w:line="17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This Policy shall apply to all Incentive Compensation that is received by a Covered Officer on or after October 2, 2023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Incentive Compensation is deemed “</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in the Company’s fiscal period in which the Financial Reporting Measure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specified in the Incentive Compensation award is attained, even if the payment or grant of such Incentive Compensation occurs after the end of that period.</w:t>
      </w:r>
    </w:p>
    <w:p>
      <w:pPr>
        <w:spacing w:after="0" w:line="144"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1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means an accounting restatement that the Company is required to prepare due to the material</w:t>
      </w:r>
    </w:p>
    <w:p>
      <w:pPr>
        <w:spacing w:after="0" w:line="204" w:lineRule="auto"/>
        <w:rPr>
          <w:sz w:val="20"/>
          <w:szCs w:val="20"/>
          <w:color w:val="auto"/>
        </w:rPr>
      </w:pPr>
      <w:r>
        <w:rPr>
          <w:rFonts w:ascii="Times New Roman" w:cs="Times New Roman" w:eastAsia="Times New Roman" w:hAnsi="Times New Roman"/>
          <w:sz w:val="20"/>
          <w:szCs w:val="20"/>
          <w:color w:val="auto"/>
        </w:rPr>
        <w:t>noncompliance of the Company with any financial reporting requirement under the securities laws, including any required accounting restatement to correct an error in previously issued financial statements that is material to the previously issued financial statements, or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would result in a material misstatement if the error were corrected in the current period or left uncorrected in the current period.</w:t>
      </w:r>
    </w:p>
    <w:p>
      <w:pPr>
        <w:spacing w:after="0" w:line="136"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 Date</w:t>
      </w:r>
      <w:r>
        <w:rPr>
          <w:rFonts w:ascii="Times New Roman" w:cs="Times New Roman" w:eastAsia="Times New Roman" w:hAnsi="Times New Roman"/>
          <w:sz w:val="20"/>
          <w:szCs w:val="20"/>
          <w:color w:val="auto"/>
        </w:rPr>
        <w:t>” means the earlier to occur of (a) the date that the Board, a committee of the Board authorized to take such action, or the officer or officers of the Company authorized to take such action if Board action is not required, concludes, or</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reasonably should have concluded, that the Company is required to prepare an Accounting Restatement, or (b) the date that a court, regulator or other legally authorized body directs the Company to prepare an Accounting Restatement.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Compensation Committee or, in the absence of such committee, the Board.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and the regulations promulgated thereunder.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means the Compensation Committee of the Board.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Officer</w:t>
      </w:r>
      <w:r>
        <w:rPr>
          <w:rFonts w:ascii="Times New Roman" w:cs="Times New Roman" w:eastAsia="Times New Roman" w:hAnsi="Times New Roman"/>
          <w:sz w:val="20"/>
          <w:szCs w:val="20"/>
          <w:color w:val="auto"/>
        </w:rPr>
        <w:t>” means each current and former Executive Officer.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means the Nasdaq Stock Market.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175"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any vice-president of the Company in charge of a principal business unit, division, or function (such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sales, administration, or finance), any other officer who performs a policy-making function, or any other person who performs</w:t>
      </w:r>
    </w:p>
    <w:p>
      <w:pPr>
        <w:sectPr>
          <w:pgSz w:w="11900" w:h="16838" w:orient="portrait"/>
          <w:cols w:equalWidth="0" w:num="1">
            <w:col w:w="11240"/>
          </w:cols>
          <w:pgMar w:left="320" w:top="139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color w:val="auto"/>
        </w:rPr>
        <w:t>similar policy-making functions for the Company. Executive officers of the Company’s parent(s) or subsidiaries are deemed executive</w:t>
      </w:r>
    </w:p>
    <w:p>
      <w:pPr>
        <w:spacing w:after="0" w:line="215" w:lineRule="auto"/>
        <w:rPr>
          <w:sz w:val="20"/>
          <w:szCs w:val="20"/>
          <w:color w:val="auto"/>
        </w:rPr>
      </w:pPr>
      <w:r>
        <w:rPr>
          <w:rFonts w:ascii="Times New Roman" w:cs="Times New Roman" w:eastAsia="Times New Roman" w:hAnsi="Times New Roman"/>
          <w:sz w:val="19"/>
          <w:szCs w:val="19"/>
          <w:color w:val="auto"/>
        </w:rPr>
        <w:t>officers of the Company if they perform such policy-making functions for the Company. Policy-making function is not intended to include policy-making functions that are not significant. Identification of an executive officer for purposes of this Policy would include at a minimum</w:t>
      </w:r>
    </w:p>
    <w:p>
      <w:pPr>
        <w:spacing w:after="0"/>
        <w:rPr>
          <w:sz w:val="20"/>
          <w:szCs w:val="20"/>
          <w:color w:val="auto"/>
        </w:rPr>
      </w:pPr>
      <w:r>
        <w:rPr>
          <w:rFonts w:ascii="Times New Roman" w:cs="Times New Roman" w:eastAsia="Times New Roman" w:hAnsi="Times New Roman"/>
          <w:sz w:val="20"/>
          <w:szCs w:val="20"/>
          <w:color w:val="auto"/>
        </w:rPr>
        <w:t>executive officers identified pursuant to Item 401(b) of Regulation S-K promulgated under the Exchange Act.</w:t>
      </w:r>
    </w:p>
    <w:p>
      <w:pPr>
        <w:spacing w:after="0" w:line="136"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20"/>
          <w:szCs w:val="20"/>
          <w:color w:val="auto"/>
        </w:rPr>
        <w:t>” means measures that are determined and presented in accordance with the accounting principles used in preparing the Company’s financial statements, and any measures derived wholly or in part from such measures, including Company</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stock price and total stockholder return (“</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A measure need not be presented in the Company’s financial statements or included in a filing with the SEC in order to be a Financial Reporting Measure.</w:t>
      </w:r>
    </w:p>
    <w:p>
      <w:pPr>
        <w:spacing w:after="0" w:line="14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44"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Lookback Period</w:t>
      </w:r>
      <w:r>
        <w:rPr>
          <w:rFonts w:ascii="Times New Roman" w:cs="Times New Roman" w:eastAsia="Times New Roman" w:hAnsi="Times New Roman"/>
          <w:sz w:val="20"/>
          <w:szCs w:val="20"/>
          <w:color w:val="auto"/>
        </w:rPr>
        <w:t>” means the three completed fiscal years immediately preceding the Accounting Restatement Date, as well as any transition period (resulting from a change in the Company’s fiscal year) within or immediately following those three completed fiscal years</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(except that a transition period of at least nine months shall count as a completed fiscal year). Notwithstanding the foregoing, the Lookback Period shall not include fiscal years completed prior to the Effective Date.</w:t>
      </w:r>
    </w:p>
    <w:p>
      <w:pPr>
        <w:spacing w:after="0" w:line="131"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Recoverable Incentive Compensation</w:t>
      </w:r>
      <w:r>
        <w:rPr>
          <w:rFonts w:ascii="Times New Roman" w:cs="Times New Roman" w:eastAsia="Times New Roman" w:hAnsi="Times New Roman"/>
          <w:sz w:val="20"/>
          <w:szCs w:val="20"/>
          <w:color w:val="auto"/>
        </w:rPr>
        <w:t>” means Incentive Compensation received by a Covered Officer during the Lookback Period that exceeds the amount of Incentive Compensation that would have been received had such amount been determined based on the</w:t>
      </w:r>
    </w:p>
    <w:p>
      <w:pPr>
        <w:spacing w:after="0" w:line="213" w:lineRule="auto"/>
        <w:rPr>
          <w:sz w:val="20"/>
          <w:szCs w:val="20"/>
          <w:color w:val="auto"/>
        </w:rPr>
      </w:pPr>
      <w:r>
        <w:rPr>
          <w:rFonts w:ascii="Times New Roman" w:cs="Times New Roman" w:eastAsia="Times New Roman" w:hAnsi="Times New Roman"/>
          <w:sz w:val="20"/>
          <w:szCs w:val="20"/>
          <w:color w:val="auto"/>
        </w:rPr>
        <w:t>Accounting Restatement, computed without regard to any taxes paid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on a gross basis without regard to tax withholdings and other</w:t>
      </w:r>
    </w:p>
    <w:p>
      <w:pPr>
        <w:spacing w:after="0" w:line="204" w:lineRule="auto"/>
        <w:rPr>
          <w:sz w:val="20"/>
          <w:szCs w:val="20"/>
          <w:color w:val="auto"/>
        </w:rPr>
      </w:pPr>
      <w:r>
        <w:rPr>
          <w:rFonts w:ascii="Times New Roman" w:cs="Times New Roman" w:eastAsia="Times New Roman" w:hAnsi="Times New Roman"/>
          <w:sz w:val="20"/>
          <w:szCs w:val="20"/>
          <w:color w:val="auto"/>
        </w:rPr>
        <w:t>deductions). For any compensation plans or programs that take into account Incentive Compensation, the amount of Recoverable Incentive Compensation for purposes of this Policy shall include, without limitation, the amount contributed to any notional account based on</w:t>
      </w:r>
    </w:p>
    <w:p>
      <w:pPr>
        <w:spacing w:after="0" w:line="211" w:lineRule="auto"/>
        <w:rPr>
          <w:sz w:val="20"/>
          <w:szCs w:val="20"/>
          <w:color w:val="auto"/>
        </w:rPr>
      </w:pPr>
      <w:r>
        <w:rPr>
          <w:rFonts w:ascii="Times New Roman" w:cs="Times New Roman" w:eastAsia="Times New Roman" w:hAnsi="Times New Roman"/>
          <w:sz w:val="20"/>
          <w:szCs w:val="20"/>
          <w:color w:val="auto"/>
        </w:rPr>
        <w:t>Recoverable Incentive Compensation and any earnings to date on that notional amount. For any Incentive Compensation that is based on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stock price or TSR, where the Recoverable Incentive Compensation is not subject to mathematical recalculation directly from the information in an Accounting Restatement, the Administrator will determine the amount of Recoverable Incentive Compensation based on a reasonable</w:t>
      </w:r>
    </w:p>
    <w:p>
      <w:pPr>
        <w:spacing w:after="0" w:line="211" w:lineRule="auto"/>
        <w:rPr>
          <w:sz w:val="20"/>
          <w:szCs w:val="20"/>
          <w:color w:val="auto"/>
        </w:rPr>
      </w:pPr>
      <w:r>
        <w:rPr>
          <w:rFonts w:ascii="Times New Roman" w:cs="Times New Roman" w:eastAsia="Times New Roman" w:hAnsi="Times New Roman"/>
          <w:sz w:val="20"/>
          <w:szCs w:val="20"/>
          <w:color w:val="auto"/>
        </w:rPr>
        <w:t>estimate of the effect of the Accounting Restatement on the stock price or TSR upon which the Incentive Compensation was received. The</w:t>
      </w:r>
    </w:p>
    <w:p>
      <w:pPr>
        <w:spacing w:after="0" w:line="221" w:lineRule="auto"/>
        <w:rPr>
          <w:sz w:val="20"/>
          <w:szCs w:val="20"/>
          <w:color w:val="auto"/>
        </w:rPr>
      </w:pPr>
      <w:r>
        <w:rPr>
          <w:rFonts w:ascii="Times New Roman" w:cs="Times New Roman" w:eastAsia="Times New Roman" w:hAnsi="Times New Roman"/>
          <w:sz w:val="20"/>
          <w:szCs w:val="20"/>
          <w:color w:val="auto"/>
        </w:rPr>
        <w:t>Company shall maintain documentation of the determination of that reasonable estimate and provide such documentation to the Exchange in accordance with the Listing Standards.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U.S. Securities and Exchange Commission.</w:t>
      </w:r>
    </w:p>
    <w:p>
      <w:pPr>
        <w:spacing w:after="0" w:line="162"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Recoupment</w:t>
      </w:r>
    </w:p>
    <w:p>
      <w:pPr>
        <w:spacing w:after="0" w:line="161" w:lineRule="exact"/>
        <w:rPr>
          <w:rFonts w:ascii="Times New Roman" w:cs="Times New Roman" w:eastAsia="Times New Roman" w:hAnsi="Times New Roman"/>
          <w:sz w:val="20"/>
          <w:szCs w:val="20"/>
          <w:b w:val="1"/>
          <w:bCs w:val="1"/>
          <w:color w:val="auto"/>
        </w:rPr>
      </w:pPr>
    </w:p>
    <w:p>
      <w:pPr>
        <w:jc w:val="both"/>
        <w:ind w:firstLine="656"/>
        <w:spacing w:after="0" w:line="223" w:lineRule="auto"/>
        <w:tabs>
          <w:tab w:leader="none" w:pos="1284" w:val="left"/>
        </w:tabs>
        <w:numPr>
          <w:ilvl w:val="1"/>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Applicability of Policy. </w:t>
      </w:r>
      <w:r>
        <w:rPr>
          <w:rFonts w:ascii="Times New Roman" w:cs="Times New Roman" w:eastAsia="Times New Roman" w:hAnsi="Times New Roman"/>
          <w:sz w:val="20"/>
          <w:szCs w:val="20"/>
          <w:color w:val="auto"/>
        </w:rPr>
        <w:t>This Policy applies to Incentive Compensation received by a Covered Officer (i) after beginning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spacing w:after="0" w:line="144" w:lineRule="exact"/>
        <w:rPr>
          <w:rFonts w:ascii="Times New Roman" w:cs="Times New Roman" w:eastAsia="Times New Roman" w:hAnsi="Times New Roman"/>
          <w:sz w:val="20"/>
          <w:szCs w:val="20"/>
          <w:b w:val="1"/>
          <w:bCs w:val="1"/>
          <w:color w:val="auto"/>
        </w:rPr>
      </w:pPr>
    </w:p>
    <w:p>
      <w:pPr>
        <w:jc w:val="both"/>
        <w:ind w:firstLine="656"/>
        <w:spacing w:after="0" w:line="228" w:lineRule="auto"/>
        <w:tabs>
          <w:tab w:leader="none" w:pos="1295" w:val="left"/>
        </w:tabs>
        <w:numPr>
          <w:ilvl w:val="1"/>
          <w:numId w:val="4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Recoupment Generally. </w:t>
      </w:r>
      <w:r>
        <w:rPr>
          <w:rFonts w:ascii="Times New Roman" w:cs="Times New Roman" w:eastAsia="Times New Roman" w:hAnsi="Times New Roman"/>
          <w:sz w:val="19"/>
          <w:szCs w:val="19"/>
          <w:color w:val="auto"/>
        </w:rPr>
        <w:t>Pursuant to the provisions of this Policy, if there is an Accounting Restatement, the Company must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31" w:lineRule="exact"/>
        <w:rPr>
          <w:rFonts w:ascii="Times New Roman" w:cs="Times New Roman" w:eastAsia="Times New Roman" w:hAnsi="Times New Roman"/>
          <w:sz w:val="19"/>
          <w:szCs w:val="19"/>
          <w:b w:val="1"/>
          <w:bCs w:val="1"/>
          <w:color w:val="auto"/>
        </w:rPr>
      </w:pPr>
    </w:p>
    <w:p>
      <w:pPr>
        <w:ind w:left="1300" w:hanging="644"/>
        <w:spacing w:after="0"/>
        <w:tabs>
          <w:tab w:leader="none" w:pos="1300" w:val="left"/>
        </w:tabs>
        <w:numPr>
          <w:ilvl w:val="1"/>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Impracticability of Recovery. </w:t>
      </w:r>
      <w:r>
        <w:rPr>
          <w:rFonts w:ascii="Times New Roman" w:cs="Times New Roman" w:eastAsia="Times New Roman" w:hAnsi="Times New Roman"/>
          <w:sz w:val="20"/>
          <w:szCs w:val="20"/>
          <w:color w:val="auto"/>
        </w:rPr>
        <w:t>Recoupment may be determined to be impracticable if, and only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4" w:right="339" w:bottom="1440" w:gutter="0" w:footer="0" w:header="0"/>
        </w:sectPr>
      </w:pPr>
    </w:p>
    <w:bookmarkStart w:id="106" w:name="page107"/>
    <w:bookmarkEnd w:id="106"/>
    <w:p>
      <w:pPr>
        <w:jc w:val="both"/>
        <w:ind w:left="660" w:firstLine="644"/>
        <w:spacing w:after="0" w:line="220" w:lineRule="auto"/>
        <w:tabs>
          <w:tab w:leader="none" w:pos="1954"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spacing w:after="0" w:line="133"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5"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42" w:lineRule="exact"/>
        <w:rPr>
          <w:rFonts w:ascii="Times New Roman" w:cs="Times New Roman" w:eastAsia="Times New Roman" w:hAnsi="Times New Roman"/>
          <w:sz w:val="20"/>
          <w:szCs w:val="20"/>
          <w:color w:val="auto"/>
        </w:rPr>
      </w:pPr>
    </w:p>
    <w:p>
      <w:pPr>
        <w:jc w:val="both"/>
        <w:ind w:firstLine="656"/>
        <w:spacing w:after="0" w:line="211" w:lineRule="auto"/>
        <w:tabs>
          <w:tab w:leader="none" w:pos="1295" w:val="left"/>
        </w:tabs>
        <w:numPr>
          <w:ilvl w:val="1"/>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Sources of Recoupment. </w:t>
      </w:r>
      <w:r>
        <w:rPr>
          <w:rFonts w:ascii="Times New Roman" w:cs="Times New Roman" w:eastAsia="Times New Roman" w:hAnsi="Times New Roman"/>
          <w:sz w:val="20"/>
          <w:szCs w:val="20"/>
          <w:color w:val="auto"/>
        </w:rPr>
        <w:t>To the extent permitted by applicable law, the Administrator shall, in its sole discretion, determine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138" w:lineRule="exact"/>
        <w:rPr>
          <w:rFonts w:ascii="Times New Roman" w:cs="Times New Roman" w:eastAsia="Times New Roman" w:hAnsi="Times New Roman"/>
          <w:sz w:val="20"/>
          <w:szCs w:val="20"/>
          <w:b w:val="1"/>
          <w:bCs w:val="1"/>
          <w:color w:val="auto"/>
        </w:rPr>
      </w:pPr>
    </w:p>
    <w:p>
      <w:pPr>
        <w:jc w:val="both"/>
        <w:ind w:firstLine="656"/>
        <w:spacing w:after="0" w:line="223" w:lineRule="auto"/>
        <w:tabs>
          <w:tab w:leader="none" w:pos="1286" w:val="left"/>
        </w:tabs>
        <w:numPr>
          <w:ilvl w:val="1"/>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Indemnification of Covered Officers. </w:t>
      </w:r>
      <w:r>
        <w:rPr>
          <w:rFonts w:ascii="Times New Roman" w:cs="Times New Roman" w:eastAsia="Times New Roman" w:hAnsi="Times New Roman"/>
          <w:sz w:val="20"/>
          <w:szCs w:val="20"/>
          <w:color w:val="auto"/>
        </w:rPr>
        <w:t>Notwithstanding any indemnification agreement, applicable insurance policy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130" w:lineRule="exact"/>
        <w:rPr>
          <w:rFonts w:ascii="Times New Roman" w:cs="Times New Roman" w:eastAsia="Times New Roman" w:hAnsi="Times New Roman"/>
          <w:sz w:val="20"/>
          <w:szCs w:val="20"/>
          <w:b w:val="1"/>
          <w:bCs w:val="1"/>
          <w:color w:val="auto"/>
        </w:rPr>
      </w:pPr>
    </w:p>
    <w:p>
      <w:pPr>
        <w:jc w:val="both"/>
        <w:ind w:firstLine="656"/>
        <w:spacing w:after="0" w:line="220" w:lineRule="auto"/>
        <w:tabs>
          <w:tab w:leader="none" w:pos="1291" w:val="left"/>
        </w:tabs>
        <w:numPr>
          <w:ilvl w:val="1"/>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of Administrator. </w:t>
      </w:r>
      <w:r>
        <w:rPr>
          <w:rFonts w:ascii="Times New Roman" w:cs="Times New Roman" w:eastAsia="Times New Roman" w:hAnsi="Times New Roman"/>
          <w:sz w:val="20"/>
          <w:szCs w:val="20"/>
          <w:color w:val="auto"/>
        </w:rPr>
        <w:t>Any members of the Administrator, and any other members of the Board who assist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33" w:lineRule="exact"/>
        <w:rPr>
          <w:rFonts w:ascii="Times New Roman" w:cs="Times New Roman" w:eastAsia="Times New Roman" w:hAnsi="Times New Roman"/>
          <w:sz w:val="20"/>
          <w:szCs w:val="20"/>
          <w:b w:val="1"/>
          <w:bCs w:val="1"/>
          <w:color w:val="auto"/>
        </w:rPr>
      </w:pPr>
    </w:p>
    <w:p>
      <w:pPr>
        <w:jc w:val="both"/>
        <w:ind w:firstLine="656"/>
        <w:spacing w:after="0" w:line="223" w:lineRule="auto"/>
        <w:tabs>
          <w:tab w:leader="none" w:pos="1284" w:val="left"/>
        </w:tabs>
        <w:numPr>
          <w:ilvl w:val="1"/>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“Good Reason” for Covered Officers. </w:t>
      </w:r>
      <w:r>
        <w:rPr>
          <w:rFonts w:ascii="Times New Roman" w:cs="Times New Roman" w:eastAsia="Times New Roman" w:hAnsi="Times New Roman"/>
          <w:sz w:val="20"/>
          <w:szCs w:val="20"/>
          <w:color w:val="auto"/>
        </w:rPr>
        <w:t>Any action by the Company to recoup or any recoupment of Recoverable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44"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Except as specifically set forth herein, this Policy shall be administered by the Administrator. The Administrator shall have full and</w:t>
      </w:r>
    </w:p>
    <w:p>
      <w:pPr>
        <w:spacing w:after="0" w:line="215" w:lineRule="auto"/>
        <w:rPr>
          <w:sz w:val="20"/>
          <w:szCs w:val="20"/>
          <w:color w:val="auto"/>
        </w:rPr>
      </w:pPr>
      <w:r>
        <w:rPr>
          <w:rFonts w:ascii="Times New Roman" w:cs="Times New Roman" w:eastAsia="Times New Roman" w:hAnsi="Times New Roman"/>
          <w:sz w:val="19"/>
          <w:szCs w:val="19"/>
          <w:color w:val="auto"/>
        </w:rPr>
        <w:t>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w:t>
      </w:r>
    </w:p>
    <w:p>
      <w:pPr>
        <w:spacing w:after="0" w:line="211" w:lineRule="auto"/>
        <w:rPr>
          <w:sz w:val="20"/>
          <w:szCs w:val="20"/>
          <w:color w:val="auto"/>
        </w:rPr>
      </w:pPr>
      <w:r>
        <w:rPr>
          <w:rFonts w:ascii="Times New Roman" w:cs="Times New Roman" w:eastAsia="Times New Roman" w:hAnsi="Times New Roman"/>
          <w:sz w:val="20"/>
          <w:szCs w:val="20"/>
          <w:color w:val="auto"/>
        </w:rPr>
        <w:t>Policy. In carrying out the administration of this Policy, the Administrator is authorized and directed to consult with the full Board or such</w:t>
      </w:r>
    </w:p>
    <w:p>
      <w:pPr>
        <w:spacing w:after="0" w:line="221" w:lineRule="auto"/>
        <w:rPr>
          <w:sz w:val="20"/>
          <w:szCs w:val="20"/>
          <w:color w:val="auto"/>
        </w:rPr>
      </w:pPr>
      <w:r>
        <w:rPr>
          <w:rFonts w:ascii="Times New Roman" w:cs="Times New Roman" w:eastAsia="Times New Roman" w:hAnsi="Times New Roman"/>
          <w:sz w:val="20"/>
          <w:szCs w:val="20"/>
          <w:color w:val="auto"/>
        </w:rPr>
        <w:t>other committees of the Board as may be necessary or appropriate as to matters within the scope of such other committee’s responsibility and authority. Subject to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9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color w:val="auto"/>
        </w:rPr>
        <w:t>law, the Administrator may authorize and empower any officer or employee of the Company to take any and all actions that the</w:t>
      </w:r>
    </w:p>
    <w:p>
      <w:pPr>
        <w:spacing w:after="0" w:line="221" w:lineRule="auto"/>
        <w:rPr>
          <w:sz w:val="20"/>
          <w:szCs w:val="20"/>
          <w:color w:val="auto"/>
        </w:rPr>
      </w:pPr>
      <w:r>
        <w:rPr>
          <w:rFonts w:ascii="Times New Roman" w:cs="Times New Roman" w:eastAsia="Times New Roman" w:hAnsi="Times New Roman"/>
          <w:sz w:val="20"/>
          <w:szCs w:val="20"/>
          <w:color w:val="auto"/>
        </w:rPr>
        <w:t>Administrator, in its sole discretion, deems necessary or appropriate to carry out the purpose and intent of this Policy (other than with respect to any recovery under this Policy involving such officer or employee).</w:t>
      </w:r>
    </w:p>
    <w:p>
      <w:pPr>
        <w:spacing w:after="0" w:line="144"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If any provision of this Policy or the application of any such provision to a Covered Officer shall be adjudicated to be invalid, illegal</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unenforceable in any respect, such invalidity, illegality or unenforceability shall not affect any other provisions of this Policy, and the invalid, illegal or unenforceable provisions shall be deemed amended to the minimum extent necessary to render any such provision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application enforceable.</w:t>
      </w:r>
    </w:p>
    <w:p>
      <w:pPr>
        <w:spacing w:after="0" w:line="136"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Impairment of Other Remedies</w:t>
      </w:r>
    </w:p>
    <w:p>
      <w:pPr>
        <w:spacing w:after="0" w:line="17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w:t>
      </w:r>
    </w:p>
    <w:p>
      <w:pPr>
        <w:spacing w:after="0" w:line="212" w:lineRule="auto"/>
        <w:rPr>
          <w:sz w:val="20"/>
          <w:szCs w:val="20"/>
          <w:color w:val="auto"/>
        </w:rPr>
      </w:pPr>
      <w:r>
        <w:rPr>
          <w:rFonts w:ascii="Times New Roman" w:cs="Times New Roman" w:eastAsia="Times New Roman" w:hAnsi="Times New Roman"/>
          <w:sz w:val="20"/>
          <w:szCs w:val="20"/>
          <w:color w:val="auto"/>
        </w:rPr>
        <w:t>omissions by the Covered Officer. This Policy does not preclude the Company from taking any other action to enforce a Covered Officer’s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obligations to the Company, including, without limitation, termination of employment and/or institution of civil proceedings. This Policy is in addition to the requirements of Section 304 of the Sarbanes-Oxley Act of 2002 (“</w:t>
      </w:r>
      <w:r>
        <w:rPr>
          <w:rFonts w:ascii="Times New Roman" w:cs="Times New Roman" w:eastAsia="Times New Roman" w:hAnsi="Times New Roman"/>
          <w:sz w:val="20"/>
          <w:szCs w:val="20"/>
          <w:b w:val="1"/>
          <w:bCs w:val="1"/>
          <w:i w:val="1"/>
          <w:iCs w:val="1"/>
          <w:color w:val="auto"/>
        </w:rPr>
        <w:t>SOX 304</w:t>
      </w:r>
      <w:r>
        <w:rPr>
          <w:rFonts w:ascii="Times New Roman" w:cs="Times New Roman" w:eastAsia="Times New Roman" w:hAnsi="Times New Roman"/>
          <w:sz w:val="20"/>
          <w:szCs w:val="20"/>
          <w:color w:val="auto"/>
        </w:rPr>
        <w:t>”) that are applicable to the Company’s Chief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Executive Officer and Chief Financial Officer and to any other compensation recoupment policy and/or similar provisions in any employment, equity plan, equity award, or other individual agreement, to which the Company is a party or which the Company has adopted</w:t>
      </w:r>
    </w:p>
    <w:p>
      <w:pPr>
        <w:spacing w:after="0" w:line="223" w:lineRule="auto"/>
        <w:rPr>
          <w:sz w:val="20"/>
          <w:szCs w:val="20"/>
          <w:color w:val="auto"/>
        </w:rPr>
      </w:pPr>
      <w:r>
        <w:rPr>
          <w:rFonts w:ascii="Times New Roman" w:cs="Times New Roman" w:eastAsia="Times New Roman" w:hAnsi="Times New Roman"/>
          <w:sz w:val="19"/>
          <w:szCs w:val="19"/>
          <w:color w:val="auto"/>
        </w:rPr>
        <w:t>or may adopt and maintain from time to time; provided, however, that compensation recouped pursuant to this Policy shall not be duplicative</w:t>
      </w:r>
    </w:p>
    <w:p>
      <w:pPr>
        <w:spacing w:after="0" w:line="221" w:lineRule="auto"/>
        <w:rPr>
          <w:sz w:val="20"/>
          <w:szCs w:val="20"/>
          <w:color w:val="auto"/>
        </w:rPr>
      </w:pPr>
      <w:r>
        <w:rPr>
          <w:rFonts w:ascii="Times New Roman" w:cs="Times New Roman" w:eastAsia="Times New Roman" w:hAnsi="Times New Roman"/>
          <w:sz w:val="20"/>
          <w:szCs w:val="20"/>
          <w:color w:val="auto"/>
        </w:rPr>
        <w:t>of compensation recouped pursuant to SOX 304 or any such compensation recoupment policy and/or similar provisions in any such employment, equity plan, equity award, or other individual agreement except as may be required by law.</w:t>
      </w:r>
    </w:p>
    <w:p>
      <w:pPr>
        <w:spacing w:after="0" w:line="144"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Termination</w:t>
      </w:r>
    </w:p>
    <w:p>
      <w:pPr>
        <w:spacing w:after="0" w:line="166"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30"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Successors</w:t>
      </w:r>
    </w:p>
    <w:p>
      <w:pPr>
        <w:spacing w:after="0" w:line="166"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3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Required Filings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Company shall make any disclosures and filings with respect to this Policy that are required by law, including as required by the</w:t>
      </w:r>
    </w:p>
    <w:p>
      <w:pPr>
        <w:spacing w:after="0"/>
        <w:rPr>
          <w:sz w:val="20"/>
          <w:szCs w:val="20"/>
          <w:color w:val="auto"/>
        </w:rPr>
      </w:pPr>
      <w:r>
        <w:rPr>
          <w:rFonts w:ascii="Times New Roman" w:cs="Times New Roman" w:eastAsia="Times New Roman" w:hAnsi="Times New Roman"/>
          <w:sz w:val="20"/>
          <w:szCs w:val="20"/>
          <w:color w:val="auto"/>
        </w:rPr>
        <w:t>SEC.</w:t>
      </w:r>
    </w:p>
    <w:p>
      <w:pPr>
        <w:spacing w:after="0" w:line="153" w:lineRule="exact"/>
        <w:rPr>
          <w:sz w:val="20"/>
          <w:szCs w:val="20"/>
          <w:color w:val="auto"/>
        </w:rPr>
      </w:pPr>
    </w:p>
    <w:p>
      <w:pPr>
        <w:jc w:val="center"/>
        <w:spacing w:after="0"/>
        <w:tabs>
          <w:tab w:leader="none" w:pos="180" w:val="left"/>
          <w:tab w:leader="none" w:pos="180" w:val="left"/>
          <w:tab w:leader="none" w:pos="180" w:val="left"/>
          <w:tab w:leader="none" w:pos="160" w:val="left"/>
        </w:tabs>
        <w:rPr>
          <w:sz w:val="20"/>
          <w:szCs w:val="20"/>
          <w:color w:val="auto"/>
        </w:rPr>
      </w:pPr>
      <w:r>
        <w:rPr>
          <w:rFonts w:ascii="Times New Roman" w:cs="Times New Roman" w:eastAsia="Times New Roman" w:hAnsi="Times New Roman"/>
          <w:sz w:val="20"/>
          <w:szCs w:val="20"/>
          <w:color w:val="auto"/>
        </w:rPr>
        <w:t>*</w:t>
        <w:tab/>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94"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Datadog,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 Compensation Recoupment Policy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Executive Acknowledgment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I, the undersigned, agree and acknowledge that I am bound by, and subject to, the Datadog, Inc. Incentive Compensation Recoupment Policy, as may be amended, restated, supplemented or otherwise modified from time to time (the “</w:t>
      </w:r>
      <w:r>
        <w:rPr>
          <w:rFonts w:ascii="Times New Roman" w:cs="Times New Roman" w:eastAsia="Times New Roman" w:hAnsi="Times New Roman"/>
          <w:sz w:val="19"/>
          <w:szCs w:val="19"/>
          <w:b w:val="1"/>
          <w:bCs w:val="1"/>
          <w:i w:val="1"/>
          <w:iCs w:val="1"/>
          <w:color w:val="auto"/>
        </w:rPr>
        <w:t>Policy</w:t>
      </w:r>
      <w:r>
        <w:rPr>
          <w:rFonts w:ascii="Times New Roman" w:cs="Times New Roman" w:eastAsia="Times New Roman" w:hAnsi="Times New Roman"/>
          <w:sz w:val="19"/>
          <w:szCs w:val="19"/>
          <w:color w:val="auto"/>
        </w:rPr>
        <w:t>”). In the event of any inconsistency</w:t>
      </w:r>
    </w:p>
    <w:p>
      <w:pPr>
        <w:spacing w:after="0" w:line="211" w:lineRule="auto"/>
        <w:rPr>
          <w:sz w:val="20"/>
          <w:szCs w:val="20"/>
          <w:color w:val="auto"/>
        </w:rPr>
      </w:pPr>
      <w:r>
        <w:rPr>
          <w:rFonts w:ascii="Times New Roman" w:cs="Times New Roman" w:eastAsia="Times New Roman" w:hAnsi="Times New Roman"/>
          <w:sz w:val="20"/>
          <w:szCs w:val="20"/>
          <w:color w:val="auto"/>
        </w:rPr>
        <w:t>between the Policy and the terms of any employment agreement, offer letter or other individual agreement with Datadog, Inc.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to which I am a party, or the terms of any compensation plan, program or agreement, whether or not written, under which any compensation has been granted, awarded, earned or paid to me, the terms of the Policy shall govern.</w:t>
      </w:r>
    </w:p>
    <w:p>
      <w:pPr>
        <w:spacing w:after="0" w:line="148"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and/or reimbursement. I further agree and acknowledge that I am not entitled to indemnification, and hereby waive any right to advancement of expenses, in connection with any enforcement of the Policy by the Company.</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Agreed and Acknowledged: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sectPr>
      <w:pgSz w:w="11900" w:h="16838" w:orient="portrait"/>
      <w:cols w:equalWidth="0" w:num="1">
        <w:col w:w="11240"/>
      </w:cols>
      <w:pgMar w:left="320" w:top="13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3"/>
    </w:lvl>
  </w:abstractNum>
  <w:abstractNum w:abstractNumId="28">
    <w:nsid w:val="2D517796"/>
    <w:multiLevelType w:val="hybridMultilevel"/>
    <w:lvl w:ilvl="0">
      <w:lvlJc w:val="left"/>
      <w:lvlText w:val="(%1)"/>
      <w:numFmt w:val="decimal"/>
      <w:start w:val="4"/>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
      <w:numFmt w:val="bullet"/>
      <w:start w:val="1"/>
    </w:lvl>
    <w:lvl w:ilvl="1">
      <w:lvlJc w:val="left"/>
      <w:lvlText w:val="•"/>
      <w:numFmt w:val="bullet"/>
      <w:start w:val="1"/>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1."/>
      <w:numFmt w:val="decimal"/>
      <w:start w:val="1"/>
    </w:lvl>
    <w:lvl w:ilvl="1">
      <w:lvlJc w:val="left"/>
      <w:lvlText w:val="%2)"/>
      <w:numFmt w:val="lowerLetter"/>
      <w:start w:val="1"/>
    </w:lvl>
  </w:abstractNum>
  <w:abstractNum w:abstractNumId="39">
    <w:nsid w:val="7A6D8D3C"/>
    <w:multiLevelType w:val="hybridMultilevel"/>
    <w:lvl w:ilvl="0">
      <w:lvlJc w:val="left"/>
      <w:lvlText w:val="%1."/>
      <w:numFmt w:val="decimal"/>
      <w:start w:val="1"/>
    </w:lvl>
    <w:lvl w:ilvl="1">
      <w:lvlJc w:val="left"/>
      <w:lvlText w:val="%2)"/>
      <w:numFmt w:val="lowerLetter"/>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2"/>
    </w:lvl>
  </w:abstractNum>
  <w:abstractNum w:abstractNumId="42">
    <w:nsid w:val="6DE91B18"/>
    <w:multiLevelType w:val="hybridMultilevel"/>
    <w:lvl w:ilvl="0">
      <w:lvlJc w:val="left"/>
      <w:lvlText w:val="%1."/>
      <w:numFmt w:val="decimal"/>
      <w:start w:val="3"/>
    </w:lvl>
  </w:abstractNum>
  <w:abstractNum w:abstractNumId="43">
    <w:nsid w:val="38437FDB"/>
    <w:multiLevelType w:val="hybridMultilevel"/>
    <w:lvl w:ilvl="0">
      <w:lvlJc w:val="left"/>
      <w:lvlText w:val="%1."/>
      <w:numFmt w:val="decimal"/>
      <w:start w:val="4"/>
    </w:lvl>
    <w:lvl w:ilvl="1">
      <w:lvlJc w:val="left"/>
      <w:lvlText w:val="(%2)"/>
      <w:numFmt w:val="lowerLetter"/>
      <w:start w:val="1"/>
    </w:lvl>
  </w:abstractNum>
  <w:abstractNum w:abstractNumId="44">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5">
    <w:nsid w:val="32FFF90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6">
    <w:nsid w:val="684A481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7">
    <w:nsid w:val="579478FE"/>
    <w:multiLevelType w:val="hybridMultilevel"/>
    <w:lvl w:ilvl="0">
      <w:lvlJc w:val="left"/>
      <w:lvlText w:val="%1."/>
      <w:numFmt w:val="decimal"/>
      <w:start w:val="6"/>
    </w:lvl>
  </w:abstractNum>
  <w:abstractNum w:abstractNumId="48">
    <w:nsid w:val="749ABB43"/>
    <w:multiLevelType w:val="hybridMultilevel"/>
    <w:lvl w:ilvl="0">
      <w:lvlJc w:val="left"/>
      <w:lvlText w:val="%1."/>
      <w:numFmt w:val="decimal"/>
      <w:start w:val="7"/>
    </w:lvl>
  </w:abstractNum>
  <w:abstractNum w:abstractNumId="49">
    <w:nsid w:val="3DC240FB"/>
    <w:multiLevelType w:val="hybridMultilevel"/>
    <w:lvl w:ilvl="0">
      <w:lvlJc w:val="left"/>
      <w:lvlText w:val="%1."/>
      <w:numFmt w:val="decimal"/>
      <w:start w:val="8"/>
    </w:lvl>
  </w:abstractNum>
  <w:abstractNum w:abstractNumId="50">
    <w:nsid w:val="1BA026FA"/>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14" Type="http://schemas.openxmlformats.org/officeDocument/2006/relationships/hyperlink" Target="https://www.sec.gov/Archives/edgar/data/1561550/000119312519252279/d803834dex31.htm" TargetMode="External"/><Relationship Id="rId115" Type="http://schemas.openxmlformats.org/officeDocument/2006/relationships/hyperlink" Target="https://www.sec.gov/Archives/edgar/data/1561550/000119312519227783/d745413dex34.htm" TargetMode="External"/><Relationship Id="rId116" Type="http://schemas.openxmlformats.org/officeDocument/2006/relationships/hyperlink" Target="https://www.sec.gov/Archives/edgar/data/1561550/000119312519240411/d745413dex41.htm" TargetMode="External"/><Relationship Id="rId117" Type="http://schemas.openxmlformats.org/officeDocument/2006/relationships/hyperlink" Target="https://www.sec.gov/Archives/edgar/data/1561550/000156459020006422/ddog-ex42_225.htm" TargetMode="External"/><Relationship Id="rId118" Type="http://schemas.openxmlformats.org/officeDocument/2006/relationships/hyperlink" Target="https://www.sec.gov/Archives/edgar/data/1561550/000119312520158639/d202955dex41.htm" TargetMode="External"/><Relationship Id="rId119" Type="http://schemas.openxmlformats.org/officeDocument/2006/relationships/hyperlink" Target="https://www.sec.gov/Archives/edgar/data/1561550/000119312519227783/d745413dex101.htm" TargetMode="External"/><Relationship Id="rId120" Type="http://schemas.openxmlformats.org/officeDocument/2006/relationships/hyperlink" Target="https://www.sec.gov/Archives/edgar/data/1561550/000119312519227783/d745413dex102.htm" TargetMode="External"/><Relationship Id="rId121" Type="http://schemas.openxmlformats.org/officeDocument/2006/relationships/hyperlink" Target="https://www.sec.gov/Archives/edgar/data/1561550/000119312519240411/d745413dex103.htm" TargetMode="External"/><Relationship Id="rId122" Type="http://schemas.openxmlformats.org/officeDocument/2006/relationships/hyperlink" Target="https://www.sec.gov/Archives/edgar/data/1561550/000119312519240411/d745413dex104.htm" TargetMode="External"/><Relationship Id="rId123" Type="http://schemas.openxmlformats.org/officeDocument/2006/relationships/hyperlink" Target="https://www.sec.gov/Archives/edgar/data/1561550/000156155022000038/datadog-performancestockun.htm" TargetMode="External"/><Relationship Id="rId126" Type="http://schemas.openxmlformats.org/officeDocument/2006/relationships/hyperlink" Target="https://www.sec.gov/Archives/edgar/data/1561550/000119312519240411/d745413dex105.htm" TargetMode="External"/><Relationship Id="rId127" Type="http://schemas.openxmlformats.org/officeDocument/2006/relationships/hyperlink" Target="https://www.sec.gov/Archives/edgar/data/1561550/000119312519240411/d745413dex106.htm" TargetMode="External"/><Relationship Id="rId128" Type="http://schemas.openxmlformats.org/officeDocument/2006/relationships/hyperlink" Target="https://www.sec.gov/Archives/edgar/data/1561550/000119312519240411/d745413dex107.htm" TargetMode="External"/><Relationship Id="rId129" Type="http://schemas.openxmlformats.org/officeDocument/2006/relationships/hyperlink" Target="https://www.sec.gov/Archives/edgar/data/1561550/000156155021000007/ex-101x20210331x10q.htm" TargetMode="External"/><Relationship Id="rId130" Type="http://schemas.openxmlformats.org/officeDocument/2006/relationships/hyperlink" Target="https://www.sec.gov/Archives/edgar/data/1561550/000156155021000007/ex-102x20210331x10q.htm" TargetMode="External"/><Relationship Id="rId131" Type="http://schemas.openxmlformats.org/officeDocument/2006/relationships/hyperlink" Target="https://www.sec.gov/Archives/edgar/data/1561550/000156155022000026/ex-101x20220331x10q.htm" TargetMode="External"/><Relationship Id="rId132" Type="http://schemas.openxmlformats.org/officeDocument/2006/relationships/hyperlink" Target="https://www.sec.gov/Archives/edgar/data/1561550/000156155023000006/ddog-20221231xex1012.htm" TargetMode="External"/><Relationship Id="rId133" Type="http://schemas.openxmlformats.org/officeDocument/2006/relationships/hyperlink" Target="https://www.sec.gov/Archives/edgar/data/0001561550/000119312519227783/d745413dex109.htm" TargetMode="External"/><Relationship Id="rId134" Type="http://schemas.openxmlformats.org/officeDocument/2006/relationships/hyperlink" Target="https://www.sec.gov/Archives/edgar/data/0001561550/000119312519227783/d745413dex1010.htm" TargetMode="External"/><Relationship Id="rId135" Type="http://schemas.openxmlformats.org/officeDocument/2006/relationships/hyperlink" Target="https://www.sec.gov/Archives/edgar/data/1561550/000156155023000039/exhibit101-amendedandresta.htm" TargetMode="External"/><Relationship Id="rId136" Type="http://schemas.openxmlformats.org/officeDocument/2006/relationships/hyperlink" Target="https://www.sec.gov/Archives/edgar/data/0001561550/000119312519240411/d745413dex1013.htm" TargetMode="External"/><Relationship Id="rId137" Type="http://schemas.openxmlformats.org/officeDocument/2006/relationships/hyperlink" Target="https://www.sec.gov/Archives/edgar/data/1561550/000119312520158639/d202955dex101.htm" TargetMode="External"/><Relationship Id="rId138" Type="http://schemas.openxmlformats.org/officeDocument/2006/relationships/hyperlink" Target="https://www.sec.gov/Archives/edgar/data/1561550/000156459021009770/ddog-ex1014_433.htm" TargetMode="External"/><Relationship Id="rId139" Type="http://schemas.openxmlformats.org/officeDocument/2006/relationships/hyperlink" Target="https://www.sec.gov/Archives/edgar/data/1561550/000156155022000038/datadog-leaseatnewyorkti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2024-02-23T07:46:08Z</dcterms:created>
  <dcterms:modified xsi:type="dcterms:W3CDTF">2024-02-23T07:46:08Z</dcterms:modified>
</cp:coreProperties>
</file>