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80" w:hanging="3652"/>
        <w:spacing w:after="0" w:line="376"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5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38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r>
      <w:tr>
        <w:trPr>
          <w:trHeight w:val="331"/>
        </w:trPr>
        <w:tc>
          <w:tcPr>
            <w:tcW w:w="3600" w:type="dxa"/>
            <w:vAlign w:val="bottom"/>
            <w:gridSpan w:val="4"/>
          </w:tcPr>
          <w:p>
            <w:pPr>
              <w:ind w:left="38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434"/>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gridSpan w:val="2"/>
          </w:tcPr>
          <w:p>
            <w:pPr>
              <w:jc w:val="center"/>
              <w:ind w:right="760"/>
              <w:spacing w:after="0"/>
              <w:rPr>
                <w:sz w:val="20"/>
                <w:szCs w:val="20"/>
                <w:color w:val="auto"/>
              </w:rPr>
            </w:pPr>
            <w:r>
              <w:rPr>
                <w:rFonts w:ascii="Arial" w:cs="Arial" w:eastAsia="Arial" w:hAnsi="Arial"/>
                <w:sz w:val="36"/>
                <w:szCs w:val="36"/>
                <w:b w:val="1"/>
                <w:bCs w:val="1"/>
                <w:color w:val="auto"/>
                <w:w w:val="91"/>
              </w:rPr>
              <w:t>Datadog, Inc.</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980" w:type="dxa"/>
            <w:vAlign w:val="bottom"/>
            <w:gridSpan w:val="2"/>
            <w:vMerge w:val="restart"/>
          </w:tcPr>
          <w:p>
            <w:pPr>
              <w:jc w:val="center"/>
              <w:ind w:left="1499"/>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740" w:type="dxa"/>
            <w:vAlign w:val="bottom"/>
            <w:vMerge w:val="restart"/>
          </w:tcPr>
          <w:p>
            <w:pPr>
              <w:jc w:val="right"/>
              <w:ind w:right="2284"/>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376"/>
        </w:trPr>
        <w:tc>
          <w:tcPr>
            <w:tcW w:w="39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left="14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499"/>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0"/>
              </w:rPr>
              <w:t>620 8th Avenue, 45th Floor</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5"/>
              </w:rPr>
              <w:t>New York, NY</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jc w:val="right"/>
              <w:ind w:right="2484"/>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6"/>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5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gridSpan w:val="2"/>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740"/>
              <w:spacing w:after="0"/>
              <w:rPr>
                <w:sz w:val="20"/>
                <w:szCs w:val="20"/>
                <w:color w:val="auto"/>
              </w:rPr>
            </w:pPr>
            <w:r>
              <w:rPr>
                <w:rFonts w:ascii="Arial" w:cs="Arial" w:eastAsia="Arial" w:hAnsi="Arial"/>
                <w:sz w:val="14"/>
                <w:szCs w:val="14"/>
                <w:color w:val="auto"/>
                <w:w w:val="99"/>
              </w:rPr>
              <w:t>DDOG</w:t>
            </w:r>
          </w:p>
        </w:tc>
        <w:tc>
          <w:tcPr>
            <w:tcW w:w="3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0" w:type="dxa"/>
            <w:vAlign w:val="bottom"/>
            <w:tcBorders>
              <w:right w:val="single" w:sz="8" w:color="auto"/>
            </w:tcBorders>
            <w:gridSpan w:val="2"/>
            <w:vMerge w:val="continue"/>
          </w:tcPr>
          <w:p>
            <w:pPr>
              <w:spacing w:after="0"/>
              <w:rPr>
                <w:sz w:val="8"/>
                <w:szCs w:val="8"/>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As of November 2, 2020, there were 208,048,784 shares of the registrant’s Class A common stock and 96,483,565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9"/>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9600" w:type="dxa"/>
            <w:vAlign w:val="bottom"/>
            <w:gridSpan w:val="9"/>
            <w:vMerge w:val="continue"/>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and December 31, 2019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93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September 30, 2020 and September 30,</w:t>
              </w:r>
            </w:hyperlink>
          </w:p>
        </w:tc>
        <w:tc>
          <w:tcPr>
            <w:tcW w:w="2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2019 (unaudited)</w:t>
              </w:r>
            </w:hyperlink>
          </w:p>
        </w:tc>
        <w:tc>
          <w:tcPr>
            <w:tcW w:w="8360" w:type="dxa"/>
            <w:vAlign w:val="bottom"/>
            <w:gridSpan w:val="7"/>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3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 the Three and Nine Months Ended September 30, 2020</w:t>
              </w:r>
            </w:hyperlink>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and 2019 (unaudited)</w:t>
              </w:r>
            </w:hyperlink>
          </w:p>
        </w:tc>
        <w:tc>
          <w:tcPr>
            <w:tcW w:w="8060" w:type="dxa"/>
            <w:vAlign w:val="bottom"/>
            <w:gridSpan w:val="6"/>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 of Convertible Preferred Stock and Stockholders’ Equity (Deficit) for the Three and Nine</w:t>
              </w:r>
            </w:hyperlink>
          </w:p>
        </w:tc>
        <w:tc>
          <w:tcPr>
            <w:tcW w:w="5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2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Months Ended September 30, 2020 and September 30, 2019 (unaudited)</w:t>
              </w:r>
            </w:hyperlink>
          </w:p>
        </w:tc>
        <w:tc>
          <w:tcPr>
            <w:tcW w:w="4380" w:type="dxa"/>
            <w:vAlign w:val="bottom"/>
            <w:gridSpan w:val="5"/>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0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Condensed Consolidated Statements of Cash Flows for the Nine Months Ended September 30, 2020 and September 30, 2019</w:t>
              </w:r>
            </w:hyperlink>
          </w:p>
        </w:tc>
        <w:tc>
          <w:tcPr>
            <w:tcW w:w="5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00" w:type="dxa"/>
            <w:vAlign w:val="bottom"/>
            <w:gridSpan w:val="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(unaudited)</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78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600" w:type="dxa"/>
            <w:vAlign w:val="bottom"/>
            <w:gridSpan w:val="9"/>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Condensed Consolidated Financial Statements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9"/>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9"/>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9"/>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Unregistered Sales of Equity Securities and Use of Proceeds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9"/>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Defaults Upon Senior Securities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9"/>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Mine Safety Disclosures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9"/>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9"/>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0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Signatures</w:t>
              </w:r>
            </w:hyperlink>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75"/>
        </w:trPr>
        <w:tc>
          <w:tcPr>
            <w:tcW w:w="1020" w:type="dxa"/>
            <w:vAlign w:val="bottom"/>
          </w:tcPr>
          <w:p>
            <w:pPr>
              <w:spacing w:after="0"/>
              <w:rPr>
                <w:sz w:val="24"/>
                <w:szCs w:val="24"/>
                <w:color w:val="auto"/>
              </w:rPr>
            </w:pPr>
          </w:p>
        </w:tc>
        <w:tc>
          <w:tcPr>
            <w:tcW w:w="5220" w:type="dxa"/>
            <w:vAlign w:val="bottom"/>
            <w:gridSpan w:val="4"/>
          </w:tcPr>
          <w:p>
            <w:pPr>
              <w:ind w:left="4560"/>
              <w:spacing w:after="0"/>
              <w:rPr>
                <w:sz w:val="20"/>
                <w:szCs w:val="20"/>
                <w:color w:val="auto"/>
              </w:rPr>
            </w:pPr>
            <w:r>
              <w:rPr>
                <w:rFonts w:ascii="Arial" w:cs="Arial" w:eastAsia="Arial" w:hAnsi="Arial"/>
                <w:sz w:val="18"/>
                <w:szCs w:val="18"/>
                <w:color w:val="auto"/>
              </w:rPr>
              <w:t>1</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0"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ongoing COVID-19 pandemic on our business, results of operations and financial condition.</w:t>
      </w:r>
    </w:p>
    <w:p>
      <w:pPr>
        <w:spacing w:after="0" w:line="2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5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91"/>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4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198,523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597,297</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1,296,261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176,674</w:t>
            </w:r>
          </w:p>
        </w:tc>
      </w:tr>
      <w:tr>
        <w:trPr>
          <w:trHeight w:val="215"/>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losses of $2,589 and $817 as of</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2020 and December 31, 2019, respectively</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120,992</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102,394</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Deferred contract costs, current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11,544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8,346</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25,655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19,231</w:t>
            </w: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1,652,975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903,942</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42,059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32,749</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55,365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53,002</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17,211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9,058</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1,435</w:t>
            </w: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 non-current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17,409</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3,456</w:t>
            </w: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18,073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16,990</w:t>
            </w:r>
          </w:p>
        </w:tc>
      </w:tr>
      <w:tr>
        <w:trPr>
          <w:trHeight w:val="26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1,814,284</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1,038,041</w:t>
            </w: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21,199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15,429</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54,383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38,746</w:t>
            </w: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15,058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11,916</w:t>
            </w:r>
          </w:p>
        </w:tc>
      </w:tr>
      <w:tr>
        <w:trPr>
          <w:trHeight w:val="230"/>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164,010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134,148</w:t>
            </w:r>
          </w:p>
        </w:tc>
      </w:tr>
      <w:tr>
        <w:trPr>
          <w:trHeight w:val="223"/>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254,650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200,239</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49,675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48,510</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senior notes,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567,683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4,340</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3,644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2,611</w:t>
            </w: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878,096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255,700</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w w:val="99"/>
              </w:rPr>
              <w:t>Class A common stock, $0.00001 par value per share; 2,000,000,000 shares authorized as of</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2020 and December 31, 2019; 206,054,826 and 64,308,498 shares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 as of September 30, 2020 and December 31, 2019, respectively</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rPr>
              <w:t>Class B common stock, $0.00001 par value per share; 310,000,000 shares authorized as of</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September 30, 2020 and December 31, 2019; 98,337,015 and 232,078,452 shares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issued and outstanding as of September 30, 2020 and December 31, 2019, respectively</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1,065,543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905,821</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133</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(132,003)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(123,616)</w:t>
            </w: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936,188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782,341</w:t>
            </w: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1,814,284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1,038,041</w:t>
            </w:r>
          </w:p>
        </w:tc>
      </w:tr>
      <w:tr>
        <w:trPr>
          <w:trHeight w:val="20"/>
        </w:trPr>
        <w:tc>
          <w:tcPr>
            <w:tcW w:w="7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154,675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95,864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425,935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249,136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33,984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23,297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89,340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63,225</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120,691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72,567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336,595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185,911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56,440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28,684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142,928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75,531</w:t>
            </w: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57,142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38,836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153,626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105,061</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16,376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44,876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129,958</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76,785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341,430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203,785</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7,135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15,204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(14,555)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(15,150)</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shares used in calculating basic and</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 net loss per share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302,554</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103,876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299,105</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87,758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2019</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(17,601)</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4420" w:type="dxa"/>
            <w:vAlign w:val="bottom"/>
          </w:tcPr>
          <w:p>
            <w:pPr>
              <w:ind w:left="140"/>
              <w:spacing w:after="0"/>
              <w:rPr>
                <w:sz w:val="20"/>
                <w:szCs w:val="20"/>
                <w:color w:val="auto"/>
              </w:rPr>
            </w:pPr>
            <w:r>
              <w:rPr>
                <w:rFonts w:ascii="Arial" w:cs="Arial" w:eastAsia="Arial" w:hAnsi="Arial"/>
                <w:sz w:val="18"/>
                <w:szCs w:val="18"/>
                <w:color w:val="auto"/>
              </w:rPr>
              <w:t>Unrealized gain on available-for-sale marketable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2,512</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loss</w:t>
            </w:r>
          </w:p>
        </w:tc>
        <w:tc>
          <w:tcPr>
            <w:tcW w:w="7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(17,686)</w:t>
            </w: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8"/>
        </w:trPr>
        <w:tc>
          <w:tcPr>
            <w:tcW w:w="3340" w:type="dxa"/>
            <w:vAlign w:val="bottom"/>
          </w:tcPr>
          <w:p>
            <w:pPr>
              <w:spacing w:after="0"/>
              <w:rPr>
                <w:sz w:val="12"/>
                <w:szCs w:val="12"/>
                <w:color w:val="auto"/>
              </w:rPr>
            </w:pPr>
          </w:p>
        </w:tc>
        <w:tc>
          <w:tcPr>
            <w:tcW w:w="22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8"/>
                <w:szCs w:val="18"/>
                <w:color w:val="auto"/>
              </w:rPr>
            </w:pPr>
          </w:p>
        </w:tc>
        <w:tc>
          <w:tcPr>
            <w:tcW w:w="1120" w:type="dxa"/>
            <w:vAlign w:val="bottom"/>
          </w:tcPr>
          <w:p>
            <w:pPr>
              <w:jc w:val="right"/>
              <w:ind w:right="20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2020</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302,254,533</w:t>
            </w:r>
          </w:p>
        </w:tc>
        <w:tc>
          <w:tcPr>
            <w:tcW w:w="980" w:type="dxa"/>
            <w:vAlign w:val="bottom"/>
            <w:gridSpan w:val="2"/>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1,027,656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(116,853)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912,871</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Issuance of common stock upon exercise of</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stock</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2,132,732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5,156</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 stock options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21,936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w w:val="97"/>
              </w:rPr>
              <w:t>Reversal of prior income tax associated with the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6"/>
                <w:szCs w:val="16"/>
                <w:color w:val="auto"/>
                <w:w w:val="99"/>
              </w:rPr>
              <w:t>issuance of the 2025 convertible senior notes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10,500</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Change in accumulated other comprehensive</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income</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(15,150)</w:t>
            </w: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BALANCE—September 30, 2020</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304,391,841</w:t>
            </w:r>
          </w:p>
        </w:tc>
        <w:tc>
          <w:tcPr>
            <w:tcW w:w="980" w:type="dxa"/>
            <w:vAlign w:val="bottom"/>
            <w:gridSpan w:val="2"/>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1,065,543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(132,003)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936,188</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0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Convertible</w:t>
            </w:r>
          </w:p>
        </w:tc>
        <w:tc>
          <w:tcPr>
            <w:tcW w:w="14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Class A and Class B</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jc w:val="center"/>
              <w:ind w:right="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0"/>
                <w:szCs w:val="10"/>
                <w:color w:val="auto"/>
              </w:rPr>
            </w:pPr>
          </w:p>
        </w:tc>
        <w:tc>
          <w:tcPr>
            <w:tcW w:w="800" w:type="dxa"/>
            <w:vAlign w:val="bottom"/>
          </w:tcPr>
          <w:p>
            <w:pPr>
              <w:jc w:val="center"/>
              <w:ind w:right="121"/>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1"/>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0"/>
        </w:trPr>
        <w:tc>
          <w:tcPr>
            <w:tcW w:w="1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w:t>
            </w: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179,011,431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140,752</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86,823,234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41,132</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(79,223)</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20"/>
                <w:szCs w:val="20"/>
                <w:color w:val="auto"/>
              </w:rPr>
            </w:pPr>
            <w:r>
              <w:rPr>
                <w:rFonts w:ascii="Arial" w:cs="Arial" w:eastAsia="Arial" w:hAnsi="Arial"/>
                <w:sz w:val="16"/>
                <w:szCs w:val="16"/>
                <w:color w:val="auto"/>
              </w:rPr>
              <w:t>Issuance of common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stock</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Arial" w:cs="Arial" w:eastAsia="Arial" w:hAnsi="Arial"/>
                <w:sz w:val="16"/>
                <w:szCs w:val="16"/>
                <w:color w:val="auto"/>
              </w:rPr>
              <w:t>upon exercise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6"/>
                <w:szCs w:val="16"/>
                <w:color w:val="auto"/>
              </w:rPr>
              <w:t>stock options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2,278,410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9"/>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1,177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20"/>
                <w:szCs w:val="20"/>
                <w:color w:val="auto"/>
              </w:rPr>
            </w:pPr>
            <w:r>
              <w:rPr>
                <w:rFonts w:ascii="Arial" w:cs="Arial" w:eastAsia="Arial" w:hAnsi="Arial"/>
                <w:sz w:val="16"/>
                <w:szCs w:val="16"/>
                <w:color w:val="auto"/>
              </w:rPr>
              <w:t>Stock-based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6"/>
                <w:szCs w:val="16"/>
                <w:color w:val="auto"/>
              </w:rPr>
              <w:t>compensation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4,691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09"/>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class A</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initial public</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offering, net of</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underwriting</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discounts and</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issuance costs</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27,600,000</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96"/>
              </w:rPr>
              <w:t>705,937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705,938</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20"/>
                <w:szCs w:val="20"/>
                <w:color w:val="auto"/>
              </w:rPr>
            </w:pPr>
            <w:r>
              <w:rPr>
                <w:rFonts w:ascii="Arial" w:cs="Arial" w:eastAsia="Arial" w:hAnsi="Arial"/>
                <w:sz w:val="16"/>
                <w:szCs w:val="16"/>
                <w:color w:val="auto"/>
              </w:rPr>
              <w:t>Conversion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convertible preferred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Arial" w:cs="Arial" w:eastAsia="Arial" w:hAnsi="Arial"/>
                <w:sz w:val="16"/>
                <w:szCs w:val="16"/>
                <w:color w:val="auto"/>
              </w:rPr>
              <w:t>stock to common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stock in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Arial" w:cs="Arial" w:eastAsia="Arial" w:hAnsi="Arial"/>
                <w:sz w:val="16"/>
                <w:szCs w:val="16"/>
                <w:color w:val="auto"/>
              </w:rPr>
              <w:t>connection with</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initial public</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120"/>
              <w:spacing w:after="0"/>
              <w:rPr>
                <w:sz w:val="20"/>
                <w:szCs w:val="20"/>
                <w:color w:val="auto"/>
              </w:rPr>
            </w:pPr>
            <w:r>
              <w:rPr>
                <w:rFonts w:ascii="Arial" w:cs="Arial" w:eastAsia="Arial" w:hAnsi="Arial"/>
                <w:sz w:val="16"/>
                <w:szCs w:val="16"/>
                <w:color w:val="auto"/>
              </w:rPr>
              <w:t>offering</w:t>
            </w:r>
          </w:p>
        </w:tc>
        <w:tc>
          <w:tcPr>
            <w:tcW w:w="1060" w:type="dxa"/>
            <w:vAlign w:val="bottom"/>
          </w:tcPr>
          <w:p>
            <w:pPr>
              <w:jc w:val="right"/>
              <w:spacing w:after="0"/>
              <w:rPr>
                <w:sz w:val="20"/>
                <w:szCs w:val="20"/>
                <w:color w:val="auto"/>
              </w:rPr>
            </w:pPr>
            <w:r>
              <w:rPr>
                <w:rFonts w:ascii="Arial" w:cs="Arial" w:eastAsia="Arial" w:hAnsi="Arial"/>
                <w:sz w:val="16"/>
                <w:szCs w:val="16"/>
                <w:color w:val="auto"/>
              </w:rPr>
              <w:t>(179,011,431)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(140,752)</w:t>
            </w: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w w:val="98"/>
              </w:rPr>
              <w:t>179,011,431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140,750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9"/>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Change in</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comprehensive</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income</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20"/>
                <w:szCs w:val="20"/>
                <w:color w:val="auto"/>
              </w:rPr>
            </w:pPr>
            <w:r>
              <w:rPr>
                <w:rFonts w:ascii="Arial" w:cs="Arial" w:eastAsia="Arial" w:hAnsi="Arial"/>
                <w:sz w:val="16"/>
                <w:szCs w:val="16"/>
                <w:color w:val="auto"/>
              </w:rPr>
              <w:t>Reclassification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common stock to</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Arial" w:cs="Arial" w:eastAsia="Arial" w:hAnsi="Arial"/>
                <w:sz w:val="16"/>
                <w:szCs w:val="16"/>
                <w:color w:val="auto"/>
              </w:rPr>
              <w:t>class A and class B</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89,101,644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(89,101,644)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00"/>
        </w:trPr>
        <w:tc>
          <w:tcPr>
            <w:tcW w:w="1620" w:type="dxa"/>
            <w:vAlign w:val="bottom"/>
          </w:tcPr>
          <w:p>
            <w:pPr>
              <w:spacing w:after="0"/>
              <w:rPr>
                <w:sz w:val="20"/>
                <w:szCs w:val="20"/>
                <w:color w:val="auto"/>
              </w:rPr>
            </w:pPr>
            <w:r>
              <w:rPr>
                <w:rFonts w:ascii="Arial" w:cs="Arial" w:eastAsia="Arial" w:hAnsi="Arial"/>
                <w:sz w:val="16"/>
                <w:szCs w:val="16"/>
                <w:color w:val="auto"/>
              </w:rPr>
              <w:t>BALANCE—</w:t>
            </w: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6"/>
                <w:szCs w:val="16"/>
                <w:color w:val="auto"/>
              </w:rPr>
              <w:t>September 30, 2019</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w w:val="98"/>
              </w:rPr>
              <w:t>295,713,075</w:t>
            </w:r>
          </w:p>
        </w:tc>
        <w:tc>
          <w:tcPr>
            <w:tcW w:w="8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895,793</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(124,507)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771,235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8"/>
                <w:szCs w:val="18"/>
                <w:color w:val="auto"/>
              </w:rPr>
            </w:pPr>
          </w:p>
        </w:tc>
        <w:tc>
          <w:tcPr>
            <w:tcW w:w="114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296,386,950</w:t>
            </w:r>
          </w:p>
        </w:tc>
        <w:tc>
          <w:tcPr>
            <w:tcW w:w="980" w:type="dxa"/>
            <w:vAlign w:val="bottom"/>
            <w:gridSpan w:val="2"/>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905,821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Issuance of common stock upon exercise of</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stock</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7,555,561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12,391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12,391</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 stock options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8,234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shares of common stock</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120,992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Issuance of common stock under the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20"/>
              <w:spacing w:after="0"/>
              <w:rPr>
                <w:sz w:val="20"/>
                <w:szCs w:val="20"/>
                <w:color w:val="auto"/>
              </w:rPr>
            </w:pPr>
            <w:r>
              <w:rPr>
                <w:rFonts w:ascii="Arial" w:cs="Arial" w:eastAsia="Arial" w:hAnsi="Arial"/>
                <w:sz w:val="16"/>
                <w:szCs w:val="16"/>
                <w:color w:val="auto"/>
              </w:rPr>
              <w:t>employee stock purchase plan, net of</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6"/>
                <w:szCs w:val="16"/>
                <w:color w:val="auto"/>
              </w:rPr>
              <w:t>shares withheld for taxes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320,104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51,131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51,131</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Equity component of 2025 Convertible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6"/>
                <w:szCs w:val="16"/>
                <w:color w:val="auto"/>
              </w:rPr>
              <w:t>Senior Notes, net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173,070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173,070</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Purchases of capped calls related to</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2025 Convertible Senior Notes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Change in accumulated other comprehensive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6"/>
                <w:szCs w:val="16"/>
                <w:color w:val="auto"/>
              </w:rPr>
              <w:t>income</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(8,387)</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BALANCE—September 30, 2020</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304,391,841</w:t>
            </w:r>
          </w:p>
        </w:tc>
        <w:tc>
          <w:tcPr>
            <w:tcW w:w="980" w:type="dxa"/>
            <w:vAlign w:val="bottom"/>
            <w:gridSpan w:val="2"/>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1,065,543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(132,003)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936,188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Convertible</w:t>
            </w:r>
          </w:p>
        </w:tc>
        <w:tc>
          <w:tcPr>
            <w:tcW w:w="14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Class A and Class B</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jc w:val="center"/>
              <w:ind w:right="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0"/>
                <w:szCs w:val="10"/>
                <w:color w:val="auto"/>
              </w:rPr>
            </w:pPr>
          </w:p>
        </w:tc>
        <w:tc>
          <w:tcPr>
            <w:tcW w:w="800" w:type="dxa"/>
            <w:vAlign w:val="bottom"/>
          </w:tcPr>
          <w:p>
            <w:pPr>
              <w:jc w:val="center"/>
              <w:ind w:right="121"/>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1"/>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0"/>
        </w:trPr>
        <w:tc>
          <w:tcPr>
            <w:tcW w:w="1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w:t>
            </w: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December 31,</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2018</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179,814,912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140,805</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78,180,606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30,834</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(76,041)</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Arial" w:cs="Arial" w:eastAsia="Arial" w:hAnsi="Arial"/>
                <w:sz w:val="16"/>
                <w:szCs w:val="16"/>
                <w:color w:val="auto"/>
              </w:rPr>
              <w:t>Issuance of common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stock</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20"/>
              <w:spacing w:after="0"/>
              <w:rPr>
                <w:sz w:val="20"/>
                <w:szCs w:val="20"/>
                <w:color w:val="auto"/>
              </w:rPr>
            </w:pPr>
            <w:r>
              <w:rPr>
                <w:rFonts w:ascii="Arial" w:cs="Arial" w:eastAsia="Arial" w:hAnsi="Arial"/>
                <w:sz w:val="16"/>
                <w:szCs w:val="16"/>
                <w:color w:val="auto"/>
              </w:rPr>
              <w:t>upon exercise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10,117,557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6,576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09"/>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Arial" w:cs="Arial" w:eastAsia="Arial" w:hAnsi="Arial"/>
                <w:sz w:val="16"/>
                <w:szCs w:val="16"/>
                <w:color w:val="auto"/>
              </w:rPr>
              <w:t>Stock-based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60" w:type="dxa"/>
            <w:vAlign w:val="bottom"/>
          </w:tcPr>
          <w:p>
            <w:pPr>
              <w:spacing w:after="0"/>
              <w:rPr>
                <w:sz w:val="20"/>
                <w:szCs w:val="20"/>
                <w:color w:val="auto"/>
              </w:rPr>
            </w:pPr>
            <w:r>
              <w:rPr>
                <w:rFonts w:ascii="Arial" w:cs="Arial" w:eastAsia="Arial" w:hAnsi="Arial"/>
                <w:sz w:val="16"/>
                <w:szCs w:val="16"/>
                <w:color w:val="auto"/>
              </w:rPr>
              <w:t>compensation</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10,153</w:t>
            </w:r>
          </w:p>
        </w:tc>
        <w:tc>
          <w:tcPr>
            <w:tcW w:w="0" w:type="dxa"/>
            <w:vAlign w:val="bottom"/>
          </w:tcPr>
          <w:p>
            <w:pPr>
              <w:spacing w:after="0"/>
              <w:rPr>
                <w:sz w:val="1"/>
                <w:szCs w:val="1"/>
                <w:color w:val="auto"/>
              </w:rPr>
            </w:pPr>
          </w:p>
        </w:tc>
      </w:tr>
      <w:tr>
        <w:trPr>
          <w:trHeight w:val="209"/>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Issuance of class A</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initial public</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offering, net of</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underwriting</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discounts and</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issuance costs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27,600,000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6"/>
              </w:rPr>
              <w:t>705,937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705,938</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Arial" w:cs="Arial" w:eastAsia="Arial" w:hAnsi="Arial"/>
                <w:sz w:val="16"/>
                <w:szCs w:val="16"/>
                <w:color w:val="auto"/>
              </w:rPr>
              <w:t>Conversion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convertible preferred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20"/>
              <w:spacing w:after="0"/>
              <w:rPr>
                <w:sz w:val="20"/>
                <w:szCs w:val="20"/>
                <w:color w:val="auto"/>
              </w:rPr>
            </w:pPr>
            <w:r>
              <w:rPr>
                <w:rFonts w:ascii="Arial" w:cs="Arial" w:eastAsia="Arial" w:hAnsi="Arial"/>
                <w:sz w:val="16"/>
                <w:szCs w:val="16"/>
                <w:color w:val="auto"/>
              </w:rPr>
              <w:t>stock to common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stock in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20"/>
              <w:spacing w:after="0"/>
              <w:rPr>
                <w:sz w:val="20"/>
                <w:szCs w:val="20"/>
                <w:color w:val="auto"/>
              </w:rPr>
            </w:pPr>
            <w:r>
              <w:rPr>
                <w:rFonts w:ascii="Arial" w:cs="Arial" w:eastAsia="Arial" w:hAnsi="Arial"/>
                <w:sz w:val="16"/>
                <w:szCs w:val="16"/>
                <w:color w:val="auto"/>
              </w:rPr>
              <w:t>connection with</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third-party tender</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120"/>
              <w:spacing w:after="0"/>
              <w:rPr>
                <w:sz w:val="20"/>
                <w:szCs w:val="20"/>
                <w:color w:val="auto"/>
              </w:rPr>
            </w:pPr>
            <w:r>
              <w:rPr>
                <w:rFonts w:ascii="Arial" w:cs="Arial" w:eastAsia="Arial" w:hAnsi="Arial"/>
                <w:sz w:val="16"/>
                <w:szCs w:val="16"/>
                <w:color w:val="auto"/>
              </w:rPr>
              <w:t>offer</w:t>
            </w:r>
          </w:p>
        </w:tc>
        <w:tc>
          <w:tcPr>
            <w:tcW w:w="1060" w:type="dxa"/>
            <w:vAlign w:val="bottom"/>
          </w:tcPr>
          <w:p>
            <w:pPr>
              <w:jc w:val="right"/>
              <w:spacing w:after="0"/>
              <w:rPr>
                <w:sz w:val="20"/>
                <w:szCs w:val="20"/>
                <w:color w:val="auto"/>
              </w:rPr>
            </w:pPr>
            <w:r>
              <w:rPr>
                <w:rFonts w:ascii="Arial" w:cs="Arial" w:eastAsia="Arial" w:hAnsi="Arial"/>
                <w:sz w:val="16"/>
                <w:szCs w:val="16"/>
                <w:color w:val="auto"/>
              </w:rPr>
              <w:t>(803,481)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803,481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Conversion of</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to common</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initial public</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offering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(179,011,431)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(140,752)</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98"/>
              </w:rPr>
              <w:t>179,011,431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6"/>
              </w:rPr>
              <w:t>140,750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Arial" w:cs="Arial" w:eastAsia="Arial" w:hAnsi="Arial"/>
                <w:sz w:val="16"/>
                <w:szCs w:val="16"/>
                <w:color w:val="auto"/>
              </w:rPr>
              <w:t>Change in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accumulated other</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120"/>
              <w:spacing w:after="0"/>
              <w:rPr>
                <w:sz w:val="20"/>
                <w:szCs w:val="20"/>
                <w:color w:val="auto"/>
              </w:rPr>
            </w:pPr>
            <w:r>
              <w:rPr>
                <w:rFonts w:ascii="Arial" w:cs="Arial" w:eastAsia="Arial" w:hAnsi="Arial"/>
                <w:sz w:val="16"/>
                <w:szCs w:val="16"/>
                <w:color w:val="auto"/>
              </w:rPr>
              <w:t>comprehensive loss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9"/>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of</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common stock to</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and class B</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common stock</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89,101,644</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(89,101,644)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(17,601)</w:t>
            </w:r>
          </w:p>
        </w:tc>
        <w:tc>
          <w:tcPr>
            <w:tcW w:w="0" w:type="dxa"/>
            <w:vAlign w:val="bottom"/>
          </w:tcPr>
          <w:p>
            <w:pPr>
              <w:spacing w:after="0"/>
              <w:rPr>
                <w:sz w:val="1"/>
                <w:szCs w:val="1"/>
                <w:color w:val="auto"/>
              </w:rPr>
            </w:pPr>
          </w:p>
        </w:tc>
      </w:tr>
      <w:tr>
        <w:trPr>
          <w:trHeight w:val="203"/>
        </w:trPr>
        <w:tc>
          <w:tcPr>
            <w:tcW w:w="1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w:t>
            </w: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60" w:type="dxa"/>
            <w:vAlign w:val="bottom"/>
            <w:shd w:val="clear" w:color="auto" w:fill="CFF0FC"/>
          </w:tcPr>
          <w:p>
            <w:pPr>
              <w:spacing w:after="0"/>
              <w:rPr>
                <w:sz w:val="20"/>
                <w:szCs w:val="20"/>
                <w:color w:val="auto"/>
              </w:rPr>
            </w:pPr>
            <w:r>
              <w:rPr>
                <w:rFonts w:ascii="Arial" w:cs="Arial" w:eastAsia="Arial" w:hAnsi="Arial"/>
                <w:sz w:val="16"/>
                <w:szCs w:val="16"/>
                <w:color w:val="auto"/>
              </w:rPr>
              <w:t>September 30, 2019</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98"/>
              </w:rPr>
              <w:t>295,713,075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6"/>
              </w:rPr>
              <w:t>895,793</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(124,507)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771,235</w:t>
            </w: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2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3"/>
                <w:szCs w:val="13"/>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r>
      <w:tr>
        <w:trPr>
          <w:trHeight w:val="142"/>
        </w:trPr>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94"/>
              <w:spacing w:after="0" w:line="142" w:lineRule="exact"/>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2"/>
                <w:szCs w:val="12"/>
                <w:color w:val="auto"/>
              </w:rPr>
            </w:pPr>
          </w:p>
        </w:tc>
      </w:tr>
      <w:tr>
        <w:trPr>
          <w:trHeight w:val="142"/>
        </w:trPr>
        <w:tc>
          <w:tcPr>
            <w:tcW w:w="67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04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960" w:type="dxa"/>
            <w:vAlign w:val="bottom"/>
            <w:gridSpan w:val="2"/>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(8,387)</w:t>
            </w:r>
          </w:p>
        </w:tc>
        <w:tc>
          <w:tcPr>
            <w:tcW w:w="160" w:type="dxa"/>
            <w:vAlign w:val="bottom"/>
          </w:tcPr>
          <w:p>
            <w:pPr>
              <w:spacing w:after="0"/>
              <w:rPr>
                <w:sz w:val="12"/>
                <w:szCs w:val="12"/>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(17,601)</w:t>
            </w:r>
          </w:p>
        </w:tc>
      </w:tr>
      <w:tr>
        <w:trPr>
          <w:trHeight w:val="148"/>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8"/>
        </w:trPr>
        <w:tc>
          <w:tcPr>
            <w:tcW w:w="674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11,367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8,776</w:t>
            </w: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discounts or premiums on marketable securities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5,344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tcPr>
          <w:p>
            <w:pPr>
              <w:ind w:left="500"/>
              <w:spacing w:after="0"/>
              <w:rPr>
                <w:sz w:val="20"/>
                <w:szCs w:val="20"/>
                <w:color w:val="auto"/>
              </w:rPr>
            </w:pPr>
            <w:r>
              <w:rPr>
                <w:rFonts w:ascii="Arial" w:cs="Arial" w:eastAsia="Arial" w:hAnsi="Arial"/>
                <w:sz w:val="13"/>
                <w:szCs w:val="13"/>
                <w:color w:val="auto"/>
              </w:rPr>
              <w:t>Amortization of debt discount and issuance costs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10,546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contract costs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7,348</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3,688</w:t>
            </w:r>
          </w:p>
        </w:tc>
      </w:tr>
      <w:tr>
        <w:trPr>
          <w:trHeight w:val="148"/>
        </w:trPr>
        <w:tc>
          <w:tcPr>
            <w:tcW w:w="6740" w:type="dxa"/>
            <w:vAlign w:val="bottom"/>
          </w:tcPr>
          <w:p>
            <w:pPr>
              <w:ind w:left="500"/>
              <w:spacing w:after="0"/>
              <w:rPr>
                <w:sz w:val="20"/>
                <w:szCs w:val="20"/>
                <w:color w:val="auto"/>
              </w:rPr>
            </w:pPr>
            <w:r>
              <w:rPr>
                <w:rFonts w:ascii="Arial" w:cs="Arial" w:eastAsia="Arial" w:hAnsi="Arial"/>
                <w:sz w:val="13"/>
                <w:szCs w:val="13"/>
                <w:color w:val="auto"/>
              </w:rPr>
              <w:t>Stock-based compensation, net of amounts capitalized</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49,610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10,016</w:t>
            </w:r>
          </w:p>
        </w:tc>
      </w:tr>
      <w:tr>
        <w:trPr>
          <w:trHeight w:val="148"/>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lease expense</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10,004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8,403</w:t>
            </w:r>
          </w:p>
        </w:tc>
      </w:tr>
      <w:tr>
        <w:trPr>
          <w:trHeight w:val="148"/>
        </w:trPr>
        <w:tc>
          <w:tcPr>
            <w:tcW w:w="6740" w:type="dxa"/>
            <w:vAlign w:val="bottom"/>
          </w:tcPr>
          <w:p>
            <w:pPr>
              <w:ind w:left="500"/>
              <w:spacing w:after="0"/>
              <w:rPr>
                <w:sz w:val="20"/>
                <w:szCs w:val="20"/>
                <w:color w:val="auto"/>
              </w:rPr>
            </w:pPr>
            <w:r>
              <w:rPr>
                <w:rFonts w:ascii="Arial" w:cs="Arial" w:eastAsia="Arial" w:hAnsi="Arial"/>
                <w:sz w:val="13"/>
                <w:szCs w:val="13"/>
                <w:color w:val="auto"/>
              </w:rPr>
              <w:t>Allowance for credit losses on accounts receivable</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2,656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835</w:t>
            </w: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disposal of property and equipment</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442</w:t>
            </w:r>
          </w:p>
        </w:tc>
      </w:tr>
      <w:tr>
        <w:trPr>
          <w:trHeight w:val="148"/>
        </w:trPr>
        <w:tc>
          <w:tcPr>
            <w:tcW w:w="674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7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(21,253)</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(32,224)</w:t>
            </w:r>
          </w:p>
        </w:tc>
      </w:tr>
      <w:tr>
        <w:trPr>
          <w:trHeight w:val="148"/>
        </w:trPr>
        <w:tc>
          <w:tcPr>
            <w:tcW w:w="6740" w:type="dxa"/>
            <w:vAlign w:val="bottom"/>
          </w:tcPr>
          <w:p>
            <w:pPr>
              <w:ind w:left="740"/>
              <w:spacing w:after="0"/>
              <w:rPr>
                <w:sz w:val="20"/>
                <w:szCs w:val="20"/>
                <w:color w:val="auto"/>
              </w:rPr>
            </w:pPr>
            <w:r>
              <w:rPr>
                <w:rFonts w:ascii="Arial" w:cs="Arial" w:eastAsia="Arial" w:hAnsi="Arial"/>
                <w:sz w:val="13"/>
                <w:szCs w:val="13"/>
                <w:color w:val="auto"/>
              </w:rPr>
              <w:t>Deferred contract costs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(15,804)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(10,894)</w:t>
            </w:r>
          </w:p>
        </w:tc>
      </w:tr>
      <w:tr>
        <w:trPr>
          <w:trHeight w:val="148"/>
        </w:trPr>
        <w:tc>
          <w:tcPr>
            <w:tcW w:w="67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(6,821)</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(9,476)</w:t>
            </w:r>
          </w:p>
        </w:tc>
      </w:tr>
      <w:tr>
        <w:trPr>
          <w:trHeight w:val="149"/>
        </w:trPr>
        <w:tc>
          <w:tcPr>
            <w:tcW w:w="674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(8,480)</w:t>
            </w:r>
          </w:p>
        </w:tc>
      </w:tr>
      <w:tr>
        <w:trPr>
          <w:trHeight w:val="148"/>
        </w:trPr>
        <w:tc>
          <w:tcPr>
            <w:tcW w:w="67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6,406</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4,213</w:t>
            </w:r>
          </w:p>
        </w:tc>
      </w:tr>
      <w:tr>
        <w:trPr>
          <w:trHeight w:val="148"/>
        </w:trPr>
        <w:tc>
          <w:tcPr>
            <w:tcW w:w="6740" w:type="dxa"/>
            <w:vAlign w:val="bottom"/>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6,884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(1,990)</w:t>
            </w:r>
          </w:p>
        </w:tc>
      </w:tr>
      <w:tr>
        <w:trPr>
          <w:trHeight w:val="148"/>
        </w:trPr>
        <w:tc>
          <w:tcPr>
            <w:tcW w:w="67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0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27,964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51,096</w:t>
            </w:r>
          </w:p>
        </w:tc>
      </w:tr>
      <w:tr>
        <w:trPr>
          <w:trHeight w:val="142"/>
        </w:trPr>
        <w:tc>
          <w:tcPr>
            <w:tcW w:w="67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0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85,263</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6,804</w:t>
            </w:r>
          </w:p>
        </w:tc>
      </w:tr>
      <w:tr>
        <w:trPr>
          <w:trHeight w:val="142"/>
        </w:trPr>
        <w:tc>
          <w:tcPr>
            <w:tcW w:w="6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8"/>
        </w:trPr>
        <w:tc>
          <w:tcPr>
            <w:tcW w:w="674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marketable securities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(1,477,063)</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Maturities of marketable securities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268,500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marketable securities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85,700</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(4,336)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(9,813)</w:t>
            </w:r>
          </w:p>
        </w:tc>
      </w:tr>
      <w:tr>
        <w:trPr>
          <w:trHeight w:val="148"/>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software development costs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(14,371)</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(7,058)</w:t>
            </w:r>
          </w:p>
        </w:tc>
      </w:tr>
      <w:tr>
        <w:trPr>
          <w:trHeight w:val="148"/>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Cash paid for acquisition of businesses; net of cash acquired</w:t>
            </w:r>
          </w:p>
        </w:tc>
        <w:tc>
          <w:tcPr>
            <w:tcW w:w="10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142"/>
        </w:trPr>
        <w:tc>
          <w:tcPr>
            <w:tcW w:w="6740" w:type="dxa"/>
            <w:vAlign w:val="bottom"/>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investing activities</w:t>
            </w:r>
          </w:p>
        </w:tc>
        <w:tc>
          <w:tcPr>
            <w:tcW w:w="10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(1,143,933)</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(16,871)</w:t>
            </w:r>
          </w:p>
        </w:tc>
      </w:tr>
      <w:tr>
        <w:trPr>
          <w:trHeight w:val="142"/>
        </w:trPr>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7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12,354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7,306</w:t>
            </w: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initial public offering, net of underwriting discounts and commissions and other offering cost</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708,659</w:t>
            </w: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7,680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730,207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capped call related to convertible senior notes</w:t>
            </w:r>
          </w:p>
        </w:tc>
        <w:tc>
          <w:tcPr>
            <w:tcW w:w="10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(89,625)</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2"/>
        </w:trPr>
        <w:tc>
          <w:tcPr>
            <w:tcW w:w="67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0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659,218</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715,965</w:t>
            </w:r>
          </w:p>
        </w:tc>
      </w:tr>
      <w:tr>
        <w:trPr>
          <w:trHeight w:val="142"/>
        </w:trPr>
        <w:tc>
          <w:tcPr>
            <w:tcW w:w="6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9"/>
        </w:trPr>
        <w:tc>
          <w:tcPr>
            <w:tcW w:w="6740" w:type="dxa"/>
            <w:vAlign w:val="bottom"/>
          </w:tcPr>
          <w:p>
            <w:pPr>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49</w:t>
            </w:r>
          </w:p>
        </w:tc>
      </w:tr>
      <w:tr>
        <w:trPr>
          <w:trHeight w:val="148"/>
        </w:trPr>
        <w:tc>
          <w:tcPr>
            <w:tcW w:w="6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8"/>
        </w:trPr>
        <w:tc>
          <w:tcPr>
            <w:tcW w:w="6740" w:type="dxa"/>
            <w:vAlign w:val="bottom"/>
          </w:tcPr>
          <w:p>
            <w:pPr>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(399,059)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705,947</w:t>
            </w:r>
          </w:p>
        </w:tc>
      </w:tr>
      <w:tr>
        <w:trPr>
          <w:trHeight w:val="149"/>
        </w:trPr>
        <w:tc>
          <w:tcPr>
            <w:tcW w:w="674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CASH—Beginning of period</w:t>
            </w:r>
          </w:p>
        </w:tc>
        <w:tc>
          <w:tcPr>
            <w:tcW w:w="10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601,189</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64,980</w:t>
            </w:r>
          </w:p>
        </w:tc>
      </w:tr>
      <w:tr>
        <w:trPr>
          <w:trHeight w:val="182"/>
        </w:trPr>
        <w:tc>
          <w:tcPr>
            <w:tcW w:w="67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CASH EQUIVALENTS AND RESTRICTED CASH —End of period</w:t>
            </w:r>
          </w:p>
        </w:tc>
        <w:tc>
          <w:tcPr>
            <w:tcW w:w="104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202,130</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3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770,927</w:t>
            </w:r>
          </w:p>
        </w:tc>
      </w:tr>
      <w:tr>
        <w:trPr>
          <w:trHeight w:val="129"/>
        </w:trPr>
        <w:tc>
          <w:tcPr>
            <w:tcW w:w="67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48"/>
        </w:trPr>
        <w:tc>
          <w:tcPr>
            <w:tcW w:w="6740" w:type="dxa"/>
            <w:vAlign w:val="bottom"/>
          </w:tcPr>
          <w:p>
            <w:pPr>
              <w:spacing w:after="0"/>
              <w:rPr>
                <w:sz w:val="20"/>
                <w:szCs w:val="20"/>
                <w:color w:val="auto"/>
              </w:rPr>
            </w:pPr>
            <w:r>
              <w:rPr>
                <w:rFonts w:ascii="Arial" w:cs="Arial" w:eastAsia="Arial" w:hAnsi="Arial"/>
                <w:sz w:val="13"/>
                <w:szCs w:val="13"/>
                <w:color w:val="auto"/>
              </w:rPr>
              <w:t>SUPPLEMENTAL DISCLOSURES OF CASH FLOW INFORMATION:</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income taxes</w:t>
            </w:r>
          </w:p>
        </w:tc>
        <w:tc>
          <w:tcPr>
            <w:tcW w:w="1960" w:type="dxa"/>
            <w:vAlign w:val="bottom"/>
            <w:gridSpan w:val="2"/>
            <w:shd w:val="clear" w:color="auto" w:fill="CFF0FC"/>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186</w:t>
            </w:r>
          </w:p>
        </w:tc>
        <w:tc>
          <w:tcPr>
            <w:tcW w:w="1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97</w:t>
            </w:r>
          </w:p>
        </w:tc>
      </w:tr>
      <w:tr>
        <w:trPr>
          <w:trHeight w:val="148"/>
        </w:trPr>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4"/>
        </w:trPr>
        <w:tc>
          <w:tcPr>
            <w:tcW w:w="6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SUPPLEMENTAL DISCLOSURE OF NON-CASH INVESTING AND FINANCING</w:t>
            </w:r>
          </w:p>
        </w:tc>
        <w:tc>
          <w:tcPr>
            <w:tcW w:w="10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49"/>
        </w:trPr>
        <w:tc>
          <w:tcPr>
            <w:tcW w:w="67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ACTIVITIES:</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Accrued property and equipment purchases</w:t>
            </w:r>
          </w:p>
        </w:tc>
        <w:tc>
          <w:tcPr>
            <w:tcW w:w="1960" w:type="dxa"/>
            <w:vAlign w:val="bottom"/>
            <w:gridSpan w:val="2"/>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60" w:type="dxa"/>
            <w:vAlign w:val="bottom"/>
          </w:tcPr>
          <w:p>
            <w:pPr>
              <w:spacing w:after="0"/>
              <w:rPr>
                <w:sz w:val="12"/>
                <w:szCs w:val="12"/>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1,574</w:t>
            </w:r>
          </w:p>
        </w:tc>
      </w:tr>
      <w:tr>
        <w:trPr>
          <w:trHeight w:val="148"/>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1960" w:type="dxa"/>
            <w:vAlign w:val="bottom"/>
            <w:gridSpan w:val="2"/>
            <w:shd w:val="clear" w:color="auto" w:fill="CFF0FC"/>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1,521</w:t>
            </w:r>
          </w:p>
        </w:tc>
        <w:tc>
          <w:tcPr>
            <w:tcW w:w="1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137</w:t>
            </w: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Vesting of early exercised options</w:t>
            </w:r>
          </w:p>
        </w:tc>
        <w:tc>
          <w:tcPr>
            <w:tcW w:w="1960" w:type="dxa"/>
            <w:vAlign w:val="bottom"/>
            <w:gridSpan w:val="2"/>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883</w:t>
            </w:r>
          </w:p>
        </w:tc>
        <w:tc>
          <w:tcPr>
            <w:tcW w:w="160" w:type="dxa"/>
            <w:vAlign w:val="bottom"/>
          </w:tcPr>
          <w:p>
            <w:pPr>
              <w:spacing w:after="0"/>
              <w:rPr>
                <w:sz w:val="12"/>
                <w:szCs w:val="12"/>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1,490</w:t>
            </w:r>
          </w:p>
        </w:tc>
      </w:tr>
      <w:tr>
        <w:trPr>
          <w:trHeight w:val="148"/>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Costs related to initial public offering included in accounts payable and accrued liabilities</w:t>
            </w:r>
          </w:p>
        </w:tc>
        <w:tc>
          <w:tcPr>
            <w:tcW w:w="1960" w:type="dxa"/>
            <w:vAlign w:val="bottom"/>
            <w:gridSpan w:val="2"/>
            <w:shd w:val="clear" w:color="auto" w:fill="CFF0FC"/>
          </w:tcPr>
          <w:p>
            <w:pPr>
              <w:jc w:val="right"/>
              <w:ind w:right="802"/>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2,721</w:t>
            </w:r>
          </w:p>
        </w:tc>
      </w:tr>
      <w:tr>
        <w:trPr>
          <w:trHeight w:val="148"/>
        </w:trPr>
        <w:tc>
          <w:tcPr>
            <w:tcW w:w="6740" w:type="dxa"/>
            <w:vAlign w:val="bottom"/>
          </w:tcPr>
          <w:p>
            <w:pPr>
              <w:ind w:left="26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1960" w:type="dxa"/>
            <w:vAlign w:val="bottom"/>
            <w:gridSpan w:val="2"/>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5,169</w:t>
            </w:r>
          </w:p>
        </w:tc>
        <w:tc>
          <w:tcPr>
            <w:tcW w:w="160" w:type="dxa"/>
            <w:vAlign w:val="bottom"/>
          </w:tcPr>
          <w:p>
            <w:pPr>
              <w:spacing w:after="0"/>
              <w:rPr>
                <w:sz w:val="12"/>
                <w:szCs w:val="12"/>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Acquisition holdback</w:t>
            </w:r>
          </w:p>
        </w:tc>
        <w:tc>
          <w:tcPr>
            <w:tcW w:w="1960" w:type="dxa"/>
            <w:vAlign w:val="bottom"/>
            <w:gridSpan w:val="2"/>
            <w:shd w:val="clear" w:color="auto" w:fill="CFF0FC"/>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1,500</w:t>
            </w:r>
          </w:p>
        </w:tc>
        <w:tc>
          <w:tcPr>
            <w:tcW w:w="1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4"/>
        </w:trPr>
        <w:tc>
          <w:tcPr>
            <w:tcW w:w="6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w:t>
            </w:r>
          </w:p>
        </w:tc>
        <w:tc>
          <w:tcPr>
            <w:tcW w:w="10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35"/>
        </w:trPr>
        <w:tc>
          <w:tcPr>
            <w:tcW w:w="67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WITHIN THE CONDENSED CONSOLIDATED BALANCE SHEETS TO THE AMOUNTS SHOWN</w:t>
            </w:r>
          </w:p>
        </w:tc>
        <w:tc>
          <w:tcPr>
            <w:tcW w:w="10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49"/>
        </w:trPr>
        <w:tc>
          <w:tcPr>
            <w:tcW w:w="67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 THE STATEMENTS OF CASH FLOWS ABOVE:</w:t>
            </w:r>
          </w:p>
        </w:tc>
        <w:tc>
          <w:tcPr>
            <w:tcW w:w="10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Cash and cash equivalents</w:t>
            </w:r>
          </w:p>
        </w:tc>
        <w:tc>
          <w:tcPr>
            <w:tcW w:w="1960" w:type="dxa"/>
            <w:vAlign w:val="bottom"/>
            <w:gridSpan w:val="2"/>
          </w:tcPr>
          <w:p>
            <w:pPr>
              <w:jc w:val="right"/>
              <w:ind w:right="802"/>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198,523</w:t>
            </w:r>
          </w:p>
        </w:tc>
        <w:tc>
          <w:tcPr>
            <w:tcW w:w="160" w:type="dxa"/>
            <w:vAlign w:val="bottom"/>
          </w:tcPr>
          <w:p>
            <w:pPr>
              <w:spacing w:after="0"/>
              <w:rPr>
                <w:sz w:val="12"/>
                <w:szCs w:val="12"/>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760,945</w:t>
            </w:r>
          </w:p>
        </w:tc>
      </w:tr>
      <w:tr>
        <w:trPr>
          <w:trHeight w:val="134"/>
        </w:trPr>
        <w:tc>
          <w:tcPr>
            <w:tcW w:w="67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Restricted cash – Including amounts in prepaid expense and other current assets and</w:t>
            </w:r>
          </w:p>
        </w:tc>
        <w:tc>
          <w:tcPr>
            <w:tcW w:w="10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49"/>
        </w:trPr>
        <w:tc>
          <w:tcPr>
            <w:tcW w:w="67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other assets</w:t>
            </w:r>
          </w:p>
        </w:tc>
        <w:tc>
          <w:tcPr>
            <w:tcW w:w="10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3,607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9,982</w:t>
            </w:r>
          </w:p>
        </w:tc>
      </w:tr>
      <w:tr>
        <w:trPr>
          <w:trHeight w:val="142"/>
        </w:trPr>
        <w:tc>
          <w:tcPr>
            <w:tcW w:w="6740" w:type="dxa"/>
            <w:vAlign w:val="bottom"/>
          </w:tcPr>
          <w:p>
            <w:pPr>
              <w:ind w:left="260"/>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1040" w:type="dxa"/>
            <w:vAlign w:val="bottom"/>
          </w:tcPr>
          <w:p>
            <w:pPr>
              <w:spacing w:after="0"/>
              <w:rPr>
                <w:sz w:val="12"/>
                <w:szCs w:val="12"/>
                <w:color w:val="auto"/>
              </w:rPr>
            </w:pPr>
          </w:p>
        </w:tc>
        <w:tc>
          <w:tcPr>
            <w:tcW w:w="92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202,130</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3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770,927</w:t>
            </w:r>
          </w:p>
        </w:tc>
      </w:tr>
      <w:tr>
        <w:trPr>
          <w:trHeight w:val="20"/>
        </w:trPr>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2020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2019, as filed with the SEC on February 25, 2020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All information related to the Company’s common stock, convertible preferred stock and stock awards has been retroactively adjusted to give effect to the 3-for-1 stock split on September 6,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including the determination of the fair value of the Company’s stock prior to its initial public offering (“IPO”), fair value of common stock and redeemable convertible preferred stock prior to the IPO, valuation of long-lived assets and their recoverability, including goodwill, estimated expected period of benefit for deferred contract costs, the incremental borrowing rate for operating leases,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right="20" w:firstLine="51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Measurement of Credit Losses on Financial Instruments </w:t>
      </w:r>
      <w:r>
        <w:rPr>
          <w:rFonts w:ascii="Arial" w:cs="Arial" w:eastAsia="Arial" w:hAnsi="Arial"/>
          <w:sz w:val="17"/>
          <w:szCs w:val="17"/>
          <w:color w:val="auto"/>
        </w:rPr>
        <w:t>(“ASU No. 2016-13”), which requires an entity to utilize</w:t>
      </w:r>
      <w:r>
        <w:rPr>
          <w:rFonts w:ascii="Arial" w:cs="Arial" w:eastAsia="Arial" w:hAnsi="Arial"/>
          <w:sz w:val="17"/>
          <w:szCs w:val="17"/>
          <w:i w:val="1"/>
          <w:iCs w:val="1"/>
          <w:color w:val="auto"/>
        </w:rPr>
        <w:t xml:space="preserve"> </w:t>
      </w:r>
      <w:r>
        <w:rPr>
          <w:rFonts w:ascii="Arial" w:cs="Arial" w:eastAsia="Arial" w:hAnsi="Arial"/>
          <w:sz w:val="17"/>
          <w:szCs w:val="17"/>
          <w:color w:val="auto"/>
        </w:rPr>
        <w:t>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Additionally, ASU No. 2016-13 amends the current available-for-sale security impairment model for debt securities held for investment. The new model will require an estimate of expected credit losses when the fair value is below the amortized cost of the asset. The credit-related impairment (and subsequent recoveries) are recognized as an allowance on the balance sheet with a corresponding adjustment to the income statement. Non-credit related losses will continue to be recognized through Other Comprehensive Income (Loss) (“OCI”).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The Company adopted this ASU on January 1, 2020 and determined that ASU No. 2016-13 had no material impact on the Company’s condensed consolidated financial statements.</w:t>
      </w:r>
    </w:p>
    <w:p>
      <w:pPr>
        <w:spacing w:after="0" w:line="206" w:lineRule="exact"/>
        <w:rPr>
          <w:sz w:val="20"/>
          <w:szCs w:val="20"/>
          <w:color w:val="auto"/>
        </w:rPr>
      </w:pPr>
    </w:p>
    <w:p>
      <w:pPr>
        <w:jc w:val="both"/>
        <w:ind w:right="20" w:firstLine="510"/>
        <w:spacing w:after="0" w:line="300"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(“ASU No. 2018-15”), which aligns the accounting for implementation costs incurred in a hosting arrangement that is a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 with the accounting for implementation costs incurred to develop or obtain internal-use software under Accounting Standard Codification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in order to determine which costs to capitalize and recognize as an asset and which costs to expense. The Company adopted ASU No. 2018-15 on January 1, 2020 and applied it prospectively to implementation costs incurred after the date of adoption. The Company’s adoption of ASU No. 2018-15 had no material impact on the Company's condensed consolidated financial statements.</w:t>
      </w:r>
    </w:p>
    <w:p>
      <w:pPr>
        <w:spacing w:after="0" w:line="159" w:lineRule="exact"/>
        <w:rPr>
          <w:sz w:val="20"/>
          <w:szCs w:val="20"/>
          <w:color w:val="auto"/>
        </w:rPr>
      </w:pPr>
    </w:p>
    <w:p>
      <w:pPr>
        <w:jc w:val="both"/>
        <w:ind w:right="20"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No. 2019-12”), which aims to reduce complexity in accounting standards by improving certain areas of GAAP without compromising information provided to users of financial statements. ASU No. 2019-12 removes certain exceptions to the general principles in Topic 740 and clarifies and amends existing guidance to improve consistent application. It is effective for interim and annual periods beginning after December 15, 2020, with early adoption permitted. The Company early adopted ASU No. 2019-12 during the quarter ended September 30, 2020 with no material impact on the Company’s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jc w:val="both"/>
        <w:ind w:right="20" w:firstLine="510"/>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w:t>
      </w:r>
      <w:r>
        <w:rPr>
          <w:rFonts w:ascii="Arial" w:cs="Arial" w:eastAsia="Arial" w:hAnsi="Arial"/>
          <w:sz w:val="18"/>
          <w:szCs w:val="18"/>
          <w:color w:val="auto"/>
        </w:rPr>
        <w:t>(“Subtopic 815-40”) (“ASU No. 2020-06”), which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on an entity's own equity. ASU 2020-06 also improves and amends the related Earnings Per Share guidance for both Subtopics. ASU No. 2020-06 is part of the FASB's simplification initiative, which aims to reduce unnecessary complexity in U.S. GAAP. ASU No.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September 30, 2020 and December 31, 2019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020" w:type="dxa"/>
            <w:vAlign w:val="bottom"/>
          </w:tcPr>
          <w:p>
            <w:pPr>
              <w:jc w:val="right"/>
              <w:ind w:right="49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965,398</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1,784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967,028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34,225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34,262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treasury securities</w:t>
            </w: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169,306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169,731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125,218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125,240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8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1,294,147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1,296,261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0" w:type="dxa"/>
            <w:vAlign w:val="bottom"/>
            <w:vMerge w:val="restart"/>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33"/>
        </w:trPr>
        <w:tc>
          <w:tcPr>
            <w:tcW w:w="5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58"/>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476"/>
              <w:spacing w:after="0" w:line="133" w:lineRule="exact"/>
              <w:rPr>
                <w:sz w:val="20"/>
                <w:szCs w:val="20"/>
                <w:color w:val="auto"/>
              </w:rPr>
            </w:pPr>
            <w:r>
              <w:rPr>
                <w:rFonts w:ascii="Arial" w:cs="Arial" w:eastAsia="Arial" w:hAnsi="Arial"/>
                <w:sz w:val="14"/>
                <w:szCs w:val="14"/>
                <w:b w:val="1"/>
                <w:bCs w:val="1"/>
                <w:color w:val="auto"/>
              </w:rPr>
              <w:t>Fair</w:t>
            </w:r>
          </w:p>
        </w:tc>
      </w:tr>
      <w:tr>
        <w:trPr>
          <w:trHeight w:val="171"/>
        </w:trPr>
        <w:tc>
          <w:tcPr>
            <w:tcW w:w="58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80,376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80,417</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72,467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72,473</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23,784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23,784</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176,627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176,674</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As of September 30, 2020, the fair values of available-for-sale marketable securities, by remaining contractual maturity, were as follows (in thousands):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1,074,047</w:t>
            </w: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year through five years</w:t>
            </w:r>
          </w:p>
        </w:tc>
        <w:tc>
          <w:tcPr>
            <w:tcW w:w="1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222,214</w:t>
            </w:r>
          </w:p>
        </w:tc>
      </w:tr>
      <w:tr>
        <w:trPr>
          <w:trHeight w:val="223"/>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1,296,261</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7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September 30, 2020 and December 31, 2019, and indicate the fair value hierarchy of the valuation inputs utilized to determine such fair value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Fair Value Measurement as of September 30, 2020</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14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w w:val="88"/>
              </w:rPr>
              <w:t>Level 2</w:t>
            </w: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307"/>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9"/>
              </w:rPr>
              <w:t>159,536</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87"/>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159,536</w:t>
            </w:r>
          </w:p>
        </w:tc>
        <w:tc>
          <w:tcPr>
            <w:tcW w:w="20" w:type="dxa"/>
            <w:vAlign w:val="bottom"/>
          </w:tcPr>
          <w:p>
            <w:pPr>
              <w:spacing w:after="0"/>
              <w:rPr>
                <w:sz w:val="19"/>
                <w:szCs w:val="19"/>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10,601</w:t>
            </w:r>
          </w:p>
        </w:tc>
        <w:tc>
          <w:tcPr>
            <w:tcW w:w="2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2"/>
              </w:rPr>
              <w:t>967,028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967,028</w:t>
            </w:r>
          </w:p>
        </w:tc>
        <w:tc>
          <w:tcPr>
            <w:tcW w:w="20" w:type="dxa"/>
            <w:vAlign w:val="bottom"/>
          </w:tcPr>
          <w:p>
            <w:pPr>
              <w:spacing w:after="0"/>
              <w:rPr>
                <w:sz w:val="19"/>
                <w:szCs w:val="19"/>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34,261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34,261</w:t>
            </w: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treasury securities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2"/>
              </w:rPr>
              <w:t>169,731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169,731</w:t>
            </w:r>
          </w:p>
        </w:tc>
        <w:tc>
          <w:tcPr>
            <w:tcW w:w="20" w:type="dxa"/>
            <w:vAlign w:val="bottom"/>
          </w:tcPr>
          <w:p>
            <w:pPr>
              <w:spacing w:after="0"/>
              <w:rPr>
                <w:sz w:val="19"/>
                <w:szCs w:val="19"/>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125,240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125,240</w:t>
            </w:r>
          </w:p>
        </w:tc>
        <w:tc>
          <w:tcPr>
            <w:tcW w:w="20" w:type="dxa"/>
            <w:vAlign w:val="bottom"/>
          </w:tcPr>
          <w:p>
            <w:pPr>
              <w:spacing w:after="0"/>
              <w:rPr>
                <w:sz w:val="19"/>
                <w:szCs w:val="19"/>
                <w:color w:val="auto"/>
              </w:rPr>
            </w:pPr>
          </w:p>
        </w:tc>
      </w:tr>
      <w:tr>
        <w:trPr>
          <w:trHeight w:val="223"/>
        </w:trPr>
        <w:tc>
          <w:tcPr>
            <w:tcW w:w="3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financial assets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9"/>
              </w:rPr>
              <w:t>159,536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1,317,361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1,476,897</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Fair Value Measurement as of December 31, 2019</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14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w w:val="88"/>
              </w:rPr>
              <w:t>Level 2</w:t>
            </w: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327"/>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9"/>
              </w:rPr>
              <w:t>588,762</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87"/>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588,762</w:t>
            </w:r>
          </w:p>
        </w:tc>
        <w:tc>
          <w:tcPr>
            <w:tcW w:w="2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80,417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80,417</w:t>
            </w:r>
          </w:p>
        </w:tc>
        <w:tc>
          <w:tcPr>
            <w:tcW w:w="20" w:type="dxa"/>
            <w:vAlign w:val="bottom"/>
          </w:tcPr>
          <w:p>
            <w:pPr>
              <w:spacing w:after="0"/>
              <w:rPr>
                <w:sz w:val="19"/>
                <w:szCs w:val="19"/>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72,473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72,473</w:t>
            </w:r>
          </w:p>
        </w:tc>
        <w:tc>
          <w:tcPr>
            <w:tcW w:w="2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23,784</w:t>
            </w:r>
          </w:p>
        </w:tc>
        <w:tc>
          <w:tcPr>
            <w:tcW w:w="20" w:type="dxa"/>
            <w:vAlign w:val="bottom"/>
          </w:tcPr>
          <w:p>
            <w:pPr>
              <w:spacing w:after="0"/>
              <w:rPr>
                <w:sz w:val="19"/>
                <w:szCs w:val="19"/>
                <w:color w:val="auto"/>
              </w:rPr>
            </w:pPr>
          </w:p>
        </w:tc>
      </w:tr>
      <w:tr>
        <w:trPr>
          <w:trHeight w:val="223"/>
        </w:trPr>
        <w:tc>
          <w:tcPr>
            <w:tcW w:w="314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89"/>
              </w:rPr>
              <w:t>588,762</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176,674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2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765,436</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w w:val="99"/>
              </w:rPr>
              <w:t>13</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14" w:name="page15"/>
    <w:bookmarkEnd w:id="14"/>
    <w:p>
      <w:pPr>
        <w:jc w:val="both"/>
        <w:ind w:right="20" w:firstLine="510"/>
        <w:spacing w:after="0" w:line="279" w:lineRule="auto"/>
        <w:rPr>
          <w:sz w:val="20"/>
          <w:szCs w:val="20"/>
          <w:color w:val="auto"/>
        </w:rPr>
      </w:pPr>
      <w:r>
        <w:rPr>
          <w:rFonts w:ascii="Arial" w:cs="Arial" w:eastAsia="Arial" w:hAnsi="Arial"/>
          <w:sz w:val="17"/>
          <w:szCs w:val="17"/>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21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40" w:type="dxa"/>
            <w:vAlign w:val="bottom"/>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jc w:val="right"/>
              <w:ind w:right="7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2019</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1640" w:type="dxa"/>
            <w:vAlign w:val="bottom"/>
            <w:shd w:val="clear" w:color="auto" w:fill="CFF0FC"/>
          </w:tcPr>
          <w:p>
            <w:pPr>
              <w:jc w:val="right"/>
              <w:ind w:right="14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10,544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7,536</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5,090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ind w:right="54"/>
              <w:spacing w:after="0"/>
              <w:rPr>
                <w:sz w:val="20"/>
                <w:szCs w:val="20"/>
                <w:color w:val="auto"/>
              </w:rPr>
            </w:pPr>
            <w:r>
              <w:rPr>
                <w:rFonts w:ascii="Arial" w:cs="Arial" w:eastAsia="Arial" w:hAnsi="Arial"/>
                <w:sz w:val="18"/>
                <w:szCs w:val="18"/>
                <w:color w:val="auto"/>
              </w:rPr>
              <w:t>4,804</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17,510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16,517</w:t>
            </w: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1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40,522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24,630</w:t>
            </w:r>
          </w:p>
        </w:tc>
      </w:tr>
      <w:tr>
        <w:trPr>
          <w:trHeight w:val="223"/>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640" w:type="dxa"/>
            <w:vAlign w:val="bottom"/>
            <w:shd w:val="clear" w:color="auto" w:fill="CFF0FC"/>
          </w:tcPr>
          <w:p>
            <w:pPr>
              <w:jc w:val="right"/>
              <w:ind w:right="14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73,666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53,487</w:t>
            </w: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640" w:type="dxa"/>
            <w:vAlign w:val="bottom"/>
            <w:tcBorders>
              <w:bottom w:val="single" w:sz="8" w:color="auto"/>
            </w:tcBorders>
            <w:shd w:val="clear" w:color="auto" w:fill="CFF0FC"/>
          </w:tcPr>
          <w:p>
            <w:pPr>
              <w:jc w:val="right"/>
              <w:ind w:right="14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42,059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32,749</w:t>
            </w:r>
          </w:p>
        </w:tc>
      </w:tr>
      <w:tr>
        <w:trPr>
          <w:trHeight w:val="20"/>
        </w:trPr>
        <w:tc>
          <w:tcPr>
            <w:tcW w:w="6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21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Depreciation and amortization expense was approximately $3.7 million and $10.7 million for the three and nine months ended September 30, 2020, respectively. Depreciation and amortization expense was approximately $3.8 million and $8.3 million for the three and nine months ended September 30,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25"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 xml:space="preserve">During the nine months ended September 30, 2020, we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September 30, 2020</w:t>
            </w:r>
          </w:p>
        </w:tc>
        <w:tc>
          <w:tcPr>
            <w:tcW w:w="1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322"/>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4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88"/>
              </w:rPr>
              <w:t>Net</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3,291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2,327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7"/>
              </w:rPr>
              <w:t>2-3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2019</w:t>
            </w: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322"/>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4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88"/>
              </w:rPr>
              <w:t>Net</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3,046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7"/>
              </w:rPr>
              <w:t>2-3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102"/>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5" w:name="page16"/>
    <w:bookmarkEnd w:id="15"/>
    <w:p>
      <w:pPr>
        <w:jc w:val="both"/>
        <w:ind w:firstLine="510"/>
        <w:spacing w:after="0" w:line="263" w:lineRule="auto"/>
        <w:rPr>
          <w:sz w:val="20"/>
          <w:szCs w:val="20"/>
          <w:color w:val="auto"/>
        </w:rPr>
      </w:pPr>
      <w:r>
        <w:rPr>
          <w:rFonts w:ascii="Arial" w:cs="Arial" w:eastAsia="Arial" w:hAnsi="Arial"/>
          <w:sz w:val="18"/>
          <w:szCs w:val="18"/>
          <w:color w:val="auto"/>
        </w:rPr>
        <w:t>Intangible amortization expense was approximately $0.3 million and $0.2 million for the three months ended September 30, 2020 and 2019, respectively, and $0.7 million and $0.5 million for the nine months ended September 30, 2020 and 2019, respectively. Amortization of developed technology is included in cost of revenue on the Company’s condensed consolidated statement of operations.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future amortization expense by year is expected to be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380" w:type="dxa"/>
            <w:vAlign w:val="bottom"/>
            <w:gridSpan w:val="2"/>
          </w:tcPr>
          <w:p>
            <w:pPr>
              <w:ind w:left="52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700" w:type="dxa"/>
            <w:vAlign w:val="bottom"/>
          </w:tcPr>
          <w:p>
            <w:pPr>
              <w:spacing w:after="0"/>
              <w:rPr>
                <w:sz w:val="24"/>
                <w:szCs w:val="24"/>
                <w:color w:val="auto"/>
              </w:rPr>
            </w:pPr>
          </w:p>
        </w:tc>
        <w:tc>
          <w:tcPr>
            <w:tcW w:w="56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440" w:type="dxa"/>
            <w:vAlign w:val="bottom"/>
            <w:gridSpan w:val="2"/>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2020 acquisition</w:t>
            </w: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23"/>
        </w:trPr>
        <w:tc>
          <w:tcPr>
            <w:tcW w:w="7380" w:type="dxa"/>
            <w:vAlign w:val="bottom"/>
            <w:gridSpan w:val="2"/>
          </w:tcPr>
          <w:p>
            <w:pPr>
              <w:ind w:left="1700"/>
              <w:spacing w:after="0"/>
              <w:rPr>
                <w:sz w:val="20"/>
                <w:szCs w:val="20"/>
                <w:color w:val="auto"/>
              </w:rPr>
            </w:pPr>
            <w:r>
              <w:rPr>
                <w:rFonts w:ascii="Arial" w:cs="Arial" w:eastAsia="Arial" w:hAnsi="Arial"/>
                <w:sz w:val="18"/>
                <w:szCs w:val="18"/>
                <w:color w:val="auto"/>
              </w:rPr>
              <w:t>Balance as of September 30, 2020</w:t>
            </w:r>
          </w:p>
        </w:tc>
        <w:tc>
          <w:tcPr>
            <w:tcW w:w="44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10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 period after any ten consecutive trading day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510"/>
        <w:spacing w:after="0" w:line="295" w:lineRule="auto"/>
        <w:rPr>
          <w:sz w:val="20"/>
          <w:szCs w:val="20"/>
          <w:color w:val="auto"/>
        </w:rPr>
      </w:pPr>
      <w:r>
        <w:rPr>
          <w:rFonts w:ascii="Arial" w:cs="Arial" w:eastAsia="Arial" w:hAnsi="Arial"/>
          <w:sz w:val="16"/>
          <w:szCs w:val="16"/>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the Company’s Class A common stock or a combination of cash and shares of the Company’s common stock, at the Company’s election. If the Company satisfies its conversion obligation solely in cash or through payment and delivery, as the case may be, of a combination of cash and shares of its Class A common stock, the amount of cash and shares of Class A common stock, if any, due upon conversion will be based on a daily conversion value calculated on a proportionate basis for each trading day in a 30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auto"/>
        </w:rPr>
        <w:t>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 It is the Company’s current intent to settle the principal amount of the 2025 Notes in cash.</w:t>
      </w:r>
    </w:p>
    <w:p>
      <w:pPr>
        <w:spacing w:after="0" w:line="1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three months ended September 30, 2020, the conditions allowing holders of the 2025 Notes to convert have not been met. The 2025 Notes were therefore not convertible during the three months ended September 30, 2020 and were classified as long-term debt on the Company’s condensed consolidated balance sheets.</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expected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representing the conversion option in additional paid-in capital.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61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747,500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(167,240)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180"/>
              <w:spacing w:after="0"/>
              <w:rPr>
                <w:sz w:val="20"/>
                <w:szCs w:val="20"/>
                <w:color w:val="auto"/>
              </w:rPr>
            </w:pPr>
            <w:r>
              <w:rPr>
                <w:rFonts w:ascii="Arial" w:cs="Arial" w:eastAsia="Arial" w:hAnsi="Arial"/>
                <w:sz w:val="18"/>
                <w:szCs w:val="18"/>
                <w:color w:val="auto"/>
              </w:rPr>
              <w:t>Net carrying amount</w:t>
            </w:r>
          </w:p>
        </w:tc>
        <w:tc>
          <w:tcPr>
            <w:tcW w:w="2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567,683</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w w:val="93"/>
              </w:rPr>
              <w:t>The net carrying amount of the equity component of the 2025 Notes was as follows (in thousands):</w:t>
            </w: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61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2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177,169</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Issuance costs</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173,070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September 30, 2020, the total estimated fair value of the 2025 Notes was approximately $994.1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510"/>
        <w:spacing w:after="0" w:line="277" w:lineRule="auto"/>
        <w:rPr>
          <w:sz w:val="20"/>
          <w:szCs w:val="20"/>
          <w:color w:val="auto"/>
        </w:rPr>
      </w:pPr>
      <w:r>
        <w:rPr>
          <w:rFonts w:ascii="Arial" w:cs="Arial" w:eastAsia="Arial" w:hAnsi="Arial"/>
          <w:sz w:val="18"/>
          <w:szCs w:val="18"/>
          <w:color w:val="auto"/>
        </w:rPr>
        <w:t>The following table sets forth the interest expense related to the 2025 Notes for each of the three and nine months ended September 30, 2020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4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45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10,852</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terms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—In January 2020, the Company entered into a cloud hosting agreement for a total purchase commitment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$21.0 million payable over the three years following the date of the applicable agreement.</w:t>
      </w:r>
    </w:p>
    <w:p>
      <w:pPr>
        <w:spacing w:after="0" w:line="170"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8"/>
          <w:szCs w:val="18"/>
          <w:color w:val="auto"/>
        </w:rPr>
        <w:t>In September 2020, the Company entered into a cloud hosting agreement for a total purchase commitment of $76.7 million payable over three years through October 2023.</w:t>
      </w:r>
    </w:p>
    <w:p>
      <w:pPr>
        <w:spacing w:after="0" w:line="14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b w:val="1"/>
          <w:bCs w:val="1"/>
          <w:i w:val="1"/>
          <w:iCs w:val="1"/>
          <w:color w:val="auto"/>
        </w:rPr>
        <w:t>Non-Income Tax Matters</w:t>
      </w:r>
      <w:r>
        <w:rPr>
          <w:rFonts w:ascii="Arial" w:cs="Arial" w:eastAsia="Arial" w:hAnsi="Arial"/>
          <w:sz w:val="16"/>
          <w:szCs w:val="16"/>
          <w:color w:val="auto"/>
        </w:rPr>
        <w:t>—In January 2016, the Company recorded a $5.4 million contingent Federal payroll tax liability in conjunction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repurchase transactions, as part of a capital raise, with certain of its employees. The potential payroll tax treatment of these transactions was subject to uncertainty, and the contingent payroll tax liability was deemed probable and reasonably estimable. On April 15, 2020, the period of limitations for assessing the contingent Federal payroll tax liability expired and the Company was legally released from being the primary obligor. As a result, the Company recognized a $5.6 million benefit in the condensed consolidated statement of operations during the nine months ended September 30, 2020.</w:t>
      </w:r>
    </w:p>
    <w:p>
      <w:pPr>
        <w:spacing w:after="0" w:line="16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b w:val="1"/>
          <w:bCs w:val="1"/>
          <w:i w:val="1"/>
          <w:iCs w:val="1"/>
          <w:color w:val="auto"/>
        </w:rPr>
        <w:t>401(k) Plan</w:t>
      </w:r>
      <w:r>
        <w:rPr>
          <w:rFonts w:ascii="Arial" w:cs="Arial" w:eastAsia="Arial" w:hAnsi="Arial"/>
          <w:sz w:val="18"/>
          <w:szCs w:val="18"/>
          <w:color w:val="auto"/>
        </w:rPr>
        <w:t>—The Company sponsors a 401(k) defined contribution plan covering all eligible US employees. Contributions to the 401(k) plan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discretionary. The Company did not make any matching contributions to the 401(k) plan for the three and nine months ended September 30, 2020 and 2019.</w:t>
      </w:r>
    </w:p>
    <w:p>
      <w:pPr>
        <w:spacing w:after="0" w:line="16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2020 and 2029.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4"/>
              </w:rPr>
              <w:t>Nine Months Ended</w:t>
            </w:r>
          </w:p>
        </w:tc>
        <w:tc>
          <w:tcPr>
            <w:tcW w:w="1300" w:type="dxa"/>
            <w:vAlign w:val="bottom"/>
          </w:tcPr>
          <w:p>
            <w:pPr>
              <w:spacing w:after="0"/>
              <w:rPr>
                <w:sz w:val="14"/>
                <w:szCs w:val="14"/>
                <w:color w:val="auto"/>
              </w:rPr>
            </w:pPr>
          </w:p>
        </w:tc>
      </w:tr>
      <w:tr>
        <w:trPr>
          <w:trHeight w:val="171"/>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tcBorders>
              <w:bottom w:val="single" w:sz="8" w:color="auto"/>
            </w:tcBorders>
          </w:tcPr>
          <w:p>
            <w:pPr>
              <w:spacing w:after="0"/>
              <w:rPr>
                <w:sz w:val="14"/>
                <w:szCs w:val="14"/>
                <w:color w:val="auto"/>
              </w:rPr>
            </w:pPr>
          </w:p>
        </w:tc>
      </w:tr>
      <w:tr>
        <w:trPr>
          <w:trHeight w:val="156"/>
        </w:trPr>
        <w:tc>
          <w:tcPr>
            <w:tcW w:w="2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3"/>
                <w:szCs w:val="13"/>
                <w:color w:val="auto"/>
              </w:rPr>
            </w:pPr>
          </w:p>
        </w:tc>
        <w:tc>
          <w:tcPr>
            <w:tcW w:w="138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jc w:val="right"/>
              <w:ind w:right="77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jc w:val="right"/>
              <w:ind w:right="7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7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4,252</w:t>
            </w:r>
          </w:p>
        </w:tc>
        <w:tc>
          <w:tcPr>
            <w:tcW w:w="1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3,885</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12,322</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9,715</w:t>
            </w: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136</w:t>
            </w: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2,763</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ind w:left="380" w:right="20" w:hanging="372"/>
        <w:spacing w:after="0" w:line="230"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lease expense of $3.4 million and $3.1 million for the three months ended September 30, 2020 and 2019, respectively, and $10.0 million and $7.6 million for the nine months ended September 30, 2020 and 2019, respectively.</w:t>
      </w: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related to Consumer Price Index adjustments, common area maintenance and property tax.</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23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63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4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10,622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6,077</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11,581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14,618</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by fiscal year for the Company’s operating leases are as follows (in thousands):</w:t>
      </w:r>
    </w:p>
    <w:p>
      <w:pPr>
        <w:spacing w:after="0" w:line="32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4,421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17,627</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17,410</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15,291</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2,572</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15,512</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72,833</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64,733</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As of September 30, 2020, the Company had two additional operating leases that had not yet commenced, which are excluded from the table above. The first operating lease will commence in fiscal year 2021 and had $19.0 million of undiscounted future payments with a lease term of 7.75 years. The second operating lease will commence in October 2020 and had $7.1 million of undiscounted future payments with a lease term of 3.25 years.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ind w:right="459"/>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1"/>
        </w:trPr>
        <w:tc>
          <w:tcPr>
            <w:tcW w:w="88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4.75%</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0"/>
                <w:szCs w:val="20"/>
                <w:color w:val="auto"/>
              </w:rPr>
            </w:pPr>
          </w:p>
        </w:tc>
      </w:tr>
      <w:tr>
        <w:trPr>
          <w:trHeight w:val="431"/>
        </w:trPr>
        <w:tc>
          <w:tcPr>
            <w:tcW w:w="7580" w:type="dxa"/>
            <w:vAlign w:val="bottom"/>
          </w:tcPr>
          <w:p>
            <w:pPr>
              <w:jc w:val="right"/>
              <w:ind w:right="1775"/>
              <w:spacing w:after="0"/>
              <w:rPr>
                <w:sz w:val="20"/>
                <w:szCs w:val="20"/>
                <w:color w:val="auto"/>
              </w:rPr>
            </w:pPr>
            <w:r>
              <w:rPr>
                <w:rFonts w:ascii="Arial" w:cs="Arial" w:eastAsia="Arial" w:hAnsi="Arial"/>
                <w:sz w:val="18"/>
                <w:szCs w:val="18"/>
                <w:color w:val="auto"/>
              </w:rPr>
              <w:t>18</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5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47"/>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4"/>
                <w:szCs w:val="14"/>
                <w:color w:val="auto"/>
              </w:rPr>
            </w:pPr>
          </w:p>
        </w:tc>
      </w:tr>
      <w:tr>
        <w:trPr>
          <w:trHeight w:val="171"/>
        </w:trPr>
        <w:tc>
          <w:tcPr>
            <w:tcW w:w="3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3"/>
                <w:szCs w:val="13"/>
                <w:color w:val="auto"/>
              </w:rPr>
            </w:pPr>
          </w:p>
        </w:tc>
        <w:tc>
          <w:tcPr>
            <w:tcW w:w="120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6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ind w:right="6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92"/>
              </w:rPr>
              <w:t>114,679</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70,904</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320,166</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186,340</w:t>
            </w:r>
          </w:p>
        </w:tc>
      </w:tr>
      <w:tr>
        <w:trPr>
          <w:trHeight w:val="229"/>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39,996</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24,960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105,769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62,796</w:t>
            </w: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92"/>
              </w:rPr>
              <w:t>154,675</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95,864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425,935</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249,136</w:t>
            </w:r>
          </w:p>
        </w:tc>
      </w:tr>
      <w:tr>
        <w:trPr>
          <w:trHeight w:val="20"/>
        </w:trPr>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Revenue recognized during the three months ended September 30, 2020 and 2019 that was included in the deferred revenue balances at the beginning of each such period was $73.3 million and $43.5 million, respectively. Revenue recognized during the nine months ended September 30, 2020 and 2019 that was included in the deferred revenue balances at the beginning of each such period was $121.0 million and $62.9 million, respectively.</w:t>
      </w:r>
    </w:p>
    <w:p>
      <w:pPr>
        <w:spacing w:after="0" w:line="14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2020 and December 31, 2019, the aggregate transaction price allocated to remaining performance obligations was $316.3 million and $243.8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nine months ended September 30, 2020 and 2019, the Company charged $0.9 million and $0.2 million, respectively, of accounts receivable deemed uncollectible against the allowance for credit losses.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2020, and December 31, 2019, unbilled accounts receivable of approximately $17.2 million and $14.4 million, respectively, was included in accounts receivable on the Company’s condensed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Deferred contract costs on the Company’s condensed consolidated balance sheets were $34.2 million and $25.8 million as of September 30, 2020 and December 31, 2019, respectively. Amortization expense was $2.7 million and $1.4 million for the three months ended September 30, 2020 and 2019, respectively, and was $7.3 million and $3.7 million for the nine months ended September 30, 2020 and 2019, respectively.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325"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49891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December 31, 2019</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21590</wp:posOffset>
            </wp:positionV>
            <wp:extent cx="498919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Amortization of deferred contract costs</w:t>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September 30,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028" w:hanging="1028"/>
        <w:spacing w:after="0"/>
        <w:tabs>
          <w:tab w:leader="none" w:pos="1028" w:val="left"/>
        </w:tabs>
        <w:numPr>
          <w:ilvl w:val="0"/>
          <w:numId w:val="6"/>
        </w:numPr>
        <w:rPr>
          <w:rFonts w:ascii="Arial" w:cs="Arial" w:eastAsia="Arial" w:hAnsi="Arial"/>
          <w:sz w:val="18"/>
          <w:szCs w:val="18"/>
          <w:color w:val="auto"/>
        </w:rPr>
      </w:pPr>
      <w:r>
        <w:rPr>
          <w:rFonts w:ascii="Arial" w:cs="Arial" w:eastAsia="Arial" w:hAnsi="Arial"/>
          <w:sz w:val="18"/>
          <w:szCs w:val="18"/>
          <w:color w:val="auto"/>
        </w:rPr>
        <w:t>25,755</w:t>
      </w:r>
    </w:p>
    <w:p>
      <w:pPr>
        <w:spacing w:after="0" w:line="21" w:lineRule="exact"/>
        <w:rPr>
          <w:rFonts w:ascii="Arial" w:cs="Arial" w:eastAsia="Arial" w:hAnsi="Arial"/>
          <w:sz w:val="18"/>
          <w:szCs w:val="18"/>
          <w:color w:val="auto"/>
        </w:rPr>
      </w:pPr>
    </w:p>
    <w:p>
      <w:pPr>
        <w:ind w:left="1028"/>
        <w:spacing w:after="0"/>
        <w:rPr>
          <w:rFonts w:ascii="Arial" w:cs="Arial" w:eastAsia="Arial" w:hAnsi="Arial"/>
          <w:sz w:val="18"/>
          <w:szCs w:val="18"/>
          <w:color w:val="auto"/>
        </w:rPr>
      </w:pPr>
      <w:r>
        <w:rPr>
          <w:rFonts w:ascii="Arial" w:cs="Arial" w:eastAsia="Arial" w:hAnsi="Arial"/>
          <w:sz w:val="18"/>
          <w:szCs w:val="18"/>
          <w:color w:val="auto"/>
        </w:rPr>
        <w:t>15,804</w:t>
      </w:r>
    </w:p>
    <w:p>
      <w:pPr>
        <w:spacing w:after="0" w:line="22"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7"/>
          <w:szCs w:val="17"/>
          <w:color w:val="auto"/>
        </w:rPr>
        <w:t>(7,348)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28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7" w:lineRule="exact"/>
        <w:rPr>
          <w:sz w:val="20"/>
          <w:szCs w:val="20"/>
          <w:color w:val="auto"/>
        </w:rPr>
      </w:pPr>
    </w:p>
    <w:p>
      <w:pPr>
        <w:ind w:left="1028" w:hanging="1028"/>
        <w:spacing w:after="0"/>
        <w:tabs>
          <w:tab w:leader="none" w:pos="1028" w:val="left"/>
        </w:tabs>
        <w:numPr>
          <w:ilvl w:val="0"/>
          <w:numId w:val="7"/>
        </w:numPr>
        <w:rPr>
          <w:rFonts w:ascii="Arial" w:cs="Arial" w:eastAsia="Arial" w:hAnsi="Arial"/>
          <w:sz w:val="18"/>
          <w:szCs w:val="18"/>
          <w:color w:val="auto"/>
        </w:rPr>
      </w:pPr>
      <w:r>
        <w:rPr>
          <w:rFonts w:ascii="Arial" w:cs="Arial" w:eastAsia="Arial" w:hAnsi="Arial"/>
          <w:sz w:val="18"/>
          <w:szCs w:val="18"/>
          <w:color w:val="auto"/>
        </w:rPr>
        <w:t>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8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28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7212" w:space="720"/>
            <w:col w:w="3308"/>
          </w:cols>
          <w:pgMar w:left="320" w:top="341" w:right="339" w:bottom="1440" w:gutter="0" w:footer="0" w:header="0"/>
          <w:type w:val="continuous"/>
        </w:sectPr>
      </w:pPr>
    </w:p>
    <w:p>
      <w:pPr>
        <w:spacing w:after="0" w:line="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three and nine months ended September 30, 2020, 16,808,933 shares and 134,419,844 shares of Class B common stock were converted into Class A common stock, respectively.</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color w:val="auto"/>
        </w:rPr>
        <w:t>As of September 30, 2020, the Company had authorized 2,000,000,000 shares of Class A common stock and 310,000,000 shares of Class B common stock, each at a par value per share of $0.00001, of which 206,054,826 shares of Class A common stock and 98,337,015 shares of Class B common stock were issued and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The Company has two equity incentive plans, the 2012 equity incentive plan (the “2012 Plan”) and the 2019 equity incentive plan (the “2019 Plan”). In connection with the IPO, the Company ceased granting awards under the 2012 Plan, and all shares that remained available for issuance under the 2012 Plan at that time were transferred to the 2019 Plan. Under the 2019 Plan, the Board and any other committee or subcommittee of the Board may grant stock options, stock appreciation rights (“SARs”), restricted stock awards (“RSAs”), restricted stock units (“RSUs”), and performance-based and other awards, each valued or based on the Company’s Class A common stock, to employees, consultants, and advisors of the Company. As of September 30, 2020, there were 43,324,876 shares available for grant under the 2019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26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outstanding—December 31, 2019</w:t>
            </w: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36,384,767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1,266,938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14,600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(7,555,561)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(511,680)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Balance outstanding—September 30, 2020</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28,332,126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6.9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2,800,772</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September 30, 2020, there were 35,300 shares of Class A common stock and 28,296,826 shares of Class B common stock issuable upon the exercise of options outstanding. As of December 31, 2019, there were 20,700 shares of Class A common stock and 36,364,067 shares of Class B common stock issuable upon the exercise of options outstanding.</w:t>
      </w:r>
    </w:p>
    <w:p>
      <w:pPr>
        <w:spacing w:after="0" w:line="22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$67.8 million and $90.5 million as of September 30, 2020 and December 31, 2019, respectively. The weighted-average period over which this compensation cost related to unvested employee awards will be recognized is 2.2 years and 2.7 years as of September 30, 2020 and December 31, 2019, respectively.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weighted-average grant-date fair value of options granted during the nine months ended September 30, 2020 and 2019 was $16.55 and $8.68, respectively. The Company received approximately $12.4 million and $7.3 million in cash proceeds from options exercised during the nine months ended September 30, 2020 and 2019, respectively. The intrinsic value of options exercised during the nine months ended September 30, 2020 and 2019 was approximately $443.4 million and $106.0 million, respectively. The aggregate fair value of options vested during the nine months ended September 30, 2020 and 2019 was $19.6 million and $8.5 million, respectively.</w:t>
      </w:r>
    </w:p>
    <w:p>
      <w:pPr>
        <w:spacing w:after="0" w:line="22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639,000 shares of common stock and 1,239,750 shares of common stock as of September 30, 2020 and December 31, 2019,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48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647,094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Awarded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4,102,243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(101,468)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outstanding—September 30, 2020</w:t>
            </w:r>
          </w:p>
        </w:tc>
        <w:tc>
          <w:tcPr>
            <w:tcW w:w="14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4,639,635</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June 2020, the Company granted 96,210 restricted shares of Class A common stock, which are subject to service-based vesting conditions over approximately four years. Total compensation cost related to unvested RSUs and restricted shares of common stock not yet recognized was approximately $227.2 million and $30.4 million as of September 30, 2020 and December 31, 2019, respectively. The weighted-average period over which this compensation cost related to unvested RSUs and restricted shares will be recognized is 3.5 years and 3.9 years as of September 30, 2020 and December 31, 2019,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Company’s IPO (the “Final Prospectus”). As of September 30, 2020, 9,354,222 shares of Class A common stock remain available for grant under the ESPP.</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recognized $1.4 million and $3.5 million of stock-based compensation expense related to the ESPP during the three and nine months ended September 30, 2020, respectively. As of September 30, 2020, $5.9 million has been withheld on behalf of employees for a future purchase under the ESPP due to the timing of payroll deductions. During the nine months ended September 30, 2020, the Company issued 320,104 shares of Class A common stock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is recognized on a straight-line basis over the requisite service period and account for forfeitures as they occur.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223"/>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529</w:t>
            </w: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1,167</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372</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24,723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3,709</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6,068</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1,540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13,683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3,276</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1,042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10,037</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2,659</w:t>
            </w: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net of amounts capitalized</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20,716</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4,677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49,610</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10,016</w:t>
            </w: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stock-based compensation expense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137</w:t>
            </w: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21,936</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4,691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51,131</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10,153</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2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r>
      <w:tr>
        <w:trPr>
          <w:trHeight w:val="155"/>
        </w:trPr>
        <w:tc>
          <w:tcPr>
            <w:tcW w:w="58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6,585</w:t>
            </w: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507</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14,734</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1,036</w:t>
            </w: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and other income, net</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7,135</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15,204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646</w:t>
            </w:r>
          </w:p>
        </w:tc>
      </w:tr>
      <w:tr>
        <w:trPr>
          <w:trHeight w:val="20"/>
        </w:trPr>
        <w:tc>
          <w:tcPr>
            <w:tcW w:w="5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has an effective tax rate of (4.09)% and (0.8)% for the three months ended September 30, 2020 and 2019, respectively, and (18.88)% and (2.2)% for the nine months ended September 30, 2020 and 2019, respectively. The Company has incurred U.S. operating losses and has minimal profits in its foreign jurisdictions.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3" w:name="page24"/>
    <w:bookmarkEnd w:id="23"/>
    <w:p>
      <w:pPr>
        <w:jc w:val="both"/>
        <w:ind w:firstLine="510"/>
        <w:spacing w:after="0" w:line="269" w:lineRule="auto"/>
        <w:rPr>
          <w:sz w:val="20"/>
          <w:szCs w:val="20"/>
          <w:color w:val="auto"/>
        </w:rPr>
      </w:pPr>
      <w:r>
        <w:rPr>
          <w:rFonts w:ascii="Arial" w:cs="Arial" w:eastAsia="Arial" w:hAnsi="Arial"/>
          <w:sz w:val="18"/>
          <w:szCs w:val="18"/>
          <w:color w:val="auto"/>
        </w:rPr>
        <w:t xml:space="preserve">The Company has applied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has determined that it has uncertain positions that would result in a tax reserve deemed immaterial for each of the nine months ended September 30, 2020 and 2019. The Company’s policy is to recognize interest and penalties related to uncertain tax positions in income tax expense. The Company is subject to U.S. federal tax authority, U.S. state tax authority and foreign tax authority examinations.</w:t>
      </w:r>
    </w:p>
    <w:p>
      <w:pPr>
        <w:spacing w:after="0" w:line="17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 xml:space="preserve">The Company early adopted the provisions of </w:t>
      </w:r>
      <w:r>
        <w:rPr>
          <w:rFonts w:ascii="Arial" w:cs="Arial" w:eastAsia="Arial" w:hAnsi="Arial"/>
          <w:sz w:val="17"/>
          <w:szCs w:val="17"/>
          <w:i w:val="1"/>
          <w:iCs w:val="1"/>
          <w:color w:val="auto"/>
        </w:rPr>
        <w:t>ASU No. 2019-12, Income Taxes (Topic 740): Simplifying the Accounting for Income Taxes</w:t>
      </w:r>
      <w:r>
        <w:rPr>
          <w:rFonts w:ascii="Arial" w:cs="Arial" w:eastAsia="Arial" w:hAnsi="Arial"/>
          <w:sz w:val="17"/>
          <w:szCs w:val="17"/>
          <w:color w:val="auto"/>
        </w:rPr>
        <w:t xml:space="preserve"> (“ASU No. 2019-12”) during the quarter ended September 30, 2020. As a result of the adoption of ASU No. 2019-12, the tax effect of the Company’s loss from continuing operations for the nine months ended September 30, 2020 was computed without regard to items other than from continuing operations. Furthermore, a valuation allowance was recorded to reduce the Company’s net deferred tax assets to its realizable value.</w:t>
      </w:r>
    </w:p>
    <w:p>
      <w:pPr>
        <w:spacing w:after="0" w:line="17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The CARES Act makes changes to the U.S. tax code, including, but not limited to: (1) 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Under ASC 740, the effects of new legislation would need to be recognized in the period of enactment. Therefore, the effects of the CARES Act would need to be accounted for in the quarter that includes March 27, 2020. The Company evaluated the provisions of the CARES Act and determined that there was no material impact for the three and nine months ended September 30, 2020. The Company will continue to monitor any updates to the legislation and assess the potential income tax impact.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9"/>
                <w:szCs w:val="19"/>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w w:val="85"/>
              </w:rPr>
              <w:t>Class B</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(9,773)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(17,444)</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w w:val="93"/>
              </w:rPr>
              <w:t>Weighted-average shares used in calculating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per share, basic</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195,176</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107,378</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101,554</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151,806</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147,299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782</w:t>
            </w: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86,976</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Diluted net loss per share:</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Allocation of distributed loss for basic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computation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(9,773)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(17,444)</w:t>
            </w: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loss as a</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result of conversion of Class B to Class A</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(17,444)</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loss</w:t>
            </w: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(15,150)</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(17,601)</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(17,444)</w:t>
            </w: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195,176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89"/>
              </w:rPr>
              <w:t>107,378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101,554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151,806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89"/>
              </w:rPr>
              <w:t>147,299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86,976</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Weighted-average effect of diluted securities: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w w:val="90"/>
              </w:rPr>
              <w:t>Conversion of Class B to Class A common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outstanding</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107,378</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101,554</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147,299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86,976</w:t>
            </w: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Number of shares used in diluted calculation</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89"/>
              </w:rPr>
              <w:t>302,554</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89"/>
              </w:rPr>
              <w:t>107,378</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9"/>
              </w:rPr>
              <w:t>103,876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101,554</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89"/>
              </w:rPr>
              <w:t>299,105</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89"/>
              </w:rPr>
              <w:t>147,299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87,758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86,976</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Since the Company was in a loss position for the periods presented,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As of September 30,</w:t>
            </w:r>
          </w:p>
        </w:tc>
      </w:tr>
      <w:tr>
        <w:trPr>
          <w:trHeight w:val="155"/>
        </w:trPr>
        <w:tc>
          <w:tcPr>
            <w:tcW w:w="54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outstanding stock options and restricted</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32,972</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Unvested early exercised stock options and restricted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the 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38,701</w:t>
            </w: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uses the treasury stock method for calculating the potential dilutive effect of the conversion spread on diluted net income per share; if any, as the Company currently expects to settle the principal amount of the 2025 Notes in cash, and any excess in shares of the Company’s Class A common stock. The shares of the underlying conversion option for the 2025 Notes were not considered in the calculation of diluted net income per share as the effect would have been anti-dilutive. The effect of the conversion spread becomes dilutive when the average share price for the Company’s Class A common stock exceeds the conversion price of $92.30 per share, which did not occur as of September 30, 2020.</w:t>
      </w:r>
    </w:p>
    <w:p>
      <w:pPr>
        <w:spacing w:after="0" w:line="2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 Q and our audited consolidated financial statements and the related notes and the discussion under the heading “Management’s Discussion and Analysis of Financial Condition and Results of Operations” in our Annual Report on Form 10-K for the fiscal year ended December 31, 2019,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9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As of September 30, 2020, we had $202.1 million in cash, cash equivalents and restricted cash. We generated revenue of $154.7 million and $95.9 million in the three months ended September 30, 2020 and 2019, respectively, representing year-over-year growth of 61%. For the nine months ended September 30, 2020 and 2019, our revenue was $425.9 million and $249.1 million, respectively, representing year-over-year growth of 71%. Substantially all of our revenue is subscription software sales. Our net loss was $(15.2) million and $(4.2) million for the three months ended September 30, 2020 and 2019, respectively, and $(8.4) million and $(17.6) million for the nine months ended September 30, 2020 and 2019, respectively. We generated operating cash flow of $85.3 million and $6.8 million in the nine months ended September 30, 2020 and 2019, respectively. Our free cash flow was $66.6 million and $(10.1) million in the nine months ended September 30, 2020 and 2019, respectively. See the section titled “—Liquidity and Capital Resources—Non-GAAP Free Cash Flow” for additional information.</w:t>
      </w:r>
    </w:p>
    <w:p>
      <w:pPr>
        <w:spacing w:after="0" w:line="1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its impact on industry events, and its effect on our customers, partners, suppliers and vendors and other parties with whom we do business,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2020, we had approximately 13,100 customers spanning organizations of a broad range of sizes and industries, compared to approximately 9,500 as of September 30, 2019.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base of customers represents a significant opportunity for further sales expansion. As of September 30, 2020, we had 1,107 customers with annual run-rate revenue, or ARR, of $100,000 or more, representing 77% of our ARR, up from 727 customers as of September 30, 2019, representing 73%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generally accepted accounting principles in the United States, or GAAP, on a monthly or annualized basis, as they are operating metrics that can be impacted by contract start and end dates and renewal rates. ARR and MRR are not intended to be replacements or forecasts of revenue.</w:t>
      </w:r>
    </w:p>
    <w:p>
      <w:pPr>
        <w:spacing w:after="0" w:line="18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September 30, 2020 and 2019,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April 2020. As of September 30, 2020, approximately 71% of our customers were using more than one product, up from approximately 50% a year earlier. We believe these metrics indicate strong momentum in the uptake of our newer platform products.</w:t>
      </w:r>
    </w:p>
    <w:p>
      <w:pPr>
        <w:spacing w:after="0" w:line="19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ectPr>
          <w:pgSz w:w="11900" w:h="16838" w:orient="portrait"/>
          <w:cols w:equalWidth="0" w:num="1">
            <w:col w:w="11240"/>
          </w:cols>
          <w:pgMar w:left="320" w:top="33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25% of total revenue in each of the nine months ended September 30, 2020 and 2019.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now have sales presence internationally, including in Dublin, London, Amsterdam, Paris, Singapore, Sydney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Other (expense) income, net consists primarily of interest expense due to our 0.125% convertible senior notes due 2025, or the 2025 Notes, and amortization of premiums on our marketable securities, partially offset by interest income, primarily due to income earned from investments in marketable securities and money market funds.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r>
      <w:tr>
        <w:trPr>
          <w:trHeight w:val="156"/>
        </w:trPr>
        <w:tc>
          <w:tcPr>
            <w:tcW w:w="1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r>
      <w:tr>
        <w:trPr>
          <w:trHeight w:val="197"/>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6"/>
              </w:rPr>
              <w:t>154,675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95,864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425,935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249,136</w:t>
            </w:r>
          </w:p>
        </w:tc>
      </w:tr>
      <w:tr>
        <w:trPr>
          <w:trHeight w:val="229"/>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(1)(2)(4)</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33,984</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23,297</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89,340</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63,225</w:t>
            </w: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6"/>
              </w:rPr>
              <w:t>120,691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72,567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336,595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185,911</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(1)(3)(4)</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56,440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28,684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142,928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75,531</w:t>
            </w:r>
          </w:p>
        </w:tc>
      </w:tr>
      <w:tr>
        <w:trPr>
          <w:trHeight w:val="229"/>
        </w:trPr>
        <w:tc>
          <w:tcPr>
            <w:tcW w:w="4240" w:type="dxa"/>
            <w:vAlign w:val="bottom"/>
            <w:gridSpan w:val="2"/>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(1)(3)(4)</w:t>
            </w:r>
          </w:p>
        </w:tc>
        <w:tc>
          <w:tcPr>
            <w:tcW w:w="92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57,142</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38,836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153,626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105,061</w:t>
            </w:r>
          </w:p>
        </w:tc>
      </w:tr>
      <w:tr>
        <w:trPr>
          <w:trHeight w:val="229"/>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(1)(3)(4)</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16,376</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9,265</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44,876</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23,193</w:t>
            </w:r>
          </w:p>
        </w:tc>
      </w:tr>
      <w:tr>
        <w:trPr>
          <w:trHeight w:val="223"/>
        </w:trPr>
        <w:tc>
          <w:tcPr>
            <w:tcW w:w="42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129,958</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76,785</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341,430</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203,785</w:t>
            </w: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(12,423)</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7,135</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15,204</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646</w:t>
            </w:r>
          </w:p>
        </w:tc>
      </w:tr>
      <w:tr>
        <w:trPr>
          <w:trHeight w:val="223"/>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646</w:t>
            </w: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(14,555)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(4,128)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(17,228)</w:t>
            </w: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(15,150)</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w:t>
            </w: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w w:val="96"/>
              </w:rPr>
              <w:t>Three Months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372</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w w:val="98"/>
              </w:rPr>
              <w:t>10,173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24,723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3,709</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6,068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13,683</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3,276</w:t>
            </w: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3,946</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1,042</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10,037</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2,659</w:t>
            </w:r>
          </w:p>
        </w:tc>
      </w:tr>
      <w:tr>
        <w:trPr>
          <w:trHeight w:val="223"/>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8"/>
              </w:rPr>
              <w:t>20,716</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4,677</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49,610</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10,016</w:t>
            </w:r>
          </w:p>
        </w:tc>
      </w:tr>
      <w:tr>
        <w:trPr>
          <w:trHeight w:val="20"/>
        </w:trPr>
        <w:tc>
          <w:tcPr>
            <w:tcW w:w="4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Nine Months Ended</w:t>
            </w:r>
          </w:p>
        </w:tc>
        <w:tc>
          <w:tcPr>
            <w:tcW w:w="110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274</w:t>
            </w:r>
          </w:p>
        </w:tc>
        <w:tc>
          <w:tcPr>
            <w:tcW w:w="120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668</w:t>
            </w:r>
          </w:p>
        </w:tc>
        <w:tc>
          <w:tcPr>
            <w:tcW w:w="6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non-cash benefit related to tax adjustment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3"/>
          </w:tcPr>
          <w:p>
            <w:pPr>
              <w:jc w:val="center"/>
              <w:ind w:right="39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11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r>
      <w:tr>
        <w:trPr>
          <w:trHeight w:val="237"/>
        </w:trPr>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1"/>
        </w:trPr>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
        </w:trPr>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r>
      <w:tr>
        <w:trPr>
          <w:trHeight w:val="223"/>
        </w:trPr>
        <w:tc>
          <w:tcPr>
            <w:tcW w:w="42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w:t>
            </w: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w w:val="96"/>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r>
      <w:tr>
        <w:trPr>
          <w:trHeight w:val="155"/>
        </w:trPr>
        <w:tc>
          <w:tcPr>
            <w:tcW w:w="1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10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1,877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262</w:t>
            </w:r>
          </w:p>
        </w:tc>
      </w:tr>
      <w:tr>
        <w:trPr>
          <w:trHeight w:val="229"/>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279</w:t>
            </w:r>
          </w:p>
        </w:tc>
      </w:tr>
      <w:tr>
        <w:trPr>
          <w:trHeight w:val="229"/>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552</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w:t>
            </w:r>
          </w:p>
        </w:tc>
      </w:tr>
      <w:tr>
        <w:trPr>
          <w:trHeight w:val="223"/>
        </w:trPr>
        <w:tc>
          <w:tcPr>
            <w:tcW w:w="31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2,086</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5,597</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560</w:t>
            </w:r>
          </w:p>
        </w:tc>
      </w:tr>
      <w:tr>
        <w:trPr>
          <w:trHeight w:val="20"/>
        </w:trPr>
        <w:tc>
          <w:tcPr>
            <w:tcW w:w="1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4"/>
                <w:szCs w:val="14"/>
                <w:color w:val="auto"/>
              </w:rPr>
            </w:pPr>
          </w:p>
        </w:tc>
      </w:tr>
      <w:tr>
        <w:trPr>
          <w:trHeight w:val="237"/>
        </w:trPr>
        <w:tc>
          <w:tcPr>
            <w:tcW w:w="4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11"/>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6"/>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8,062</w:t>
            </w:r>
          </w:p>
        </w:tc>
        <w:tc>
          <w:tcPr>
            <w:tcW w:w="120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10,546</w:t>
            </w:r>
          </w:p>
        </w:tc>
        <w:tc>
          <w:tcPr>
            <w:tcW w:w="6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1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tcBorders>
              <w:bottom w:val="single" w:sz="8" w:color="auto"/>
            </w:tcBorders>
          </w:tcPr>
          <w:p>
            <w:pPr>
              <w:spacing w:after="0"/>
              <w:rPr>
                <w:sz w:val="14"/>
                <w:szCs w:val="14"/>
                <w:color w:val="auto"/>
              </w:rPr>
            </w:pPr>
          </w:p>
        </w:tc>
      </w:tr>
      <w:tr>
        <w:trPr>
          <w:trHeight w:val="156"/>
        </w:trPr>
        <w:tc>
          <w:tcPr>
            <w:tcW w:w="40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920" w:type="dxa"/>
            <w:vAlign w:val="bottom"/>
            <w:tcBorders>
              <w:bottom w:val="single" w:sz="8" w:color="auto"/>
            </w:tcBorders>
            <w:gridSpan w:val="3"/>
          </w:tcPr>
          <w:p>
            <w:pPr>
              <w:ind w:left="1480"/>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2019</w:t>
            </w:r>
          </w:p>
        </w:tc>
      </w:tr>
      <w:tr>
        <w:trPr>
          <w:trHeight w:val="211"/>
        </w:trPr>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(as a percentage of total revenue</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25</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75</w:t>
            </w: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31</w:t>
            </w:r>
          </w:p>
        </w:tc>
      </w:tr>
      <w:tr>
        <w:trPr>
          <w:trHeight w:val="229"/>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42</w:t>
            </w:r>
          </w:p>
        </w:tc>
      </w:tr>
      <w:tr>
        <w:trPr>
          <w:trHeight w:val="230"/>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9</w:t>
            </w:r>
          </w:p>
        </w:tc>
      </w:tr>
      <w:tr>
        <w:trPr>
          <w:trHeight w:val="223"/>
        </w:trPr>
        <w:tc>
          <w:tcPr>
            <w:tcW w:w="4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82</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w:t>
            </w: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0</w:t>
            </w:r>
          </w:p>
        </w:tc>
      </w:tr>
      <w:tr>
        <w:trPr>
          <w:trHeight w:val="23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0</w:t>
            </w: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0</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900" w:type="dxa"/>
            <w:vAlign w:val="bottom"/>
          </w:tcPr>
          <w:p>
            <w:pPr>
              <w:spacing w:after="0"/>
              <w:rPr>
                <w:sz w:val="19"/>
                <w:szCs w:val="19"/>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w:t>
            </w: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2020 and 2019</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682"/>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3"/>
                <w:szCs w:val="13"/>
                <w:color w:val="auto"/>
              </w:rPr>
            </w:pPr>
          </w:p>
        </w:tc>
        <w:tc>
          <w:tcPr>
            <w:tcW w:w="1040" w:type="dxa"/>
            <w:vAlign w:val="bottom"/>
          </w:tcPr>
          <w:p>
            <w:pPr>
              <w:jc w:val="right"/>
              <w:ind w:right="639"/>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0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154,675</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95,864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58,811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62"/>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31" w:name="page32"/>
    <w:bookmarkEnd w:id="31"/>
    <w:p>
      <w:pPr>
        <w:jc w:val="both"/>
        <w:ind w:right="20" w:firstLine="510"/>
        <w:spacing w:after="0" w:line="263" w:lineRule="auto"/>
        <w:rPr>
          <w:sz w:val="20"/>
          <w:szCs w:val="20"/>
          <w:color w:val="auto"/>
        </w:rPr>
      </w:pPr>
      <w:r>
        <w:rPr>
          <w:rFonts w:ascii="Arial" w:cs="Arial" w:eastAsia="Arial" w:hAnsi="Arial"/>
          <w:sz w:val="18"/>
          <w:szCs w:val="18"/>
          <w:color w:val="auto"/>
        </w:rPr>
        <w:t>Revenue increased by $58.8 million, or 61%, for the three months ended September 30, 2020 compared to the three months ended September 30, 2019. Approximately 60% of the increase in revenue was attributable to growth from existing customers, and the remaining 40% was attributable to growth from new customers.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jc w:val="right"/>
              <w:ind w:right="69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w w:val="94"/>
              </w:rPr>
              <w:t>33,984</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23,297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10,687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Cost of revenue increased by $10.7 million, or 46%, for the three months ended September 30, 2020 compared to the three months ended September 30, 2019. This increase was primarily due to an increase of $9.3 million in third-party cloud infrastructure hosting and software costs and $1.4 million of personnel expenses as a result of increased headcount.</w:t>
      </w:r>
    </w:p>
    <w:p>
      <w:pPr>
        <w:spacing w:after="0" w:line="184"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gross margin increased 2% for the three months ended September 30, 2020 compared to the three months ended September 30, 2019, primarily as a result of increased revenue and cost savings from our third-party cloud infrastructure providers.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56,440</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28,684</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27,756</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36%</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Research and development expense increased by $27.8 million, or 97%, for the three months ended September 30, 2020 compared to the three months ended September 30, 2019. This increase was primarily due to an increase of $22.2 million in personnel costs for our engineering, product and design teams as a result of increased headcount, an increase of $5.1 million in cloud hosting costs, and an increase of $0.5 million in allocated overhead costs necessary for supporting the growth of the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57,142</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38,836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18,306</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37%</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Sales and marketing expense increased by $18.3 million, or 47%, for the three months ended September 30, 2020 compared to the three months ended September 30, 2019. This increase was primarily due to an increase of $16.4 million in personnel costs for our sales and marketing organization as a result of increased headcount and increased variable compensation for our sales personnel, an increase of $1.5 million in marketing and promotional activities and increase of $0.4 million in allocated overhead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8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center"/>
              <w:ind w:right="33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98"/>
              </w:rPr>
              <w:t>16,376</w:t>
            </w:r>
          </w:p>
        </w:tc>
        <w:tc>
          <w:tcPr>
            <w:tcW w:w="10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9,265</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7,111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2" w:name="page33"/>
    <w:bookmarkEnd w:id="32"/>
    <w:p>
      <w:pPr>
        <w:jc w:val="both"/>
        <w:ind w:firstLine="510"/>
        <w:spacing w:after="0" w:line="279" w:lineRule="auto"/>
        <w:rPr>
          <w:sz w:val="20"/>
          <w:szCs w:val="20"/>
          <w:color w:val="auto"/>
        </w:rPr>
      </w:pPr>
      <w:r>
        <w:rPr>
          <w:rFonts w:ascii="Arial" w:cs="Arial" w:eastAsia="Arial" w:hAnsi="Arial"/>
          <w:sz w:val="17"/>
          <w:szCs w:val="17"/>
          <w:color w:val="auto"/>
        </w:rPr>
        <w:t>General and administrative expense increased by $7.1 million, or 77%, for the three months ended September 30, 2020 compared to the three months ended September 30, 2019. This increase was primarily due to an increase of $4.8 million in personnel costs as a result of increased headcount, an increase of $1.5 million related to insurance fees, an increase of $0.5 million related to bad debt expense and an increase of $0.5 million related to allocated overhead costs. These amounts were partially offset by a decrease of $0.2 million related to professional services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gridSpan w:val="2"/>
          </w:tcPr>
          <w:p>
            <w:pPr>
              <w:jc w:val="center"/>
              <w:ind w:right="47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459"/>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3"/>
                <w:szCs w:val="13"/>
                <w:color w:val="auto"/>
              </w:rPr>
            </w:pPr>
          </w:p>
        </w:tc>
        <w:tc>
          <w:tcPr>
            <w:tcW w:w="118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(5,288)</w:t>
            </w:r>
          </w:p>
        </w:tc>
        <w:tc>
          <w:tcPr>
            <w:tcW w:w="118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(5,378)</w:t>
            </w: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Other (expense) income, net decreased by $5.4 million in the three months ended September 30, 2020 compared to the three months ended September 30, 2019. For the three months ended September 30, 2020, other expense included $8.3 million interest expense related to our 2025 Notes and $4.1 million amortization of premiums on our marketable securities. These amounts were partially offset by an increase of $7.0 million in interest income, mainly due to income earned from investments in marketable securities and money market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2020 and 2019</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ind w:right="664"/>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3"/>
                <w:szCs w:val="13"/>
                <w:color w:val="auto"/>
              </w:rPr>
            </w:pPr>
          </w:p>
        </w:tc>
        <w:tc>
          <w:tcPr>
            <w:tcW w:w="1040" w:type="dxa"/>
            <w:vAlign w:val="bottom"/>
          </w:tcPr>
          <w:p>
            <w:pPr>
              <w:jc w:val="right"/>
              <w:ind w:right="639"/>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0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425,935</w:t>
            </w:r>
          </w:p>
        </w:tc>
        <w:tc>
          <w:tcPr>
            <w:tcW w:w="7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249,136</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176,799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Revenue increased by $176.8 million, or 71%, in the nine months ended September 30, 2020 compared to the nine months ended September 30, 2019. Approximately 60% of the increase in revenue was attributable to the growth from existing customers, and the remaining 40% was attributable to growth from new customers.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9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w w:val="98"/>
              </w:rPr>
              <w:t>89,340</w:t>
            </w:r>
          </w:p>
        </w:tc>
        <w:tc>
          <w:tcPr>
            <w:tcW w:w="6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63,225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26,115</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Gross margin</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Cost of revenue increased by $26.1 million, or 41%, in the nine months ended September 30, 2020 compared to the nine months ended September 30, 2019. This increase was primarily due to an increase of $21.2 million in third-party cloud infrastructure hosting and software costs, an increase of $3.5 million in personnel expenses as a result of increased headcount, an increase of $0.8 million of depreciation and amortization, and an increase of $0.6 million of credit card processing fees and allocated overhead costs.</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gross margin increased 4% for the nine months ended September 30, 2020 compared to the nine months ended September 30, 2019, primarily as a result of increased revenue and cost savings from our third-party cloud infrastructure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89"/>
              </w:rPr>
              <w:t>142,928</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75,531</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67,397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increased by $67.4 million, or 89% in the nine months ended September 30, 2020 compared to the nine months ended September 30, 2019. This increase was primarily due to an increase of $57.6 million in personnel costs for our engineering, product and design teams as a result of increased headcount, an increase of $5.4 million in allocated overhead costs necessary for supporting the growth of the business and an increase of $4.4 million in cloud hosting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1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89"/>
              </w:rPr>
              <w:t>153,626</w:t>
            </w:r>
          </w:p>
        </w:tc>
        <w:tc>
          <w:tcPr>
            <w:tcW w:w="10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6"/>
              </w:rPr>
              <w:t>105,061</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48,565</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Sales and marketing expense increased by $48.6 million, or 46%, in the nine months ended September 30, 2020 compared to the nine months ended September 30, 2019. This increase was primarily due to an increase of $41.2 million in personnel costs for our sales and marketing organization as a result of increased headcount and increased variable compensation for our sales personnel, an increase of $4.3 million in marketing and promotional activities and an increase of $3.1 million in in allocated overhead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44,876</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23,193</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21,683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General and administrative expense increased by $21.7 million, or 93%, in the nine months ended September 30, 2020 compared to the nine months ended September 30, 2019. This increase was primarily due to an increase of $13.0 million in personnel expenses as a result of increased headcount, an increase of $4.8 million related to insurance fees, an increase of $2.0 million in allocated overhead expenses and an increase of $2.0 million related to bad debt expense. These amounts were partially offset by a decrease of $0.8 million related to professional services fees. In addition, general and administrative expense included a one-time donation in the amount of $0.7 million from Datadog and its employees in support of various charity organizations.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Nine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72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14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9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(2,220)</w:t>
            </w:r>
          </w:p>
        </w:tc>
        <w:tc>
          <w:tcPr>
            <w:tcW w:w="11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646</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Other (expense) income, net decreased by $2.9 million in the nine months ended September 30, 2020 compared to the nine months ended September 30, 2019. For the nine months ended September 30, 2020, other expense included $10.9 million interest expense due to our 2025 Notes and $6.6 million amortization of premiums on our marketable securities. These amounts were partially offset by an increase of $14.6 million in interest income mainly due to income earned from investments in marketable securities and money market funds.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June 2020, we issued $747.5 million aggregate principal amount of the 2025 Notes in a private placement to qualified institutional buyers pursuant to Rule 144A under the Securities Act. The total net proceeds from the sale of the 2025 Notes, after deducting the initial purchasers’ discounts and debt issuance costs, were approximately $730.2 million.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we had $198.5 million in cash and cash equivalents, and $1,296.3 million in marketable securities.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securities, certificates of deposit, U.S. government treasury and commercial paper.</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ongoing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 substantial source of our cash from operations is from our deferred revenue, which is included in the liabilities section of our condensed consolidated balance sheet. Deferred revenue consists of the unearned portion of customer billings, which will be recognized as revenue in accordance with our revenue recognition policy. As of September 30, 2020, we had deferred revenue of $166.5 million, of which $164.0 million was recorded as a current liability and expected to be recognized as revenue in the next 12 months, provided all other revenue recognition criteria have been met.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Nine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4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7"/>
                <w:szCs w:val="17"/>
                <w:color w:val="auto"/>
              </w:rPr>
            </w:pPr>
          </w:p>
        </w:tc>
      </w:tr>
      <w:tr>
        <w:trPr>
          <w:trHeight w:val="25"/>
        </w:trPr>
        <w:tc>
          <w:tcPr>
            <w:tcW w:w="4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3140" w:type="dxa"/>
            <w:vAlign w:val="bottom"/>
            <w:gridSpan w:val="2"/>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85,263</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6,804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(1,143,933)</w:t>
            </w:r>
          </w:p>
        </w:tc>
        <w:tc>
          <w:tcPr>
            <w:tcW w:w="7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(16,871)</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659,218</w:t>
            </w:r>
          </w:p>
        </w:tc>
        <w:tc>
          <w:tcPr>
            <w:tcW w:w="7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715,965</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510"/>
        <w:spacing w:after="0" w:line="270" w:lineRule="auto"/>
        <w:rPr>
          <w:sz w:val="20"/>
          <w:szCs w:val="20"/>
          <w:color w:val="auto"/>
        </w:rPr>
      </w:pPr>
      <w:r>
        <w:rPr>
          <w:rFonts w:ascii="Arial" w:cs="Arial" w:eastAsia="Arial" w:hAnsi="Arial"/>
          <w:sz w:val="17"/>
          <w:szCs w:val="17"/>
          <w:color w:val="auto"/>
        </w:rPr>
        <w:t>Cash provided by operating activities for the nine months ended September 30, 2020 of $85.3 million was primarily related to our net loss of $(8.4) million, adjusted for non-cash charges of $96.9 million and net cash outflows of $3.2 million provided by changes in our operating assets and liabilities. Non-cash charges primarily consisted of stock-based compensation, depreciation and amortization of property and equipment, amortization of acquired intangibles, non-cash lease expense, amortization of debt discount and issuance costs relating to 2025 Notes, and amortization of deferred contract costs. The main drivers of the changes in operating assets and liabilities were related to a $28.0 million increase in deferred revenue, resulting primarily from increased billings for subscriptions, a $6.9 million increase in accrued expenses and other liabilities and a $6.4 million increase in accounts payable. These amounts were partially offset by a $21.3 million increase in accounts receivable, net, due to increases in sales, a $15.8 million increase in deferred contract costs related to commissions paid on new bookings, a $6.8 increase in prepaid expenses and other current assets, primarily driven by prepaid hosting services and a $0.6 million increase in other assets.</w:t>
      </w:r>
    </w:p>
    <w:p>
      <w:pPr>
        <w:spacing w:after="0" w:line="18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Cash provided by operating activities for the nine months ended September 30, 2019 of $6.8 million was primarily related to our net loss of $(17.6) million, adjusted for non-cash charges of $32.2 million and net cash outflows of $7.8 million provided by changes in our operating assets and liabilities. Non-cash charges primarily consisted of stock-based compensation, depreciation and amortization of property and equipment, and amortization of acquired intangibles. The main drivers of the changes in operating assets and liabilities were related to a $51.1 million increase in deferred revenue, resulting primarily from increased billings for subscriptions and a $4.2 million increase in accounts payable. These amounts were partially offset by a $2.0 million decrease in accrued expenses and other liabilities, a $32.2 million increase in accounts receivable, net, due to increases in sales, a $9.5 million increase in prepaid expenses and other current assets, primarily driven by prepaid hosting services, a $10.9 million increase in deferred contract costs related to commissions paid on new bookings and a $8.5 million increase in other assets.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Cash used in investing activities for the nine months ended September 30, 2020 was $1,143.9 million, and was primarily the result of investment in marketable securities of $1,477.1 million, a $14.4 million increase in capitalization of software development costs, a $4.3 million increase in capital expenditures to purchase property and equipment to support office space and site operations, and a $2.4 million paid for an acquisition. These amounts were partially offset by proceeds of $268.5 million and $85.7 million from maturities and sales of marketable securities, respectively.</w:t>
      </w:r>
    </w:p>
    <w:p>
      <w:pPr>
        <w:spacing w:after="0" w:line="1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for the nine months ended September 30, 2019 was $16.9 million, and was the result of $9.8 million increase in capital expenditures to purchase property and equipment to support additional office space and site operations and $7.1 million increase in capitalization of software development costs.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Cash provided by financing activities for the nine months ended September 30, 2020 was $659.2 million and was primarily attributable to proceeds from the issuance of the 2025 Notes in the amount of $730.2 million, net of issuance costs, proceeds from the exercise of stock options in the amount of $12.3 million, and proceeds from the issuance of common stock under the 2019 Employee Stock Purchase Plan, or ESPP, in the amount of $7.7 million. These amounts were partially offset by an $89.6 million purchase of the capped call in connection with the issuance of the 2025 Notes, $1.0 million of taxes paid in connection with the ESPP and $0.4 million of initial public offering, or IPO, costs.</w:t>
      </w:r>
    </w:p>
    <w:p>
      <w:pPr>
        <w:spacing w:after="0" w:line="188"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Cash provided by financing activities for the nine months ended September 30, 2019 was $716.0 million and was primarily the result of aggregate net proceeds from our IPO in the amount of $708.7 million and proceeds from the exercise of stock options in the amount of $7.3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should not be considered in isolation or as a substitute for analysis of our financial results as reported under GAAP. Further, our definition of free cash flow may differ from the definitions used by other companies and therefore comparability may be limited. Free cash flow should be considered alongside our other GAAP-based financial performance measures, such as net cash used in operating activities, and our other GAAP financial results.</w:t>
      </w:r>
    </w:p>
    <w:p>
      <w:pPr>
        <w:spacing w:after="0" w:line="17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216"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Nine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1034"/>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6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7"/>
                <w:szCs w:val="17"/>
                <w:color w:val="auto"/>
              </w:rPr>
            </w:pPr>
          </w:p>
        </w:tc>
      </w:tr>
      <w:tr>
        <w:trPr>
          <w:trHeight w:val="26"/>
        </w:trPr>
        <w:tc>
          <w:tcPr>
            <w:tcW w:w="4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840" w:type="dxa"/>
            <w:vAlign w:val="bottom"/>
            <w:gridSpan w:val="2"/>
            <w:shd w:val="clear" w:color="auto" w:fill="CFF0FC"/>
          </w:tcPr>
          <w:p>
            <w:pPr>
              <w:jc w:val="right"/>
              <w:ind w:right="13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85,263</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6,804</w:t>
            </w: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(9,813)</w:t>
            </w: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Capitalized software development costs</w:t>
            </w:r>
          </w:p>
        </w:tc>
        <w:tc>
          <w:tcPr>
            <w:tcW w:w="13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Free cash flow</w:t>
            </w:r>
          </w:p>
        </w:tc>
        <w:tc>
          <w:tcPr>
            <w:tcW w:w="1360" w:type="dxa"/>
            <w:vAlign w:val="bottom"/>
          </w:tcPr>
          <w:p>
            <w:pPr>
              <w:spacing w:after="0"/>
              <w:rPr>
                <w:sz w:val="19"/>
                <w:szCs w:val="19"/>
                <w:color w:val="auto"/>
              </w:rPr>
            </w:pPr>
          </w:p>
        </w:tc>
        <w:tc>
          <w:tcPr>
            <w:tcW w:w="1480" w:type="dxa"/>
            <w:vAlign w:val="bottom"/>
            <w:tcBorders>
              <w:bottom w:val="single" w:sz="8" w:color="auto"/>
            </w:tcBorders>
          </w:tcPr>
          <w:p>
            <w:pPr>
              <w:jc w:val="right"/>
              <w:ind w:right="13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66,556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(10,067)</w:t>
            </w: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purchase commitments to our cloud hosting providers and other vendors, and obligations to pay the 2025 Notes’ coupons and principal.</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January 2020, we entered into a cloud services agreement, pursuant to which we are required to purchase an aggregate of at least $21.0 million of cloud services through January 2023.</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April 2020, we signed a new lease agreement with the existing landlord of our office in Boston. Per the agreement, we are required to pay an aggregate amount of $19.0 million over the course of the lease term from September 2021 through May 2029 for the new premises. Additionally, our existing Boston leases were extended from November 2025 through May 2029, requiring payment of an additional aggregate amount of $13.3 million to be paid over the course of the extended term for the covered space.</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In June 2020, we issued $747.5 million aggregate principal amount of our 2025 Notes in a private placement to qualified institutional buyers pursuant to Rule 144A under the Securities Act. The 2025 Notes will mature on June 15, 2025, unless earlier converted, redeemed or repurchased. For more information on the 2025 Notes, see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in our Notes to Unaudited Condensed Consolidated Financial Statements included in Part I, Item 1 of this Quarterly Report on Form 10-Q.</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In July 2020, we signed a new lease agreement relating to our office in New York City. Per the agreement, we are required to pay an aggregate amount of $7.1 million over the course of the lease term from March 2021 through December 2023 for the new premises.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September 2020, we entered into a cloud hosting agreement for a total purchase commitment of $76.7 million payable over three years through October 2023.</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There were no other material changes outside the ordinary course of business in our contractual obligations and commitments, as disclosed in Part II, Item 7, “Management’s Discussion and Analysis of Financial Condition and Results of Operations” of the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 of September 30, 2020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w:t>
      </w:r>
    </w:p>
    <w:p>
      <w:pPr>
        <w:spacing w:after="0" w:line="1" w:lineRule="exact"/>
        <w:rPr>
          <w:sz w:val="20"/>
          <w:szCs w:val="20"/>
          <w:color w:val="auto"/>
        </w:rPr>
      </w:pPr>
    </w:p>
    <w:p>
      <w:pPr>
        <w:jc w:val="both"/>
        <w:ind w:firstLine="8"/>
        <w:spacing w:after="0" w:line="253"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 Based on the market value of our Class A common stock held by non-affiliates as of June 30, 2020, we will cease to qualify as an emerging growth company, effective as of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 xml:space="preserve">As of September 30, 2020, we had $180.6 million in cash equivalents, and $1,296.3 million in marketable securities, </w:t>
      </w:r>
      <w:r>
        <w:rPr>
          <w:rFonts w:ascii="Arial" w:cs="Arial" w:eastAsia="Arial" w:hAnsi="Arial"/>
          <w:sz w:val="16"/>
          <w:szCs w:val="16"/>
          <w:color w:val="333333"/>
        </w:rPr>
        <w:t>which consisted</w:t>
      </w:r>
      <w:r>
        <w:rPr>
          <w:rFonts w:ascii="Arial" w:cs="Arial" w:eastAsia="Arial" w:hAnsi="Arial"/>
          <w:sz w:val="16"/>
          <w:szCs w:val="16"/>
          <w:color w:val="auto"/>
        </w:rPr>
        <w:t xml:space="preserve"> of commercial debt, certificates of deposit, U.S. government treasury and agency securities, and commercial paper</w:t>
      </w:r>
      <w:r>
        <w:rPr>
          <w:rFonts w:ascii="Arial" w:cs="Arial" w:eastAsia="Arial" w:hAnsi="Arial"/>
          <w:sz w:val="16"/>
          <w:szCs w:val="16"/>
          <w:color w:val="333333"/>
        </w:rPr>
        <w:t>. In addition, we had</w:t>
      </w:r>
      <w:r>
        <w:rPr>
          <w:rFonts w:ascii="Arial" w:cs="Arial" w:eastAsia="Arial" w:hAnsi="Arial"/>
          <w:sz w:val="16"/>
          <w:szCs w:val="16"/>
          <w:color w:val="auto"/>
        </w:rPr>
        <w:t xml:space="preserve"> $3.6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Arial" w:cs="Arial" w:eastAsia="Arial" w:hAnsi="Arial"/>
          <w:sz w:val="16"/>
          <w:szCs w:val="16"/>
          <w:color w:val="333333"/>
        </w:rPr>
        <w:t>Our investments are exposed to market risk due to a fluctuation in</w:t>
      </w:r>
      <w:r>
        <w:rPr>
          <w:rFonts w:ascii="Arial" w:cs="Arial" w:eastAsia="Arial" w:hAnsi="Arial"/>
          <w:sz w:val="16"/>
          <w:szCs w:val="16"/>
          <w:color w:val="auto"/>
        </w:rPr>
        <w:t xml:space="preserve"> </w:t>
      </w:r>
      <w:r>
        <w:rPr>
          <w:rFonts w:ascii="Arial" w:cs="Arial" w:eastAsia="Arial" w:hAnsi="Arial"/>
          <w:sz w:val="16"/>
          <w:szCs w:val="16"/>
          <w:color w:val="333333"/>
        </w:rPr>
        <w:t xml:space="preserve">interest rates, which may affect our interest income and the fair market value of our investments. </w:t>
      </w:r>
      <w:r>
        <w:rPr>
          <w:rFonts w:ascii="Arial" w:cs="Arial" w:eastAsia="Arial" w:hAnsi="Arial"/>
          <w:sz w:val="16"/>
          <w:szCs w:val="16"/>
          <w:color w:val="000000"/>
        </w:rPr>
        <w:t>As of September 30, 2020, a hypothetical 10% relative</w:t>
      </w:r>
      <w:r>
        <w:rPr>
          <w:rFonts w:ascii="Arial" w:cs="Arial" w:eastAsia="Arial" w:hAnsi="Arial"/>
          <w:sz w:val="16"/>
          <w:szCs w:val="16"/>
          <w:color w:val="333333"/>
        </w:rPr>
        <w:t xml:space="preserve"> </w:t>
      </w:r>
      <w:r>
        <w:rPr>
          <w:rFonts w:ascii="Arial" w:cs="Arial" w:eastAsia="Arial" w:hAnsi="Arial"/>
          <w:sz w:val="16"/>
          <w:szCs w:val="16"/>
          <w:color w:val="000000"/>
        </w:rPr>
        <w:t>change in interest rates would not have a material impact on our condensed consolidated financial statements.</w:t>
      </w:r>
    </w:p>
    <w:p>
      <w:pPr>
        <w:spacing w:after="0" w:line="16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 2025 Notes at face value less unamortized discount and unamortized issuance costs on our balance sheet, and we present the fair value for required disclosure purposes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Australia and the Netherlands.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2020.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7"/>
          <w:szCs w:val="17"/>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53" w:lineRule="exact"/>
        <w:rPr>
          <w:sz w:val="20"/>
          <w:szCs w:val="20"/>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may be adversely affected.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ongoing COVID-19 pandemic may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and the communities in which we participate. These measures include temporarily suspending all non-essential travel worldwide for our employees, canceling, postponing or holding virtually any Datadog events and discouraging employee attendance at any industry events or in-person work-related meetings. In addition, although we have recently and may continue to selectively reopen certain of our offices in compliance with applicable government orders and guidelines, the vast majority of our employees continue to work remotely. We have a distributed workforce and our employees are accustomed to working remotely and working with others who are working remotely. However, the temporary suspension of travel and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7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revenue was $425.9 million, $249.1 million, $362.8 million and $198.1 million for the nine months ended September 30, 2020 and 2019 and the years ended December 31, 2019 and 2018,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2" w:name="page43"/>
    <w:bookmarkEnd w:id="42"/>
    <w:p>
      <w:pPr>
        <w:jc w:val="both"/>
        <w:ind w:firstLine="510"/>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generated net loss of $(8.4) million, $(17.6) million, $(16.7) million and $(10.8) million for the nine months ended September 30, 2020 and 2019 and the years ended December 31, 2019 and 2018, respectively. As of September 30, 2020, we had an accumulated deficit of $132.0 million. While we have experienced significant revenue growth in recent periods, we are not certain whether or when we will obtain a high enough volume of sales to sustain or increase our growth or consistently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4"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we have seen an increase in phishing and spam emails in connection with the COVID-19 pandemic.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510"/>
        <w:spacing w:after="0" w:line="291"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Alphabet Inc. (Google Cloud Platform)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4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 xml:space="preserve">We have legal and contractual obligations regarding the protection of confidentiality and appropriate use of personally identifiable </w:t>
      </w:r>
      <w:r>
        <w:rPr>
          <w:rFonts w:ascii="Arial" w:cs="Arial" w:eastAsia="Arial" w:hAnsi="Arial"/>
          <w:sz w:val="16"/>
          <w:szCs w:val="16"/>
          <w:color w:val="333333"/>
        </w:rPr>
        <w:t>and other</w:t>
      </w:r>
      <w:r>
        <w:rPr>
          <w:rFonts w:ascii="Arial" w:cs="Arial" w:eastAsia="Arial" w:hAnsi="Arial"/>
          <w:sz w:val="16"/>
          <w:szCs w:val="16"/>
          <w:color w:val="auto"/>
        </w:rPr>
        <w:t xml:space="preserve"> </w:t>
      </w:r>
      <w:r>
        <w:rPr>
          <w:rFonts w:ascii="Arial" w:cs="Arial" w:eastAsia="Arial" w:hAnsi="Arial"/>
          <w:sz w:val="16"/>
          <w:szCs w:val="16"/>
          <w:color w:val="333333"/>
        </w:rPr>
        <w:t xml:space="preserve">proprietary </w:t>
      </w:r>
      <w:r>
        <w:rPr>
          <w:rFonts w:ascii="Arial" w:cs="Arial" w:eastAsia="Arial" w:hAnsi="Arial"/>
          <w:sz w:val="16"/>
          <w:szCs w:val="16"/>
          <w:color w:val="000000"/>
        </w:rPr>
        <w:t>information. We are subject to a variety of federal, state, local and international laws, directives and regulations relating to the collection, use,</w:t>
      </w:r>
      <w:r>
        <w:rPr>
          <w:rFonts w:ascii="Arial" w:cs="Arial" w:eastAsia="Arial" w:hAnsi="Arial"/>
          <w:sz w:val="16"/>
          <w:szCs w:val="16"/>
          <w:color w:val="333333"/>
        </w:rPr>
        <w:t xml:space="preserve"> </w:t>
      </w:r>
      <w:r>
        <w:rPr>
          <w:rFonts w:ascii="Arial" w:cs="Arial" w:eastAsia="Arial" w:hAnsi="Arial"/>
          <w:sz w:val="16"/>
          <w:szCs w:val="16"/>
          <w:color w:val="000000"/>
        </w:rPr>
        <w:t xml:space="preserve">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w:t>
      </w:r>
      <w:r>
        <w:rPr>
          <w:rFonts w:ascii="Arial" w:cs="Arial" w:eastAsia="Arial" w:hAnsi="Arial"/>
          <w:sz w:val="16"/>
          <w:szCs w:val="16"/>
          <w:color w:val="333333"/>
        </w:rPr>
        <w:t xml:space="preserve">private parties </w:t>
      </w:r>
      <w:r>
        <w:rPr>
          <w:rFonts w:ascii="Arial" w:cs="Arial" w:eastAsia="Arial" w:hAnsi="Arial"/>
          <w:sz w:val="16"/>
          <w:szCs w:val="16"/>
          <w:color w:val="000000"/>
        </w:rPr>
        <w:t>or others. In many jurisdictions, enforcement actions and consequences for noncompliance are rising. In the United States, these include</w:t>
      </w:r>
      <w:r>
        <w:rPr>
          <w:rFonts w:ascii="Arial" w:cs="Arial" w:eastAsia="Arial" w:hAnsi="Arial"/>
          <w:sz w:val="16"/>
          <w:szCs w:val="16"/>
          <w:color w:val="333333"/>
        </w:rPr>
        <w:t xml:space="preserve"> </w:t>
      </w:r>
      <w:r>
        <w:rPr>
          <w:rFonts w:ascii="Arial" w:cs="Arial" w:eastAsia="Arial" w:hAnsi="Arial"/>
          <w:sz w:val="16"/>
          <w:szCs w:val="16"/>
          <w:color w:val="000000"/>
        </w:rPr>
        <w:t>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7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 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firstLine="510"/>
        <w:spacing w:after="0" w:line="290" w:lineRule="auto"/>
        <w:rPr>
          <w:sz w:val="20"/>
          <w:szCs w:val="20"/>
          <w:color w:val="auto"/>
        </w:rPr>
      </w:pPr>
      <w:r>
        <w:rPr>
          <w:rFonts w:ascii="Arial" w:cs="Arial" w:eastAsia="Arial" w:hAnsi="Arial"/>
          <w:sz w:val="16"/>
          <w:szCs w:val="16"/>
          <w:color w:val="auto"/>
        </w:rPr>
        <w:t xml:space="preserve">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w:t>
      </w:r>
      <w:r>
        <w:rPr>
          <w:rFonts w:ascii="Arial" w:cs="Arial" w:eastAsia="Arial" w:hAnsi="Arial"/>
          <w:sz w:val="16"/>
          <w:szCs w:val="16"/>
          <w:color w:val="333333"/>
        </w:rPr>
        <w:t>continues to be delayed but could</w:t>
      </w:r>
      <w:r>
        <w:rPr>
          <w:rFonts w:ascii="Arial" w:cs="Arial" w:eastAsia="Arial" w:hAnsi="Arial"/>
          <w:sz w:val="16"/>
          <w:szCs w:val="16"/>
          <w:color w:val="auto"/>
        </w:rPr>
        <w:t xml:space="preserve"> be enacted in 2020.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6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510"/>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0" w:lineRule="exact"/>
        <w:rPr>
          <w:sz w:val="20"/>
          <w:szCs w:val="20"/>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25% of total revenue in each of the nine months ended September 30, 2020 and 2019.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2020, approximately 36% of our full-time employees were located outside of the United States, 42%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 or Brexit;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left="100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333333"/>
        </w:rPr>
        <w:t xml:space="preserve">an outbreak of a contagious disease, </w:t>
      </w:r>
      <w:r>
        <w:rPr>
          <w:rFonts w:ascii="Arial" w:cs="Arial" w:eastAsia="Arial" w:hAnsi="Arial"/>
          <w:sz w:val="18"/>
          <w:szCs w:val="18"/>
          <w:color w:val="000000"/>
        </w:rPr>
        <w:t>including COVID-19,</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333333"/>
        </w:rPr>
        <w:t>United Kingdom formally left the EU on January 31, 2020, commonly referred to as Brexit. Under the terms of the withdrawal agreement</w:t>
      </w:r>
      <w:r>
        <w:rPr>
          <w:rFonts w:ascii="Arial" w:cs="Arial" w:eastAsia="Arial" w:hAnsi="Arial"/>
          <w:sz w:val="18"/>
          <w:szCs w:val="18"/>
          <w:color w:val="auto"/>
        </w:rPr>
        <w:t xml:space="preserve"> </w:t>
      </w:r>
      <w:r>
        <w:rPr>
          <w:rFonts w:ascii="Arial" w:cs="Arial" w:eastAsia="Arial" w:hAnsi="Arial"/>
          <w:sz w:val="18"/>
          <w:szCs w:val="18"/>
          <w:color w:val="333333"/>
        </w:rPr>
        <w:t>agreed to between the United Kingdom and the EU, the United Kingdom will be subject to a transition period through December 31, 2020, during which EU rules will continue to apply. Negotiations between the United Kingdom and the EU are expected to continue in relation to their customs and trading relationship following this transition period.</w:t>
      </w:r>
    </w:p>
    <w:p>
      <w:pPr>
        <w:spacing w:after="0" w:line="1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333333"/>
        </w:rPr>
        <w:t>The uncertainty concerning the United Kingdom’s legal, political and economic relationships with the EU after the transition period may be a source of instability in the international markets, create significant currency fluctuations, and otherwise adversely affect trading agreements or similar cross-border co-operation arrangements (whether economic, tax, fiscal, legal, regulatory or otherwise). Further, if the United Kingdom and the EU are unable to negotiate acceptable trading and customs terms or if other EU Member States pursue withdrawal, barrier-free access between the United Kingdom and other EU Member States or among the European Economic Area overall could be diminished or eliminated. The long-term effects of Brexit will depend on any agreements (or lack thereof) between the United Kingdom and the EU and, in particular, any arrangements for the United Kingdom to retain access to EU markets after the transition period.</w:t>
      </w:r>
    </w:p>
    <w:p>
      <w:pPr>
        <w:spacing w:after="0" w:line="19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Brexit has already created economic uncertainty, and its consequences could adversely impact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of December 31, 2019, we had NOL carryforwards for federal and state income tax purposes of approximately $56.6 million and $42.0 million, respectively, which may be available to offset taxable income in the future, and which expire in various years beginning in 2031 for federal purposes and 2029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000" w:right="20" w:hanging="493"/>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Accounting principles under GAAP are subject to interpretation by the Financial Accounting Standards Board, the SEC and various other bodies formed to promulgate and interpret such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“Basis of Presentation and Summary of Significant Accounting Policies”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trading volume of our Class A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25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September 30, 2020, holders of our Class B common stock represented approximately 83% of the voting power of our outstanding capital stock. As a result, the holders of our Class B common stock, including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while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registered all of the shares of Class A common stock and Class B common stock issuable upon exercise of outstanding options or other equity incentives we may grant in the future, for public resale under the Securities Act. All such shares will become eligible for sale in the public market to the extent such options are exercised, subject to compliance with applicable securities laws, including the limitations of Rule 144 under the Securities Act applicable to our affiliates.</w:t>
      </w:r>
    </w:p>
    <w:p>
      <w:pPr>
        <w:spacing w:after="0" w:line="18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Further, as of September 30, 2020,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unfavorable or inaccurate research about our business, or if we fail to meet our publicly announced financial guidance, the market price and trading volume of our Class A common stock could decline.</w:t>
      </w:r>
    </w:p>
    <w:p>
      <w:pPr>
        <w:spacing w:after="0" w:line="146"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 longer qualify as an “emerging growth company” as of December 31, 2020 and, as a result, we will no longer be able to avail ourselves of certain reduced reporting and disclosure requirements.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currently an “emerging growth company,” as defined in the JOBS Act, and we have taken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It is possible that investors have found or will continue to find our Class A common stock less attractive in light of the fact that we have relied on certain of these exemptions.</w:t>
      </w:r>
    </w:p>
    <w:p>
      <w:pPr>
        <w:spacing w:after="0" w:line="18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Based on the market value of our Class A common stock held by non-affiliates as of June 30, 2020, we will cease to qualify as an emerging growth company, effective as of December 31, 2020. We will no longer be able to take advantage 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as we transition out of an “emerging growth company” status. Based on the market value of our Class A common stock held by non-affiliates as of June 30, 2020, we will cease to qualify as an emerging growth company, effective as of December 31, 2020.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contribute to increased legal and financial compliance costs and make some activities more time-consuming and costly.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are required, pursuant to Section 404 to furnish a report by management on, among other things, the effectiveness of our internal control over financial reporting and our independent registered public accounting firm will be required to attest to the effectiveness of our internal control over financial reporting for the fiscal year ending December 31, 2020. We have already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hired additional accounting and financial staff with appropriate public company experience and technical accounting knowledge, and compiled the system and process documentation necessary to perform the evaluation needed to comply with Section 404.</w:t>
      </w:r>
    </w:p>
    <w:p>
      <w:pPr>
        <w:spacing w:after="0" w:line="19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other employees.</w:t>
      </w:r>
    </w:p>
    <w:p>
      <w:pPr>
        <w:spacing w:after="0" w:line="16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2025 Notes, if triggered, may adversely affect our financial condition and operating results.</w:t>
      </w:r>
    </w:p>
    <w:p>
      <w:pPr>
        <w:spacing w:after="0" w:line="23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the event the conditional conversion feature of the 2025 Notes is triggered, holders of the 2025 Notes will be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 xml:space="preserve">Under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or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on our consolidated balance sheet at issuance, and the value of the equity component would be treated as original issue discount for purposes of accounting for the debt component of the 2025 Notes. As a result, we will be required to record a greater amount of non-cash interest expense in current periods presented as a result of the amortization of the discounted carrying value of the 2025 Notes to their face amount over the term of the 2025 Notes. We will report larger net losses or lower net income in our financial results because ASC 470-20 will require interest to include both the current period’s amortization of the debt discount and the instrument’s non-convertible coupon interest rate, which could adversely affect our reported or future financial results, the trading price of our common stock and the trading price of the 2025 Notes.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addition, under certain circumstances, convertible debt instruments (such as the 2025 Notes) that may be settled entirely or partly in cash are currently accounted for utilizing the treasury stock method, the effect of which is that the shares issuable upon conversion of such 2025 Notes are not included in the calculation of diluted earnings per share except to the extent that the conversion value of such 2025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certain that the accounting standards in the future will continue to permit the use of the treasury stock method. If we are unable or otherwise elect not to use the treasury stock method in accounting for the shares issuable upon conversion of the 2025 Notes, then the “if converted” method of accounting would be applied and accordingly, the full number of shares that could be issued would be included in the calculation of diluted earnings per share, which would adversely affect our diluted earnings per share. For example, the FASB recently published an exposure draft proposing to amend these accounting standards to eliminate the treasury stock method for convertible instruments and instead require application of the “if-converted” method. We cannot be sure that this exposure draft will be issued, or will be issued in its current form. We also cannot be sure whether other changes may be made to the current accounting standards related to the 2025 Notes, or otherwise, that could have an adverse impact on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offset the potential dilution to our Class A common stock as a result of any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and prior to the maturity of the 2025 Notes (and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520" w:right="7420" w:hanging="512"/>
        <w:spacing w:after="0" w:line="500" w:lineRule="auto"/>
        <w:tabs>
          <w:tab w:leader="none" w:pos="26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ind w:left="520" w:right="8140" w:hanging="512"/>
        <w:spacing w:after="0" w:line="500" w:lineRule="auto"/>
        <w:tabs>
          <w:tab w:leader="none" w:pos="25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9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9"/>
              </w:rPr>
              <w:t>Incorporated by Reference</w:t>
            </w:r>
          </w:p>
        </w:tc>
        <w:tc>
          <w:tcPr>
            <w:tcW w:w="1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gridSpan w:val="2"/>
            <w:vMerge w:val="continue"/>
          </w:tcPr>
          <w:p>
            <w:pPr>
              <w:spacing w:after="0"/>
              <w:rPr>
                <w:sz w:val="10"/>
                <w:szCs w:val="10"/>
                <w:color w:val="auto"/>
              </w:rPr>
            </w:pPr>
          </w:p>
        </w:tc>
        <w:tc>
          <w:tcPr>
            <w:tcW w:w="418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11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8"/>
              </w:rPr>
              <w:t>Exhibit</w:t>
            </w:r>
          </w:p>
        </w:tc>
        <w:tc>
          <w:tcPr>
            <w:tcW w:w="17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4180" w:type="dxa"/>
            <w:vAlign w:val="bottom"/>
            <w:gridSpan w:val="11"/>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860" w:type="dxa"/>
            <w:vAlign w:val="bottom"/>
            <w:tcBorders>
              <w:top w:val="single" w:sz="8" w:color="auto"/>
            </w:tcBorders>
          </w:tcPr>
          <w:p>
            <w:pPr>
              <w:jc w:val="right"/>
              <w:ind w:right="4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900" w:type="dxa"/>
            <w:vAlign w:val="bottom"/>
            <w:tcBorders>
              <w:top w:val="single" w:sz="8" w:color="auto"/>
              <w:bottom w:val="single" w:sz="8" w:color="0000EE"/>
            </w:tcBorders>
            <w:gridSpan w:val="8"/>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Amended and Restated Certificate of Incorporation of</w:t>
              </w:r>
            </w:hyperlink>
          </w:p>
        </w:tc>
        <w:tc>
          <w:tcPr>
            <w:tcW w:w="280" w:type="dxa"/>
            <w:vAlign w:val="bottom"/>
            <w:tcBorders>
              <w:top w:val="single" w:sz="8" w:color="auto"/>
            </w:tcBorders>
            <w:gridSpan w:val="3"/>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001-39051</w:t>
            </w:r>
          </w:p>
        </w:tc>
        <w:tc>
          <w:tcPr>
            <w:tcW w:w="1100" w:type="dxa"/>
            <w:vAlign w:val="bottom"/>
            <w:tcBorders>
              <w:top w:val="single" w:sz="8" w:color="auto"/>
            </w:tcBorders>
          </w:tcPr>
          <w:p>
            <w:pPr>
              <w:jc w:val="center"/>
              <w:ind w:right="76"/>
              <w:spacing w:after="0"/>
              <w:rPr>
                <w:sz w:val="20"/>
                <w:szCs w:val="20"/>
                <w:color w:val="auto"/>
              </w:rPr>
            </w:pPr>
            <w:r>
              <w:rPr>
                <w:rFonts w:ascii="Arial" w:cs="Arial" w:eastAsia="Arial" w:hAnsi="Arial"/>
                <w:sz w:val="18"/>
                <w:szCs w:val="18"/>
                <w:color w:val="auto"/>
                <w:w w:val="87"/>
              </w:rPr>
              <w:t>3.1</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September 23, 2019</w:t>
            </w: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Datadog, Inc.</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jc w:val="right"/>
              <w:ind w:right="45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Amended and Restated Bylaws of Datadog, Inc.</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79"/>
              <w:spacing w:after="0"/>
              <w:rPr>
                <w:sz w:val="20"/>
                <w:szCs w:val="20"/>
                <w:color w:val="auto"/>
              </w:rPr>
            </w:pPr>
            <w:r>
              <w:rPr>
                <w:rFonts w:ascii="Arial" w:cs="Arial" w:eastAsia="Arial" w:hAnsi="Arial"/>
                <w:sz w:val="18"/>
                <w:szCs w:val="18"/>
                <w:color w:val="auto"/>
              </w:rPr>
              <w:t>333-233428</w:t>
            </w:r>
          </w:p>
        </w:tc>
        <w:tc>
          <w:tcPr>
            <w:tcW w:w="1100" w:type="dxa"/>
            <w:vAlign w:val="bottom"/>
          </w:tcPr>
          <w:p>
            <w:pPr>
              <w:jc w:val="center"/>
              <w:ind w:right="76"/>
              <w:spacing w:after="0"/>
              <w:rPr>
                <w:sz w:val="20"/>
                <w:szCs w:val="20"/>
                <w:color w:val="auto"/>
              </w:rPr>
            </w:pPr>
            <w:r>
              <w:rPr>
                <w:rFonts w:ascii="Arial" w:cs="Arial" w:eastAsia="Arial" w:hAnsi="Arial"/>
                <w:sz w:val="18"/>
                <w:szCs w:val="18"/>
                <w:color w:val="auto"/>
                <w:w w:val="87"/>
              </w:rPr>
              <w:t>3.4</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3"/>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38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Principal Executive Officer Pursuant</w:t>
              </w:r>
            </w:hyperlink>
          </w:p>
        </w:tc>
        <w:tc>
          <w:tcPr>
            <w:tcW w:w="3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to Rules 13a-14(a) and 15d-14(a) under the Securities</w:t>
              </w:r>
            </w:hyperlink>
          </w:p>
        </w:tc>
        <w:tc>
          <w:tcPr>
            <w:tcW w:w="3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3"/>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3"/>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of Principal Executive Officer Pursuant</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2"/>
          </w:tcPr>
          <w:p>
            <w:pPr>
              <w:spacing w:after="0"/>
              <w:rPr>
                <w:sz w:val="17"/>
                <w:szCs w:val="17"/>
                <w:color w:val="auto"/>
              </w:rPr>
            </w:pPr>
          </w:p>
        </w:tc>
        <w:tc>
          <w:tcPr>
            <w:tcW w:w="3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3"/>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98"/>
              </w:rPr>
            </w:pPr>
            <w:hyperlink w:anchor="page72">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18 U.S.C. Section 1350, as Adopted Pursuant to</w:t>
              </w:r>
            </w:hyperlink>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380" w:hanging="372"/>
        <w:spacing w:after="0" w:line="238"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2"/>
          </w:tcPr>
          <w:p>
            <w:pPr>
              <w:ind w:left="1820"/>
              <w:spacing w:after="0"/>
              <w:rPr>
                <w:sz w:val="20"/>
                <w:szCs w:val="20"/>
                <w:color w:val="auto"/>
              </w:rPr>
            </w:pPr>
            <w:r>
              <w:rPr>
                <w:rFonts w:ascii="Arial" w:cs="Arial" w:eastAsia="Arial" w:hAnsi="Arial"/>
                <w:sz w:val="18"/>
                <w:szCs w:val="18"/>
                <w:color w:val="auto"/>
              </w:rPr>
              <w:t>DATADOG, INC.</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480" w:type="dxa"/>
            <w:vAlign w:val="bottom"/>
          </w:tcPr>
          <w:p>
            <w:pPr>
              <w:ind w:left="18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9"/>
        </w:trPr>
        <w:tc>
          <w:tcPr>
            <w:tcW w:w="3680" w:type="dxa"/>
            <w:vAlign w:val="bottom"/>
          </w:tcPr>
          <w:p>
            <w:pPr>
              <w:spacing w:after="0"/>
              <w:rPr>
                <w:sz w:val="18"/>
                <w:szCs w:val="18"/>
                <w:color w:val="auto"/>
              </w:rPr>
            </w:pPr>
          </w:p>
        </w:tc>
        <w:tc>
          <w:tcPr>
            <w:tcW w:w="2480" w:type="dxa"/>
            <w:vAlign w:val="bottom"/>
          </w:tcPr>
          <w:p>
            <w:pPr>
              <w:ind w:left="182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16"/>
        </w:trPr>
        <w:tc>
          <w:tcPr>
            <w:tcW w:w="3680" w:type="dxa"/>
            <w:vAlign w:val="bottom"/>
          </w:tcPr>
          <w:p>
            <w:pPr>
              <w:spacing w:after="0"/>
              <w:rPr>
                <w:sz w:val="18"/>
                <w:szCs w:val="18"/>
                <w:color w:val="auto"/>
              </w:rPr>
            </w:pPr>
          </w:p>
        </w:tc>
        <w:tc>
          <w:tcPr>
            <w:tcW w:w="2480" w:type="dxa"/>
            <w:vAlign w:val="bottom"/>
          </w:tcPr>
          <w:p>
            <w:pPr>
              <w:ind w:left="182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480" w:type="dxa"/>
            <w:vAlign w:val="bottom"/>
          </w:tcPr>
          <w:p>
            <w:pPr>
              <w:ind w:left="18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Obstler</w:t>
            </w:r>
          </w:p>
        </w:tc>
      </w:tr>
      <w:tr>
        <w:trPr>
          <w:trHeight w:val="209"/>
        </w:trPr>
        <w:tc>
          <w:tcPr>
            <w:tcW w:w="3680" w:type="dxa"/>
            <w:vAlign w:val="bottom"/>
          </w:tcPr>
          <w:p>
            <w:pPr>
              <w:spacing w:after="0"/>
              <w:rPr>
                <w:sz w:val="18"/>
                <w:szCs w:val="18"/>
                <w:color w:val="auto"/>
              </w:rPr>
            </w:pPr>
          </w:p>
        </w:tc>
        <w:tc>
          <w:tcPr>
            <w:tcW w:w="2480" w:type="dxa"/>
            <w:vAlign w:val="bottom"/>
          </w:tcPr>
          <w:p>
            <w:pPr>
              <w:ind w:left="182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David Obstler</w:t>
            </w:r>
          </w:p>
        </w:tc>
      </w:tr>
      <w:tr>
        <w:trPr>
          <w:trHeight w:val="216"/>
        </w:trPr>
        <w:tc>
          <w:tcPr>
            <w:tcW w:w="3680" w:type="dxa"/>
            <w:vAlign w:val="bottom"/>
          </w:tcPr>
          <w:p>
            <w:pPr>
              <w:spacing w:after="0"/>
              <w:rPr>
                <w:sz w:val="18"/>
                <w:szCs w:val="18"/>
                <w:color w:val="auto"/>
              </w:rPr>
            </w:pPr>
          </w:p>
        </w:tc>
        <w:tc>
          <w:tcPr>
            <w:tcW w:w="2480" w:type="dxa"/>
            <w:vAlign w:val="bottom"/>
          </w:tcPr>
          <w:p>
            <w:pPr>
              <w:ind w:left="182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680" w:type="dxa"/>
            <w:vAlign w:val="bottom"/>
          </w:tcPr>
          <w:p>
            <w:pPr>
              <w:spacing w:after="0"/>
              <w:rPr>
                <w:sz w:val="24"/>
                <w:szCs w:val="24"/>
                <w:color w:val="auto"/>
              </w:rPr>
            </w:pPr>
          </w:p>
        </w:tc>
        <w:tc>
          <w:tcPr>
            <w:tcW w:w="2480" w:type="dxa"/>
            <w:vAlign w:val="bottom"/>
          </w:tcPr>
          <w:p>
            <w:pPr>
              <w:ind w:left="1860"/>
              <w:spacing w:after="0"/>
              <w:rPr>
                <w:sz w:val="20"/>
                <w:szCs w:val="20"/>
                <w:color w:val="auto"/>
              </w:rPr>
            </w:pPr>
            <w:r>
              <w:rPr>
                <w:rFonts w:ascii="Arial" w:cs="Arial" w:eastAsia="Arial" w:hAnsi="Arial"/>
                <w:sz w:val="18"/>
                <w:szCs w:val="18"/>
                <w:color w:val="auto"/>
              </w:rPr>
              <w:t>67</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2020;</w:t>
      </w:r>
    </w:p>
    <w:p>
      <w:pPr>
        <w:spacing w:after="0" w:line="23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440" w:type="dxa"/>
            <w:vAlign w:val="bottom"/>
          </w:tcPr>
          <w:p>
            <w:pPr>
              <w:ind w:left="216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0"/>
                <w:szCs w:val="20"/>
                <w:color w:val="auto"/>
              </w:rPr>
            </w:pPr>
          </w:p>
        </w:tc>
        <w:tc>
          <w:tcPr>
            <w:tcW w:w="4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Olivier Pomel</w:t>
            </w:r>
          </w:p>
        </w:tc>
      </w:tr>
      <w:tr>
        <w:trPr>
          <w:trHeight w:val="191"/>
        </w:trPr>
        <w:tc>
          <w:tcPr>
            <w:tcW w:w="4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tc>
      </w:tr>
      <w:tr>
        <w:trPr>
          <w:trHeight w:val="220"/>
        </w:trPr>
        <w:tc>
          <w:tcPr>
            <w:tcW w:w="4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Director</w:t>
            </w:r>
          </w:p>
        </w:tc>
      </w:tr>
      <w:tr>
        <w:trPr>
          <w:trHeight w:val="230"/>
        </w:trPr>
        <w:tc>
          <w:tcPr>
            <w:tcW w:w="4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2020;</w:t>
      </w:r>
    </w:p>
    <w:p>
      <w:pPr>
        <w:spacing w:after="0" w:line="23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 November 12, 2020</w:t>
            </w:r>
          </w:p>
        </w:tc>
        <w:tc>
          <w:tcPr>
            <w:tcW w:w="298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4220" w:type="dxa"/>
            <w:vAlign w:val="bottom"/>
          </w:tcPr>
          <w:p>
            <w:pPr>
              <w:ind w:left="60"/>
              <w:spacing w:after="0"/>
              <w:rPr>
                <w:sz w:val="20"/>
                <w:szCs w:val="20"/>
                <w:color w:val="auto"/>
              </w:rPr>
            </w:pPr>
            <w:r>
              <w:rPr>
                <w:rFonts w:ascii="Arial" w:cs="Arial" w:eastAsia="Arial" w:hAnsi="Arial"/>
                <w:sz w:val="18"/>
                <w:szCs w:val="18"/>
                <w:color w:val="auto"/>
              </w:rPr>
              <w:t>/s/ David Obstler</w:t>
            </w:r>
          </w:p>
        </w:tc>
      </w:tr>
      <w:tr>
        <w:trPr>
          <w:trHeight w:val="191"/>
        </w:trPr>
        <w:tc>
          <w:tcPr>
            <w:tcW w:w="40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tc>
      </w:tr>
      <w:tr>
        <w:trPr>
          <w:trHeight w:val="220"/>
        </w:trPr>
        <w:tc>
          <w:tcPr>
            <w:tcW w:w="4040" w:type="dxa"/>
            <w:vAlign w:val="bottom"/>
          </w:tcPr>
          <w:p>
            <w:pPr>
              <w:spacing w:after="0"/>
              <w:rPr>
                <w:sz w:val="19"/>
                <w:szCs w:val="19"/>
                <w:color w:val="auto"/>
              </w:rPr>
            </w:pPr>
          </w:p>
        </w:tc>
        <w:tc>
          <w:tcPr>
            <w:tcW w:w="2980" w:type="dxa"/>
            <w:vAlign w:val="bottom"/>
            <w:gridSpan w:val="2"/>
          </w:tcPr>
          <w:p>
            <w:pPr>
              <w:ind w:left="2480"/>
              <w:spacing w:after="0"/>
              <w:rPr>
                <w:sz w:val="20"/>
                <w:szCs w:val="20"/>
                <w:color w:val="auto"/>
              </w:rPr>
            </w:pPr>
            <w:r>
              <w:rPr>
                <w:rFonts w:ascii="Arial" w:cs="Arial" w:eastAsia="Arial" w:hAnsi="Arial"/>
                <w:sz w:val="18"/>
                <w:szCs w:val="18"/>
                <w:b w:val="1"/>
                <w:bCs w:val="1"/>
                <w:color w:val="auto"/>
              </w:rPr>
              <w:t>Title:</w:t>
            </w: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4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September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September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7" Type="http://schemas.openxmlformats.org/officeDocument/2006/relationships/hyperlink" Target="http://www.sec.gov/Archives/edgar/data/1561550/000119312519252279/d803834dex31.htm" TargetMode="External"/><Relationship Id="rId98" Type="http://schemas.openxmlformats.org/officeDocument/2006/relationships/hyperlink" Target="http://www.sec.gov/Archives/edgar/data/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2020-11-12T15:42:35Z</dcterms:created>
  <dcterms:modified xsi:type="dcterms:W3CDTF">2020-11-12T15:42:35Z</dcterms:modified>
</cp:coreProperties>
</file>