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November 1, 2024, there were 313,213,676 shares of the registrant’s Class A common stock and 26,509,379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46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94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2024 and 2023</w:t>
            </w: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and Nine Months Ended September 30,</w:t>
            </w:r>
          </w:p>
        </w:tc>
        <w:tc>
          <w:tcPr>
            <w:tcW w:w="1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118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2,252,559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$14,310 and $12,096 as of September 30, 2024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3,789,434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4,631,471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2,002,326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1,910,718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September 30, 2024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312,921,519 and 305,395,175 shares issued and outstanding as of September 30, 2024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September 30, 2024</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2023; 26,348,891 and 25,684,571 shares issued and outstanding as of September 30, 2024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2,181,267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(153,698)</w:t>
            </w:r>
          </w:p>
        </w:tc>
        <w:tc>
          <w:tcPr>
            <w:tcW w:w="0" w:type="dxa"/>
            <w:vAlign w:val="bottom"/>
          </w:tcPr>
          <w:p>
            <w:pPr>
              <w:spacing w:after="0"/>
              <w:rPr>
                <w:sz w:val="1"/>
                <w:szCs w:val="1"/>
                <w:color w:val="auto"/>
              </w:rPr>
            </w:pP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2,629,145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2,025,354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4,631,471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1,538,710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305,079</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1,233,631</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709,197</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449,296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136,344</w:t>
            </w:r>
          </w:p>
        </w:tc>
        <w:tc>
          <w:tcPr>
            <w:tcW w:w="0" w:type="dxa"/>
            <w:vAlign w:val="bottom"/>
          </w:tcPr>
          <w:p>
            <w:pPr>
              <w:spacing w:after="0"/>
              <w:rPr>
                <w:sz w:val="1"/>
                <w:szCs w:val="1"/>
                <w:color w:val="auto"/>
              </w:rPr>
            </w:pPr>
          </w:p>
        </w:tc>
      </w:tr>
      <w:tr>
        <w:trPr>
          <w:trHeight w:val="237"/>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531,982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448,447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1,530,303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1,294,837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(61,206)</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6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in calculating basic net income (loss)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337,562</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325,557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334,779</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322,395</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calculating diluted net income (loss) per</w:t>
            </w: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357,635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322,395</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5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(5,425)</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(2,761)</w:t>
            </w:r>
          </w:p>
        </w:tc>
      </w:tr>
      <w:tr>
        <w:trPr>
          <w:trHeight w:val="24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8"/>
              </w:rPr>
              <w:t>1,294</w:t>
            </w: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(1,467)</w:t>
            </w:r>
          </w:p>
        </w:tc>
      </w:tr>
      <w:tr>
        <w:trPr>
          <w:trHeight w:val="25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rPr>
              <w:t>(6,892)</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2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1"/>
                <w:szCs w:val="11"/>
                <w:color w:val="auto"/>
              </w:rPr>
            </w:pPr>
          </w:p>
        </w:tc>
        <w:tc>
          <w:tcPr>
            <w:tcW w:w="1120" w:type="dxa"/>
            <w:vAlign w:val="bottom"/>
          </w:tcPr>
          <w:p>
            <w:pPr>
              <w:jc w:val="center"/>
              <w:ind w:right="105"/>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2,484,264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1,164,593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1,336,158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339,270,410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2,629,145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9"/>
                <w:szCs w:val="9"/>
                <w:color w:val="auto"/>
              </w:rPr>
            </w:pPr>
          </w:p>
        </w:tc>
        <w:tc>
          <w:tcPr>
            <w:tcW w:w="1240" w:type="dxa"/>
            <w:vAlign w:val="bottom"/>
            <w:gridSpan w:val="2"/>
            <w:vMerge w:val="restart"/>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324,576,728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1,891,995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1,649,359</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2,360,179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9,873</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1,311,795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126,185</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22,630</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BALANCE—September 30,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328,245,659</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2,028,053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1,806,476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2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3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60" w:type="dxa"/>
            <w:vAlign w:val="bottom"/>
          </w:tcPr>
          <w:p>
            <w:pPr>
              <w:spacing w:after="0"/>
              <w:rPr>
                <w:sz w:val="14"/>
                <w:szCs w:val="14"/>
                <w:color w:val="auto"/>
              </w:rPr>
            </w:pPr>
          </w:p>
        </w:tc>
        <w:tc>
          <w:tcPr>
            <w:tcW w:w="1040" w:type="dxa"/>
            <w:vAlign w:val="bottom"/>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3,752,432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4,059,497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423,156</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339,270,410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2,629,145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gridSpan w:val="3"/>
            <w:vMerge w:val="restart"/>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9"/>
                <w:szCs w:val="9"/>
                <w:color w:val="auto"/>
              </w:rPr>
            </w:pPr>
          </w:p>
        </w:tc>
        <w:tc>
          <w:tcPr>
            <w:tcW w:w="11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8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319,189,843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1,410,505</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5,103,045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17,390</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3,540,441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127,119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365,487</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accumulated other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265"/>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2023</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328,245,659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1,806,476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138,152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(26,256)</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28,223</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354,179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(10,194)</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(10,314)</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57,268</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(68,242)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98,037</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605,375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439,728</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(2,011,857)</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1,590,387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1,467,975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(26,279)</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(557,328)</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19,986</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of convertible senior notes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37,390</w:t>
            </w:r>
          </w:p>
        </w:tc>
      </w:tr>
      <w:tr>
        <w:trPr>
          <w:trHeight w:val="142"/>
        </w:trPr>
        <w:tc>
          <w:tcPr>
            <w:tcW w:w="8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49"/>
        </w:trPr>
        <w:tc>
          <w:tcPr>
            <w:tcW w:w="8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(80,979)</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342,288</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261,309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8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08"/>
        </w:trPr>
        <w:tc>
          <w:tcPr>
            <w:tcW w:w="8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92"/>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37"/>
        </w:trPr>
        <w:tc>
          <w:tcPr>
            <w:tcW w:w="8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2945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257175"/>
                    </a:xfrm>
                    <a:prstGeom prst="rect">
                      <a:avLst/>
                    </a:prstGeom>
                    <a:noFill/>
                  </pic:spPr>
                </pic:pic>
              </a:graphicData>
            </a:graphic>
          </wp:anchor>
        </w:drawing>
      </w:r>
    </w:p>
    <w:p>
      <w:pPr>
        <w:spacing w:after="0" w:line="90" w:lineRule="exact"/>
        <w:rPr>
          <w:sz w:val="20"/>
          <w:szCs w:val="20"/>
          <w:color w:val="auto"/>
        </w:rPr>
      </w:pPr>
    </w:p>
    <w:p>
      <w:pPr>
        <w:ind w:left="20" w:right="360"/>
        <w:spacing w:after="0" w:line="285" w:lineRule="auto"/>
        <w:rPr>
          <w:sz w:val="20"/>
          <w:szCs w:val="20"/>
          <w:color w:val="auto"/>
        </w:rPr>
      </w:pPr>
      <w:r>
        <w:rPr>
          <w:rFonts w:ascii="Times New Roman" w:cs="Times New Roman" w:eastAsia="Times New Roman" w:hAnsi="Times New Roman"/>
          <w:sz w:val="14"/>
          <w:szCs w:val="14"/>
          <w:b w:val="1"/>
          <w:bCs w:val="1"/>
          <w:color w:val="auto"/>
        </w:rPr>
        <w:t>RECONCILIATION OF CASH AND CASH EQUIVALENTS WITHIN THE CONDENSED CONSOLIDATED BALANCE SHEETS TO THE AMOUNTS SHOWN IN THE STATEMENTS OF CASH FLOWS ABOVE: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337,418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261,309</w:t>
            </w:r>
          </w:p>
        </w:tc>
      </w:tr>
      <w:tr>
        <w:trPr>
          <w:trHeight w:val="37"/>
        </w:trPr>
        <w:tc>
          <w:tcPr>
            <w:tcW w:w="83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261,309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23, 2024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November 2023, the FASB issued ASU No. 2023-07</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Segment Reporting (Topic 280): Improvements to Reportable Segment Disclosures</w:t>
      </w:r>
      <w:r>
        <w:rPr>
          <w:rFonts w:ascii="Times New Roman" w:cs="Times New Roman" w:eastAsia="Times New Roman" w:hAnsi="Times New Roman"/>
          <w:sz w:val="18"/>
          <w:szCs w:val="18"/>
          <w:color w:val="231F20"/>
        </w:rPr>
        <w:t xml:space="preserve"> (“ASU No. 2023-07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improve reportable segment disclosure requirements, primarily through enhanced disclosures about significant segment expenses. The amendments in this ASU are effective for public business entities for fiscal years beginning after December 15, 2023, and interim periods within fiscal years beginning after December 15, 2024. Early adoption is permitted. The amendments in this ASU should be applied retrospectively to all prior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231F20"/>
        </w:rPr>
        <w:t>periods presented in the financial statements. The Company is currently evaluating the impact of the adoption of this standard on its consolidated financial statements.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is currently evaluating the impact of the adoption of this standard on its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September 30, 2024 and December 31, 2023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1,889,664</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460,045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370,811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124,618</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2,848,600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2,861,536</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2,253,484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 fair values of available-for-sale marketable securities, by remaining contractual maturity, were as follows (in thousands):</w:t>
      </w:r>
    </w:p>
    <w:p>
      <w:pPr>
        <w:spacing w:after="0" w:line="207"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1,646,340</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1,215,196</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2,861,536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September 30, 2024 and December 31, 2023,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2024</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1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291,451</w:t>
            </w:r>
          </w:p>
        </w:tc>
      </w:tr>
      <w:tr>
        <w:trPr>
          <w:trHeight w:val="229"/>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27,252</w:t>
            </w: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r>
      <w:tr>
        <w:trPr>
          <w:trHeight w:val="229"/>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6"/>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1,889,664</w:t>
            </w: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460,045</w:t>
            </w: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370,811</w:t>
            </w:r>
          </w:p>
        </w:tc>
      </w:tr>
      <w:tr>
        <w:trPr>
          <w:trHeight w:val="229"/>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124,618</w:t>
            </w: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r>
      <w:tr>
        <w:trPr>
          <w:trHeight w:val="223"/>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2,902,549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3,194,000</w:t>
            </w:r>
          </w:p>
        </w:tc>
      </w:tr>
      <w:tr>
        <w:trPr>
          <w:trHeight w:val="21"/>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1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w:t>
            </w:r>
          </w:p>
        </w:tc>
        <w:tc>
          <w:tcPr>
            <w:tcW w:w="1020" w:type="dxa"/>
            <w:vAlign w:val="bottom"/>
          </w:tcPr>
          <w:p>
            <w:pPr>
              <w:spacing w:after="0"/>
              <w:rPr>
                <w:sz w:val="24"/>
                <w:szCs w:val="24"/>
                <w:color w:val="auto"/>
              </w:rPr>
            </w:pPr>
          </w:p>
        </w:tc>
      </w:tr>
      <w:tr>
        <w:trPr>
          <w:trHeight w:val="23"/>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775,953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29"/>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2,307,015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2,547,924</w:t>
            </w:r>
          </w:p>
        </w:tc>
      </w:tr>
      <w:tr>
        <w:trPr>
          <w:trHeight w:val="21"/>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55,111</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192,691</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300,740</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$12.4 million and $34.0 million for the three and nine months ended September 30, 2024, respectively. Depreciation and amortization expense was approximately $9.4 million and $25.8 million for the three and nine months ended September 30,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$1.4 million and $2.2 million for the three months ended September 30, 2024 and 2023, respectively, and $5.2 million and $6.6 million for the nine months ended September 30, 2024 and 2023, respectively.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color w:val="auto"/>
        </w:rPr>
        <w:t>As of September 30, 2024,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September 30, 2024. Therefore the 2025 Notes are not convertible, in whole or in part, at the option of the holders between October 1, 2024 through December 31, 2024. Whether the 2025 Notes will be convertible following such period will depend on the continued satisfaction of this condition or another conversion condition in the future.</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September 30, 2024, the 2025 Notes were classified as short-term debt on the Company's condensed consolidated balance sheet.</w:t>
      </w:r>
    </w:p>
    <w:p>
      <w:pPr>
        <w:spacing w:after="0" w:line="172"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 using the modified retrospective approach. As a result, the 2025 Notes are accounting for as a single liability measured at their amortized cost, as no other embedded features require bifurcation and recognition as derivatives.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742,235</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estimated fair value of the 2025 Notes was approximately $970.3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for the three and nine months ended September 30, 2024 and 2023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95"/>
        </w:trPr>
        <w:tc>
          <w:tcPr>
            <w:tcW w:w="4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nine months ended September 30, 2024,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and nine months ended September 30, 2024, the Company incurred expense of $2.6 million and $6.4 million, respectively, for matching contributions. For the three and nine months ended September 30, 2023, the Company incurred expense of $1.6 million and $4.7 million, respectively, for matching contributions.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2025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3"/>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20" w:hanging="332"/>
        <w:spacing w:after="0" w:line="302" w:lineRule="auto"/>
        <w:tabs>
          <w:tab w:leader="none" w:pos="33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$6.7 million and $7.0 million for the three months ended September 30, 2024 and 2023, respectively, and $20.3 million and $19.3 million for the nine months ended September 30, 2024 and 2023,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53,660</w:t>
            </w:r>
          </w:p>
        </w:tc>
      </w:tr>
      <w:tr>
        <w:trPr>
          <w:trHeight w:val="859"/>
        </w:trPr>
        <w:tc>
          <w:tcPr>
            <w:tcW w:w="522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41,953</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121,709</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(65,158)</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224,386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various operating leases that had not yet commenced, which are excluded from the table above. The operating leases will commence in fiscal year 2025 with total undiscounted future payments of $57.2 million and a weighted-average lease term of 8.5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381,194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1,078,374</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588,413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460,336</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1,538,710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right="820" w:hanging="332"/>
        <w:spacing w:after="0" w:line="302"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$462.4 million and $361.3 million for the three months ended September 30, 2024 and 2023, respectively, and $1,293.5 million and $1,022.3 million for the nine months ended September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 and Remaining Performance Obligations</w:t>
      </w:r>
    </w:p>
    <w:p>
      <w:pPr>
        <w:spacing w:after="0" w:line="2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Revenue recognized during the three months ended September 30, 2024 and 2023, which was included in the deferred revenue balances at the beginning of each such period, was $378.6 million and $276.8 million, respectively. Revenue recognized during the nine months ended September 30, 2024 and 2023 that was included in the deferred revenue balances at the beginning of each such period was $701.4 million and $486.5 million, respectively.</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2024 and December 31, 2023, the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aggregate transaction price allocated to remaining performance obligations was $1,821.8 million and $1,839.4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nine months ended September 30, 2024 and 2023, the Company charged $6.8 million and $3.7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2024 and December 31, 2023, unbilled accounts receivable of approximately $88.2 million and $61.2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$132.2 million and $118.7 million as of September 30, 2024 and December 31, 2023, respectively. Amortization expense was $13.5 million and $10.2 million for the three months ended September 30, 2024 and 2023, respectively, and $37.8 million and $28.2 million for the nine months ended September 30,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and nine months ended September 30, 2024, 129,356 shares and 780,072 shares of Class B common stock were converted into Class A common stock,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authorized 2,000,000,000 shares of Class A common stock and 310,000,000 shares of Class B common stock, each at a par value per share of $0.00001, of which 312,921,519 shares of Class A common stock and 26,348,891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September 30, 2024, there were 8,303,956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September 30, 2024, there were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86,556,049 shares available for grant under the 2019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1,426,912</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outstanding—September 30,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8,323,926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923,842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Exercisable—September 30, 2024</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8,323,119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923,771</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19,970 shares of Class A common stock and 8,303,956 shares of Class B common stock issuable upon the exercise of options outstanding. As of December 31, 2023, there were 22,926 shares of Class A common stock and 12,054,709 shares of Class B common stock issuable upon the exercise of options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Approximately all compensation cost related to unvested stock options was recognized as of September 30, 2024 and December 31, 2023.</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2024 and 2023. The Company received approximately $5.2 million and $17.4 million in cash proceeds from options exercised during the nine months ended September 30, 2024 and 2023, respectively. The intrinsic value of options exercised during the nine months ended September 30, 2024 and 2023 was approximately $445.1 million and $423.0 million, respectively. The aggregate fair value of options vested during the nine months ended September 30, 2024 was insignificant. The aggregate fair value of options vested during the nine months ended September 30, 2023 was $12.5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12,792,879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granted no restricted shares of Class A common stock in connection with acquisitions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$1,147.1 million and $1,187.3 million as of September 30, 2024 and December 31, 2023, respectively. The weighted-average period over which this compensation cost related to unvested RSUs and restricted shares of common stock will be recognized is 2.6 years and 2.8 years as of September 30, 2024 and December 31, 2023,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$61.2 million and $25.1 million as of September 30, 2024 and December 31, 2023, respectively. The weighted-average period over which this compensation cost related to unvested PSUs will be recognized is 1.5 years and 1.3 years as of September 30,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9" w:name="page20"/>
    <w:bookmarkEnd w:id="19"/>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$3.4 million and $11.4 million of stock-based compensation expense related to the ESPP during the three and nine months ended September 30, 2024, respectively. As of September 30, 2024, $19.6 million has been withheld on behalf of employees for a future purchase under the ESPP due to the timing of payroll deductions. During the nine months ended September 30, 2024, the Company issued 242,656 shares of Class A common stock under the ESPP. As of September 30, 2024, 20,549,200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6"/>
        </w:trPr>
        <w:tc>
          <w:tcPr>
            <w:tcW w:w="4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8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229,607</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r>
      <w:tr>
        <w:trPr>
          <w:trHeight w:val="27"/>
        </w:trPr>
        <w:tc>
          <w:tcPr>
            <w:tcW w:w="4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354,179</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8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7"/>
        </w:trPr>
        <w:tc>
          <w:tcPr>
            <w:tcW w:w="4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365,487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40,082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70,676</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30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(2,650)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(1,492)</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37,432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109,647</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69,184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income taxes of $4.4 million and $1.7 million for the three months ended September 30, 2024 and 2023, respectively. The Company has generated U.S. operating income and has minimal profits in its foreign jurisdictions during the quarter.</w:t>
      </w: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immaterial for each of the nine months ended September 30, 2024 and 2023. The Company’s policy is to recognize interest and penalties related to uncertain income tax positions in income tax expense. The Company is subject to U.S. federal tax authority, U.S. state tax authority and foreign tax authority examinations.</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nine months ended September 30, 2024, the Act did not materially impact the Company’s provision for income tax. The Company will continue to monitor any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7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calculating net income (loss) per</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share, basic</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308,727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25,840</w:t>
            </w:r>
          </w:p>
        </w:tc>
        <w:tc>
          <w:tcPr>
            <w:tcW w:w="0" w:type="dxa"/>
            <w:vAlign w:val="bottom"/>
          </w:tcPr>
          <w:p>
            <w:pPr>
              <w:spacing w:after="0"/>
              <w:rPr>
                <w:sz w:val="1"/>
                <w:szCs w:val="1"/>
                <w:color w:val="auto"/>
              </w:rPr>
            </w:pPr>
          </w:p>
        </w:tc>
      </w:tr>
      <w:tr>
        <w:trPr>
          <w:trHeight w:val="26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net income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for basic computation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as a result of</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2760" w:type="dxa"/>
            <w:vAlign w:val="bottom"/>
          </w:tcPr>
          <w:p>
            <w:pPr>
              <w:ind w:left="260"/>
              <w:spacing w:after="0" w:line="182" w:lineRule="exact"/>
              <w:rPr>
                <w:sz w:val="20"/>
                <w:szCs w:val="20"/>
                <w:color w:val="auto"/>
              </w:rPr>
            </w:pPr>
            <w:r>
              <w:rPr>
                <w:rFonts w:ascii="Times New Roman" w:cs="Times New Roman" w:eastAsia="Times New Roman" w:hAnsi="Times New Roman"/>
                <w:sz w:val="16"/>
                <w:szCs w:val="16"/>
                <w:color w:val="auto"/>
              </w:rPr>
              <w:t>Allocation of undistributed income</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22,630</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8"/>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25,840</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stock units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convertible senior notes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2760" w:type="dxa"/>
            <w:vAlign w:val="bottom"/>
          </w:tcPr>
          <w:p>
            <w:pPr>
              <w:ind w:left="520"/>
              <w:spacing w:after="0" w:line="182" w:lineRule="exact"/>
              <w:rPr>
                <w:sz w:val="20"/>
                <w:szCs w:val="20"/>
                <w:color w:val="auto"/>
              </w:rPr>
            </w:pPr>
            <w:r>
              <w:rPr>
                <w:rFonts w:ascii="Times New Roman" w:cs="Times New Roman" w:eastAsia="Times New Roman" w:hAnsi="Times New Roman"/>
                <w:sz w:val="16"/>
                <w:szCs w:val="16"/>
                <w:color w:val="auto"/>
              </w:rPr>
              <w:t>Number of shares used in diluted</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351,309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357,331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322,395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25,840</w:t>
            </w:r>
          </w:p>
        </w:tc>
        <w:tc>
          <w:tcPr>
            <w:tcW w:w="0" w:type="dxa"/>
            <w:vAlign w:val="bottom"/>
          </w:tcPr>
          <w:p>
            <w:pPr>
              <w:spacing w:after="0"/>
              <w:rPr>
                <w:sz w:val="1"/>
                <w:szCs w:val="1"/>
                <w:color w:val="auto"/>
              </w:rPr>
            </w:pPr>
          </w:p>
        </w:tc>
      </w:tr>
      <w:tr>
        <w:trPr>
          <w:trHeight w:val="26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w:t>
            </w:r>
          </w:p>
        </w:tc>
      </w:tr>
      <w:tr>
        <w:trPr>
          <w:trHeight w:val="27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70"/>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2024, we had $337.4 million in cash and cash equivalents and $2.9 billion in marketable securities. We generated revenue of $690.0 million and $547.5 million in the three months ended September 30, 2024 and 2023, respectively, representing year-over-year growth of 26%. For the nine months ended September 30, 2024 and 2023, our revenue was $1,946.5 million and $1,538.7 million, respectively, representing year-over-year growth of 27%. Substantially all of our revenue is from subscription software sales. While we have continued to make significant expenditures and investments, including in personnel-related costs, sales and marketing, infrastructure and operations, we had incurred net income (loss) of $51.7 million and $22.6 million for the three months ended September 30, 2024 and 2023, respectively, and $138.2 million and $(5.4) million for the nine months ended September 30, 2024 and 2023, respectively. Our operating cash flow was $605.4 million and $439.7 million for the nine months ended September 30, 2024 and 2023, respectively. Our free cash flow was $534.1 million and $396.3 million for the nine months ended September 30, 2024 and 2023, respectively. See the section titled “—Liquidity and Capital Resources—Non-GAAP Free Cash Flow” below.</w:t>
      </w:r>
    </w:p>
    <w:p>
      <w:pPr>
        <w:spacing w:after="0" w:line="2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elevated inflation and interest rates, the Russian invasion of Ukraine, and the conflict in the Middle East have led to economic uncertainty. Historically, during periods of economic uncertainty and downturns, businesses may slow spending on information technology, which may impact our business and our customers’ businesses.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2024, we had approximately 29,200 customers spanning organizations of a broad range of sizes and industries, compared to approximately 26,800 as of September 30, 2023.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September 30, 2024, we had approximately 3,490 customers with annual run-rate revenue, or ARR, of $100,000 or more, representing 88% of our ARR, up from 3,130 customers as of September 30, 2023, representing 86%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September 30, 2024, our trailing 12-month dollar-based net retention rate was in the mid-110%'s. As of September 30, 2023, our trailing 12-month dollar-based net retention rate was in the high-110%'s. The decline in our trailing 12-month dollar-based net retention rate was primarily attributable to slower usage growth from existing customers compared to prior periods, which may be related to the uncertain macroeconomic environment.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Approximately 83% of our customers were using more than one product as of September 30, 2024, up from approximately 82% a year earlier. Additionally, as of September 30, 2024, approximately 49% of our customers were using more than four products, up from approximately 46% a year earlier, approximately 26% of our customers were using more than six products, up from approximately 21% a year earlier, and approximately 12% of our customers were using more than eight products, up from approximately 8% a year earlier. We believe these metrics indicate strong expansion of product adoption across our platform.</w:t>
      </w:r>
    </w:p>
    <w:p>
      <w:pPr>
        <w:spacing w:after="0" w:line="1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of our total revenue for each of the nine months ended September 30, 2024 and 2023.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We expect that our research and development expense will increase in absolute dollars as our business grows, particularly as we incur additional costs related to continued investments in our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00" w:type="dxa"/>
            <w:vAlign w:val="bottom"/>
            <w:gridSpan w:val="4"/>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1,538,710</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137,756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371,353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305,079</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444,217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1,575,195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1,233,631</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709,197</w:t>
            </w:r>
          </w:p>
        </w:tc>
        <w:tc>
          <w:tcPr>
            <w:tcW w:w="0" w:type="dxa"/>
            <w:vAlign w:val="bottom"/>
          </w:tcPr>
          <w:p>
            <w:pPr>
              <w:spacing w:after="0"/>
              <w:rPr>
                <w:sz w:val="1"/>
                <w:szCs w:val="1"/>
                <w:color w:val="auto"/>
              </w:rPr>
            </w:pPr>
          </w:p>
        </w:tc>
      </w:tr>
      <w:tr>
        <w:trPr>
          <w:trHeight w:val="27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449,296</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136,344</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531,982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448,447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1,530,303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1,294,837</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(61,206)</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69,184</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64,174</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2300" w:type="dxa"/>
            <w:vAlign w:val="bottom"/>
            <w:gridSpan w:val="4"/>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88,481</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123,114</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411,875</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354,179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9"/>
        </w:trPr>
        <w:tc>
          <w:tcPr>
            <w:tcW w:w="452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1,974</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1,438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2,182</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6,316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2,980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9,115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9,689</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8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2"/>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6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2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912</w:t>
            </w:r>
          </w:p>
        </w:tc>
        <w:tc>
          <w:tcPr>
            <w:tcW w:w="9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2,672</w:t>
            </w:r>
          </w:p>
        </w:tc>
        <w:tc>
          <w:tcPr>
            <w:tcW w:w="5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7"/>
        </w:trPr>
        <w:tc>
          <w:tcPr>
            <w:tcW w:w="5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4"/>
          </w:tcPr>
          <w:p>
            <w:pPr>
              <w:jc w:val="center"/>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18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8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gridSpan w:val="5"/>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00" w:type="dxa"/>
            <w:vAlign w:val="bottom"/>
          </w:tcPr>
          <w:p>
            <w:pPr>
              <w:spacing w:after="0"/>
              <w:rPr>
                <w:sz w:val="21"/>
                <w:szCs w:val="2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690,016</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$142.5 million, or 26%, for the three months ended September 30, 2024 compared to the three months ended September 30, 2023.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137,756</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103,319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$34.4 million, or 33%, for the three months ended September 30, 2024 compared to the three months ended September 30, 2023. This increase was primarily due to an increase of $28.6 million in third-party cloud infrastructure hosting and software costs and an increase of $4.8 million in personnel costs and other related costs as a result of increased headcount.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by 1% for the three months ended September 30, 2024 compared to the three months ended September 30, 2023, primarily as a result of increased spend with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291,802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240,225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$51.6 million, or 21%, for the three months ended September 30, 2024 compared to the three months ended September 30, 2023. This increase was primarily due to an increase of $38.4 million in personnel costs including allocated overhead costs for our engineering, product and design teams as a result of increased headcount and an increase of $12.8 million in cloud infrastructure-related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187,772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156,870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$30.9 million, or 20%, for the three months ended September 30, 2024 compared to the three months ended September 30, 2023. This increase was primarily due to an increase of $30.3 million in personnel costs including allocated overhead costs for our sales and marketing organization as a result of increased headcount and increased variable compensation for our sales personnel.</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0" w:name="page31"/>
    <w:bookmarkEnd w:id="30"/>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52,408</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$1.1 million, or 2%, for the three months ended September 30, 2024 compared to the three months ended September 30, 2023. This increase was primarily due to an increase in personnel and other related costs as a result of increased headcount. The increase was offset by a decrease in legal expenses and other professional services.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35,858</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$7.3 million, or 26%, for the three months ended September 30, 2024 compared to the three months ended September 30, 2023. This increase was primarily driven by an increase of $11.3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1,946,548</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1,538,710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407,838</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$407.8 million, or 27%, in the nine months ended September 30, 2024 compared to the nine months ended September 30, 2023.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371,353</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305,079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$66.3 million, or 22%, in the nine months ended September 30, 2024 compared to the nine months ended September 30, 2023. This increase was primarily due to an increase of $47.5 million in third-party cloud infrastructure hosting and software costs and an increase of $12.9 million in personnel and other related costs as a result of increased headcount.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1% for the nine months ended September 30, 2024 compared to the nine months ended September 30, 2023, primarily as the result of revenue growth exceeding the growth of third-party cloud infrastructure provider costs due to cost savings.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1" w:name="page32"/>
    <w:bookmarkEnd w:id="3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836,389</w:t>
            </w:r>
          </w:p>
        </w:tc>
        <w:tc>
          <w:tcPr>
            <w:tcW w:w="64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709,197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127,192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$127.2 million, or 18%, in the nine months ended September 30, 2024 compared to the nine months ended September 30, 2023. This increase was primarily due to an increase of $109.2 million in personnel costs including allocated overhead costs for our engineering, product and design teams as a result of increased headcount and an increase of $17.8 million in cloud infrastructure-related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199"/>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548,658</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449,296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$99.4 million, or 22%, in the nine months ended September 30, 2024 compared to the nine months ended September 30, 2023. This increase was primarily due to an increase of $75.8 million in personnel costs including allocated overhead costs for our sales and marketing organization as a result of increased headcount and increased variable compensation for our sales personnel and an increase of $21.3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145,256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136,344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7 %</w:t>
            </w:r>
          </w:p>
        </w:tc>
        <w:tc>
          <w:tcPr>
            <w:tcW w:w="6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$8.9 million, or 7%, in the nine months ended September 30, 2024 compared to the nine months ended September 30, 2023. This increase was primarily due to an increase in personnel costs including allocated overhead costs as a result of increased headcount, partially offset by a decrease in legal expenses and other professional services.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105,222</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64,174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41,048</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$41.0 million, or 64%, in the nine months ended September 30, 2024 compared to the nine months ended September 30, 2023. This increase was primarily driven by an increase of $42.1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2" w:name="page33"/>
    <w:bookmarkEnd w:id="32"/>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nine months ended September 30, 2024 and 2023. When assessing sources of liquidity, we also include cash and cash equivalents of $337.4 million and marketable securities of $2.9 billion as of September 30, 2024.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605,375</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439,728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(627,476)</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(557,328)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27,659</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increased $165.6 million compared to the nine months ended September 30, 2023, primarily driven by an increase in non-cash charges of $63.0 million, an increase in accrued expenses and other current liabilities of $62.5 million, and a decrease in accounts receivable of $22.0 million. The increase in non-cash charges related primarily to an increase of $57.7 million in stock-based compensation as we continued to increase headcount to support the growth of the business. The increase in cash provided by operating activities was partially offset by a decrease in deferred revenue of $70.8 million and a decrease in accounts payable of $48.7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increased $70.1 million compared to the nine months ended September 30, 2023, primarily driven by a increase of $134.1 million in the purchases of marketable securities, a decrease of $36.4 million in proceeds from the sale of marketable securities, and an increase in the capitalization of software development costs of $18.0 million. The increase in cash used in investing activities was partially offset by an increase of $122.4 million in proceeds from maturities of marketable securities.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decreased $9.7 million compared to the nine months ended September 30, 2023, primarily due to a decrease in proceeds from the exercise of stock options of $12.2 million. The decrease in cash provided by financing activities was partially offset by an increase in proceeds from the issuance of Class A common stock under the ESPP of $2.5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605,375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439,728</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(26,958)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(17,191)</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(44,286)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(26,279)</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534,131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396,258</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2024, we had $332.5 million in cash equivalents and $2.9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September 30, 2024, a hypothetical</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10% relative change in interest rates would not have a material impact on our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elevated interest rates, international trade relations, political turmoil, natural catastrophes, outbreaks of contagious diseases, such as the COVID-19 pandemic, warfare and terrorist attacks on the United States, Europe, the Asia Pacific region or elsewhere, such as the conflict in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The war in Ukraine, conflict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$1,946.5 million and $1,538.7 million for the nine months ended September 30, 2024 and 2023, respectively, and $2,128.4 million and $1,675.1 million for the years ended December 31, 2023 and 2022,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5"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difficult to achieve and maintain profitability. You should not rely on our revenue for any prior quarterly or annual periods as any indication of our future revenue or revenue growth.</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have experienced net losses in several recent fiscal years and as of December 31, 2023, we had an accumulated deficit of $153.7 million.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In addition, customers, including the larger customers in our AI-native cohort, which represented approximately four percentage points of our year-over-year revenue growth for the quarter ended September 30, 2024, have and may continue to rapidly increase usage of our product and then seek to optimize their usage or renew their subscriptions on different terms, which may result in revenue volatility in future quarters. If our customers do not purchase additional subscriptions and products from us, fail to renew their subscriptions or renew on different terms, our revenue may decline and our business, financial condition and results of operations may be harmed.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services, to operate our business, for legal and marketing purposes, and for other business-related purposes.</w:t>
      </w: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to gain unauthorized access to and exfiltrate our or our customers’ data, including confidential and personal information, from certain of our infrastructure resources, or to disrupt our ability to provide our services. In addition, many of our employees are working remotely, which may pose additional data security risks (including, for example, an increase in phishing and malicious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20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deliver services to our customers. These vendors, such as cloud infrastructure providers, may store or process personal and confidential information for us or our customers.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adversely affect our business, financial condition and results of operations. These risks are likely to increase as we continue to grow and process, store, and transmit increasingly large amounts of data.</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89"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upon which we rely). We may not, however, detect and remediate all such vulnerabilities on a timely basis.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war in Ukraine and conflict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unemployment rates, increases in inflation rates, higher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could harm our business. We also are dependent on the continued service of our existing software engineers because of the complexity of our products and platform capabilities.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20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800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The European Union's Artificial Intelligence Act, which would apply beyond the European Union’s borders, came into force in August 2024, and various other governments have proposed policy and regulatory responses to oversee the use of AI.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 Under the EU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will likely lead to significant compliance costs, may heighten scrutiny of our ESG practices and may require us to change our current practices.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2023, we had NOL carryforwards for federal and state income tax purposes of approximately $148.9 million and $206.4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We do not expect that this will have a material impact on our financial statements for the tax period ending December 31, 2024.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for each of the nine months ended September 30, 2024 and 2023.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2024, approximately 40%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September 30, 2024,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as of September 30, 2024, holders of a substantial number of shares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a public company in the United States, we incur significant legal, accounting, insurance, and other expenses. The Sarbanes-Oxley Act, the Dodd-Frank Wall Street Reform and Consumer Protection Act, the listing requirements of the Nasdaq Global Select Market and other applicable securities rules and regulations impose various requirements on public companies and these laws, requirements, rules and regulations are subject to varying interpretations and, as a result, their application in practice may evolve over time as new guidance is provided by regulatory and governing bodies.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2024,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 of Class A Common Stock to be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40" w:type="dxa"/>
            <w:vAlign w:val="bottom"/>
            <w:gridSpan w:val="2"/>
            <w:vMerge w:val="continue"/>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Adam Blitzer</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Operating Officer</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14, 2024</w:t>
            </w: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w w:val="94"/>
              </w:rPr>
              <w:t xml:space="preserve">Up to 197,976 </w:t>
            </w:r>
            <w:r>
              <w:rPr>
                <w:rFonts w:ascii="Times New Roman" w:cs="Times New Roman" w:eastAsia="Times New Roman" w:hAnsi="Times New Roman"/>
                <w:sz w:val="21"/>
                <w:szCs w:val="21"/>
                <w:color w:val="auto"/>
                <w:w w:val="94"/>
                <w:vertAlign w:val="superscript"/>
              </w:rPr>
              <w:t>(1)(2)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Amit Agarwal</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President</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August 16, 2024</w:t>
            </w:r>
          </w:p>
        </w:tc>
        <w:tc>
          <w:tcPr>
            <w:tcW w:w="2800" w:type="dxa"/>
            <w:vAlign w:val="bottom"/>
          </w:tcPr>
          <w:p>
            <w:pPr>
              <w:jc w:val="right"/>
              <w:ind w:right="1063"/>
              <w:spacing w:after="0"/>
              <w:rPr>
                <w:sz w:val="20"/>
                <w:szCs w:val="20"/>
                <w:color w:val="auto"/>
              </w:rPr>
            </w:pPr>
            <w:r>
              <w:rPr>
                <w:rFonts w:ascii="Times New Roman" w:cs="Times New Roman" w:eastAsia="Times New Roman" w:hAnsi="Times New Roman"/>
                <w:sz w:val="16"/>
                <w:szCs w:val="16"/>
                <w:color w:val="auto"/>
              </w:rPr>
              <w:t>698,058</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16, 2025</w:t>
            </w:r>
          </w:p>
        </w:tc>
        <w:tc>
          <w:tcPr>
            <w:tcW w:w="0" w:type="dxa"/>
            <w:vAlign w:val="bottom"/>
          </w:tcPr>
          <w:p>
            <w:pPr>
              <w:spacing w:after="0"/>
              <w:rPr>
                <w:sz w:val="1"/>
                <w:szCs w:val="1"/>
                <w:color w:val="auto"/>
              </w:rPr>
            </w:pPr>
          </w:p>
        </w:tc>
      </w:tr>
      <w:tr>
        <w:trPr>
          <w:trHeight w:val="239"/>
        </w:trPr>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Olivier Pomel</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13, 2024</w:t>
            </w:r>
          </w:p>
        </w:tc>
        <w:tc>
          <w:tcPr>
            <w:tcW w:w="2800" w:type="dxa"/>
            <w:vAlign w:val="bottom"/>
            <w:shd w:val="clear" w:color="auto" w:fill="CCEEFF"/>
          </w:tcPr>
          <w:p>
            <w:pPr>
              <w:jc w:val="right"/>
              <w:ind w:right="943"/>
              <w:spacing w:after="0" w:line="239" w:lineRule="exact"/>
              <w:rPr>
                <w:sz w:val="20"/>
                <w:szCs w:val="20"/>
                <w:color w:val="auto"/>
              </w:rPr>
            </w:pPr>
            <w:r>
              <w:rPr>
                <w:rFonts w:ascii="Times New Roman" w:cs="Times New Roman" w:eastAsia="Times New Roman" w:hAnsi="Times New Roman"/>
                <w:sz w:val="16"/>
                <w:szCs w:val="16"/>
                <w:color w:val="auto"/>
              </w:rPr>
              <w:t>1,983,606</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360" w:right="20" w:hanging="334"/>
        <w:spacing w:after="0" w:line="261" w:lineRule="auto"/>
        <w:tabs>
          <w:tab w:leader="none" w:pos="3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14" w:lineRule="exact"/>
        <w:rPr>
          <w:rFonts w:ascii="Times New Roman" w:cs="Times New Roman" w:eastAsia="Times New Roman" w:hAnsi="Times New Roman"/>
          <w:sz w:val="14"/>
          <w:szCs w:val="14"/>
          <w:color w:val="auto"/>
        </w:rPr>
      </w:pPr>
    </w:p>
    <w:p>
      <w:pPr>
        <w:ind w:left="360" w:right="20" w:hanging="334"/>
        <w:spacing w:after="0" w:line="281" w:lineRule="auto"/>
        <w:tabs>
          <w:tab w:leader="none" w:pos="3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up to 45,938 shares subject to PSUs previously awarded to Mr Blitzer that may vest and be released upon the satisfaction of the applicable performance conditions (the “Blitzer PSUs”). The actual number of Blitzer PSUs that will vest is not yet determinable.</w:t>
      </w:r>
    </w:p>
    <w:p>
      <w:pPr>
        <w:spacing w:after="0" w:line="1"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774,000 shares will be sold in sell-to-cover transactions intended to satisfy tax withholding obligations and exercise costs realized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08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September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September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3" Type="http://schemas.openxmlformats.org/officeDocument/2006/relationships/hyperlink" Target="https://www.sec.gov/Archives/edgar/data/0001561550/000119312519252279/d803834dex31.htm" TargetMode="External"/><Relationship Id="rId84"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2024-11-08T06:42:37Z</dcterms:created>
  <dcterms:modified xsi:type="dcterms:W3CDTF">2024-11-08T06:42:37Z</dcterms:modified>
</cp:coreProperties>
</file>