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b w:val="1"/>
          <w:bCs w:val="1"/>
          <w:u w:val="single" w:color="auto"/>
          <w:color w:val="auto"/>
        </w:rPr>
        <w:t>______</w:t>
      </w:r>
      <w:r>
        <w:rPr>
          <w:rFonts w:ascii="Arial" w:cs="Arial" w:eastAsia="Arial" w:hAnsi="Arial"/>
          <w:sz w:val="18"/>
          <w:szCs w:val="18"/>
          <w:b w:val="1"/>
          <w:bCs w:val="1"/>
          <w:color w:val="auto"/>
        </w:rPr>
        <w:t xml:space="preserve"> to </w:t>
      </w:r>
      <w:r>
        <w:rPr>
          <w:rFonts w:ascii="Arial" w:cs="Arial" w:eastAsia="Arial" w:hAnsi="Arial"/>
          <w:sz w:val="18"/>
          <w:szCs w:val="18"/>
          <w:b w:val="1"/>
          <w:bCs w:val="1"/>
          <w:u w:val="single" w:color="auto"/>
          <w:color w:val="auto"/>
        </w:rPr>
        <w:t>______</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001-39051</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Datadog,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35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760" w:type="dxa"/>
            <w:vAlign w:val="bottom"/>
          </w:tcPr>
          <w:p>
            <w:pPr>
              <w:jc w:val="center"/>
              <w:ind w:left="176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jc w:val="right"/>
              <w:ind w:right="1703"/>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207"/>
        </w:trPr>
        <w:tc>
          <w:tcPr>
            <w:tcW w:w="3760" w:type="dxa"/>
            <w:vAlign w:val="bottom"/>
          </w:tcPr>
          <w:p>
            <w:pPr>
              <w:jc w:val="center"/>
              <w:ind w:left="1760"/>
              <w:spacing w:after="0"/>
              <w:rPr>
                <w:sz w:val="20"/>
                <w:szCs w:val="20"/>
                <w:color w:val="auto"/>
              </w:rPr>
            </w:pPr>
            <w:r>
              <w:rPr>
                <w:rFonts w:ascii="Arial" w:cs="Arial" w:eastAsia="Arial" w:hAnsi="Arial"/>
                <w:sz w:val="14"/>
                <w:szCs w:val="14"/>
                <w:b w:val="1"/>
                <w:bCs w:val="1"/>
                <w:color w:val="auto"/>
                <w:w w:val="93"/>
              </w:rPr>
              <w:t>(State or other jurisdiction of</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Pr>
          <w:p>
            <w:pPr>
              <w:jc w:val="center"/>
              <w:ind w:right="102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60" w:type="dxa"/>
            <w:vAlign w:val="bottom"/>
          </w:tcPr>
          <w:p>
            <w:pPr>
              <w:jc w:val="center"/>
              <w:ind w:left="1760"/>
              <w:spacing w:after="0"/>
              <w:rPr>
                <w:sz w:val="20"/>
                <w:szCs w:val="20"/>
                <w:color w:val="auto"/>
              </w:rPr>
            </w:pPr>
            <w:r>
              <w:rPr>
                <w:rFonts w:ascii="Arial" w:cs="Arial" w:eastAsia="Arial" w:hAnsi="Arial"/>
                <w:sz w:val="14"/>
                <w:szCs w:val="14"/>
                <w:b w:val="1"/>
                <w:bCs w:val="1"/>
                <w:color w:val="auto"/>
                <w:w w:val="94"/>
              </w:rPr>
              <w:t>incorporation or organization)</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82"/>
        </w:trPr>
        <w:tc>
          <w:tcPr>
            <w:tcW w:w="3760" w:type="dxa"/>
            <w:vAlign w:val="bottom"/>
          </w:tcPr>
          <w:p>
            <w:pPr>
              <w:jc w:val="center"/>
              <w:ind w:right="580"/>
              <w:spacing w:after="0"/>
              <w:rPr>
                <w:sz w:val="20"/>
                <w:szCs w:val="20"/>
                <w:color w:val="auto"/>
              </w:rPr>
            </w:pPr>
            <w:r>
              <w:rPr>
                <w:rFonts w:ascii="Arial" w:cs="Arial" w:eastAsia="Arial" w:hAnsi="Arial"/>
                <w:sz w:val="18"/>
                <w:szCs w:val="18"/>
                <w:b w:val="1"/>
                <w:bCs w:val="1"/>
                <w:color w:val="auto"/>
                <w:w w:val="88"/>
              </w:rPr>
              <w:t>620 8th Avenue,</w:t>
            </w:r>
          </w:p>
        </w:tc>
        <w:tc>
          <w:tcPr>
            <w:tcW w:w="416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4"/>
              </w:rPr>
              <w:t>45th Floor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60" w:type="dxa"/>
            <w:vAlign w:val="bottom"/>
          </w:tcPr>
          <w:p>
            <w:pPr>
              <w:jc w:val="center"/>
              <w:ind w:right="580"/>
              <w:spacing w:after="0"/>
              <w:rPr>
                <w:sz w:val="20"/>
                <w:szCs w:val="20"/>
                <w:color w:val="auto"/>
              </w:rPr>
            </w:pPr>
            <w:r>
              <w:rPr>
                <w:rFonts w:ascii="Arial" w:cs="Arial" w:eastAsia="Arial" w:hAnsi="Arial"/>
                <w:sz w:val="18"/>
                <w:szCs w:val="18"/>
                <w:b w:val="1"/>
                <w:bCs w:val="1"/>
                <w:color w:val="auto"/>
                <w:w w:val="94"/>
              </w:rPr>
              <w:t>New York,</w:t>
            </w:r>
          </w:p>
        </w:tc>
        <w:tc>
          <w:tcPr>
            <w:tcW w:w="416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rPr>
              <w:t>NY</w:t>
            </w:r>
          </w:p>
        </w:tc>
        <w:tc>
          <w:tcPr>
            <w:tcW w:w="3340" w:type="dxa"/>
            <w:vAlign w:val="bottom"/>
          </w:tcPr>
          <w:p>
            <w:pPr>
              <w:jc w:val="right"/>
              <w:ind w:right="1923"/>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218"/>
        </w:trPr>
        <w:tc>
          <w:tcPr>
            <w:tcW w:w="79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right="102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35"/>
        </w:trPr>
        <w:tc>
          <w:tcPr>
            <w:tcW w:w="1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________________________________________</w:t>
            </w: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20" w:type="dxa"/>
            <w:vAlign w:val="bottom"/>
          </w:tcPr>
          <w:p>
            <w:pPr>
              <w:spacing w:after="0"/>
              <w:rPr>
                <w:sz w:val="15"/>
                <w:szCs w:val="15"/>
                <w:color w:val="auto"/>
              </w:rPr>
            </w:pPr>
          </w:p>
        </w:tc>
        <w:tc>
          <w:tcPr>
            <w:tcW w:w="334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420" w:type="dxa"/>
            <w:vAlign w:val="bottom"/>
          </w:tcPr>
          <w:p>
            <w:pPr>
              <w:spacing w:after="0"/>
              <w:rPr>
                <w:sz w:val="15"/>
                <w:szCs w:val="15"/>
                <w:color w:val="auto"/>
              </w:rPr>
            </w:pPr>
          </w:p>
        </w:tc>
        <w:tc>
          <w:tcPr>
            <w:tcW w:w="334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03"/>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7920" w:type="dxa"/>
            <w:vAlign w:val="bottom"/>
            <w:gridSpan w:val="3"/>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3340" w:type="dxa"/>
            <w:vAlign w:val="bottom"/>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9" w:lineRule="exact"/>
        <w:rPr>
          <w:sz w:val="24"/>
          <w:szCs w:val="24"/>
          <w:color w:val="auto"/>
        </w:rPr>
      </w:pPr>
    </w:p>
    <w:p>
      <w:pPr>
        <w:jc w:val="both"/>
        <w:ind w:right="20"/>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jc w:val="both"/>
        <w:ind w:right="2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right="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72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jc w:val="both"/>
        <w:ind w:right="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4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5" w:lineRule="exact"/>
        <w:rPr>
          <w:sz w:val="24"/>
          <w:szCs w:val="24"/>
          <w:color w:val="auto"/>
        </w:rPr>
      </w:pPr>
    </w:p>
    <w:p>
      <w:pPr>
        <w:jc w:val="both"/>
        <w:ind w:right="40"/>
        <w:spacing w:after="0" w:line="22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5" w:lineRule="exact"/>
        <w:rPr>
          <w:sz w:val="24"/>
          <w:szCs w:val="24"/>
          <w:color w:val="auto"/>
        </w:rPr>
      </w:pPr>
    </w:p>
    <w:p>
      <w:pPr>
        <w:jc w:val="both"/>
        <w:ind w:right="20"/>
        <w:spacing w:after="0" w:line="218"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73"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shares of Class A common stock as reported by The Nasdaq Global Select Market on June 30, 2022 was approximately $25.9 billion.</w:t>
      </w:r>
    </w:p>
    <w:p>
      <w:pPr>
        <w:spacing w:after="0" w:line="10"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color w:val="auto"/>
        </w:rPr>
        <w:t>As of February 15, 2023, there were 294,055,143 shares of the registrant’s Class A common stock and 25,837,848 shares of the registrant’s Class B common stock, each with a par value of $0.00001 per share, outstanding.</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212529"/>
        </w:rPr>
        <w:t>DOCUMENTS INCORPORATED BY REFERENCE</w:t>
      </w:r>
    </w:p>
    <w:p>
      <w:pPr>
        <w:spacing w:after="0" w:line="77"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212529"/>
        </w:rPr>
        <w:t>Portions of the registrant’s Proxy Statement for its 2022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2022.</w:t>
      </w:r>
    </w:p>
    <w:p>
      <w:pPr>
        <w:sectPr>
          <w:pgSz w:w="11900" w:h="16838" w:orient="portrait"/>
          <w:cols w:equalWidth="0" w:num="1">
            <w:col w:w="11260"/>
          </w:cols>
          <w:pgMar w:left="320" w:top="1322" w:right="319" w:bottom="0" w:gutter="0" w:footer="0" w:header="0"/>
        </w:sectPr>
      </w:pPr>
    </w:p>
    <w:bookmarkStart w:id="1" w:name="page2"/>
    <w:bookmarkEnd w:id="1"/>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950595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9"/>
              </w:rPr>
              <w:t>DATADOG, INC.</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11"/>
          </w:tcPr>
          <w:p>
            <w:pPr>
              <w:jc w:val="center"/>
              <w:ind w:right="2000"/>
              <w:spacing w:after="0"/>
              <w:rPr>
                <w:sz w:val="20"/>
                <w:szCs w:val="20"/>
                <w:color w:val="auto"/>
              </w:rPr>
            </w:pPr>
            <w:r>
              <w:rPr>
                <w:rFonts w:ascii="Arial" w:cs="Arial" w:eastAsia="Arial" w:hAnsi="Arial"/>
                <w:sz w:val="18"/>
                <w:szCs w:val="18"/>
                <w:b w:val="1"/>
                <w:bCs w:val="1"/>
                <w:color w:val="auto"/>
                <w:w w:val="98"/>
              </w:rPr>
              <w:t>2022 ANNUAL REPORT ON FORM 10-K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4"/>
              </w:rPr>
              <w:t>Business</w:t>
            </w:r>
          </w:p>
        </w:tc>
        <w:tc>
          <w:tcPr>
            <w:tcW w:w="8140" w:type="dxa"/>
            <w:vAlign w:val="bottom"/>
            <w:gridSpan w:val="19"/>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7880" w:type="dxa"/>
            <w:vAlign w:val="bottom"/>
            <w:gridSpan w:val="16"/>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Unresolved Staff Comments</w:t>
            </w:r>
          </w:p>
        </w:tc>
        <w:tc>
          <w:tcPr>
            <w:tcW w:w="6740" w:type="dxa"/>
            <w:vAlign w:val="bottom"/>
            <w:gridSpan w:val="11"/>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20"/>
          </w:tcPr>
          <w:p>
            <w:pPr>
              <w:spacing w:after="0"/>
              <w:rPr>
                <w:sz w:val="20"/>
                <w:szCs w:val="20"/>
                <w:color w:val="auto"/>
              </w:rPr>
            </w:pPr>
            <w:r>
              <w:rPr>
                <w:rFonts w:ascii="Arial" w:cs="Arial" w:eastAsia="Arial" w:hAnsi="Arial"/>
                <w:sz w:val="18"/>
                <w:szCs w:val="18"/>
                <w:color w:val="0000FF"/>
              </w:rPr>
              <w:t>Properties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51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780" w:type="dxa"/>
            <w:vAlign w:val="bottom"/>
            <w:gridSpan w:val="20"/>
          </w:tcPr>
          <w:p>
            <w:pPr>
              <w:spacing w:after="0" w:line="190" w:lineRule="exact"/>
              <w:rPr>
                <w:sz w:val="20"/>
                <w:szCs w:val="20"/>
                <w:color w:val="auto"/>
              </w:rPr>
            </w:pPr>
            <w:r>
              <w:rPr>
                <w:rFonts w:ascii="Arial" w:cs="Arial" w:eastAsia="Arial" w:hAnsi="Arial"/>
                <w:sz w:val="18"/>
                <w:szCs w:val="18"/>
                <w:color w:val="0000FF"/>
                <w:w w:val="98"/>
              </w:rPr>
              <w:t>Market for Registrant's Common Equity, Related Stockholder Matters and Issuer Purchases of Equity Securities</w:t>
            </w: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[Reserved]</w:t>
            </w: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420" w:type="dxa"/>
            <w:vAlign w:val="bottom"/>
            <w:gridSpan w:val="6"/>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780" w:type="dxa"/>
            <w:vAlign w:val="bottom"/>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8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Controls and Procedures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7020" w:type="dxa"/>
            <w:vAlign w:val="bottom"/>
            <w:gridSpan w:val="13"/>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78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r>
              <w:rPr>
                <w:rFonts w:ascii="Arial" w:cs="Arial" w:eastAsia="Arial" w:hAnsi="Arial"/>
                <w:sz w:val="18"/>
                <w:szCs w:val="18"/>
                <w:color w:val="000000"/>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51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8780" w:type="dxa"/>
            <w:vAlign w:val="bottom"/>
            <w:gridSpan w:val="20"/>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FF"/>
            </w:tcBorders>
            <w:gridSpan w:val="5"/>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780" w:type="dxa"/>
            <w:vAlign w:val="bottom"/>
            <w:gridSpan w:val="20"/>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50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3340" w:type="dxa"/>
            <w:vAlign w:val="bottom"/>
            <w:gridSpan w:val="4"/>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51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11"/>
          </w:tcPr>
          <w:p>
            <w:pPr>
              <w:spacing w:after="0" w:line="190" w:lineRule="exact"/>
              <w:rPr>
                <w:sz w:val="20"/>
                <w:szCs w:val="20"/>
                <w:color w:val="auto"/>
              </w:rPr>
            </w:pPr>
            <w:r>
              <w:rPr>
                <w:rFonts w:ascii="Arial" w:cs="Arial" w:eastAsia="Arial" w:hAnsi="Arial"/>
                <w:sz w:val="18"/>
                <w:szCs w:val="18"/>
                <w:color w:val="0000FF"/>
                <w:w w:val="89"/>
              </w:rPr>
              <w:t>Exhibits, Financial Statement Schedules</w:t>
            </w:r>
          </w:p>
        </w:tc>
        <w:tc>
          <w:tcPr>
            <w:tcW w:w="5880" w:type="dxa"/>
            <w:vAlign w:val="bottom"/>
            <w:gridSpan w:val="9"/>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8780" w:type="dxa"/>
            <w:vAlign w:val="bottom"/>
            <w:gridSpan w:val="20"/>
          </w:tcPr>
          <w:p>
            <w:pPr>
              <w:spacing w:after="0"/>
              <w:rPr>
                <w:sz w:val="20"/>
                <w:szCs w:val="20"/>
                <w:color w:val="auto"/>
              </w:rPr>
            </w:pPr>
            <w:r>
              <w:rPr>
                <w:rFonts w:ascii="Arial" w:cs="Arial" w:eastAsia="Arial" w:hAnsi="Arial"/>
                <w:sz w:val="18"/>
                <w:szCs w:val="18"/>
                <w:color w:val="0000FF"/>
              </w:rPr>
              <w:t>Form 10-K Summary</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69" w:lineRule="exact"/>
        <w:rPr>
          <w:sz w:val="20"/>
          <w:szCs w:val="20"/>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1460" w:right="20" w:hanging="480"/>
        <w:spacing w:after="0" w:line="277" w:lineRule="auto"/>
        <w:tabs>
          <w:tab w:leader="none" w:pos="1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1460" w:right="2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require additional capital to support the growth of our business, and this capital might not be available on acceptable terms, if at all.</w:t>
      </w:r>
    </w:p>
    <w:p>
      <w:pPr>
        <w:spacing w:after="0" w:line="62" w:lineRule="exact"/>
        <w:rPr>
          <w:rFonts w:ascii="Arial" w:cs="Arial" w:eastAsia="Arial" w:hAnsi="Arial"/>
          <w:sz w:val="18"/>
          <w:szCs w:val="18"/>
          <w:color w:val="auto"/>
        </w:rPr>
      </w:pPr>
    </w:p>
    <w:p>
      <w:pPr>
        <w:ind w:left="1460" w:right="20" w:hanging="480"/>
        <w:spacing w:after="0" w:line="308" w:lineRule="auto"/>
        <w:tabs>
          <w:tab w:leader="none" w:pos="1497"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38" w:lineRule="exact"/>
        <w:rPr>
          <w:rFonts w:ascii="Arial" w:cs="Arial" w:eastAsia="Arial" w:hAnsi="Arial"/>
          <w:sz w:val="17"/>
          <w:szCs w:val="17"/>
          <w:color w:val="auto"/>
        </w:rPr>
      </w:pPr>
    </w:p>
    <w:p>
      <w:pPr>
        <w:ind w:left="1460" w:hanging="48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attract new customers, our business, financial condition and results of operations will be adversely affected.</w:t>
      </w:r>
    </w:p>
    <w:p>
      <w:pPr>
        <w:spacing w:after="0" w:line="128" w:lineRule="exact"/>
        <w:rPr>
          <w:rFonts w:ascii="Arial" w:cs="Arial" w:eastAsia="Arial" w:hAnsi="Arial"/>
          <w:sz w:val="17"/>
          <w:szCs w:val="17"/>
          <w:color w:val="auto"/>
        </w:rPr>
      </w:pPr>
    </w:p>
    <w:p>
      <w:pPr>
        <w:ind w:left="1460" w:right="2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1460" w:hanging="480"/>
        <w:spacing w:after="0" w:line="279" w:lineRule="auto"/>
        <w:tabs>
          <w:tab w:leader="none" w:pos="1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63" w:lineRule="exact"/>
        <w:rPr>
          <w:rFonts w:ascii="Arial" w:cs="Arial" w:eastAsia="Arial" w:hAnsi="Arial"/>
          <w:sz w:val="17"/>
          <w:szCs w:val="17"/>
          <w:color w:val="auto"/>
        </w:rPr>
      </w:pPr>
    </w:p>
    <w:p>
      <w:pPr>
        <w:ind w:left="1460" w:hanging="480"/>
        <w:spacing w:after="0" w:line="277" w:lineRule="auto"/>
        <w:tabs>
          <w:tab w:leader="none" w:pos="148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1460" w:hanging="480"/>
        <w:spacing w:after="0" w:line="308" w:lineRule="auto"/>
        <w:tabs>
          <w:tab w:leader="none" w:pos="147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38" w:lineRule="exact"/>
        <w:rPr>
          <w:rFonts w:ascii="Arial" w:cs="Arial" w:eastAsia="Arial" w:hAnsi="Arial"/>
          <w:sz w:val="17"/>
          <w:szCs w:val="17"/>
          <w:color w:val="auto"/>
        </w:rPr>
      </w:pPr>
    </w:p>
    <w:p>
      <w:pPr>
        <w:ind w:left="1460" w:hanging="480"/>
        <w:spacing w:after="0" w:line="277"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1460" w:hanging="480"/>
        <w:spacing w:after="0" w:line="263" w:lineRule="auto"/>
        <w:tabs>
          <w:tab w:leader="none" w:pos="1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128" w:lineRule="exact"/>
        <w:rPr>
          <w:rFonts w:ascii="Arial" w:cs="Arial" w:eastAsia="Arial" w:hAnsi="Arial"/>
          <w:sz w:val="17"/>
          <w:szCs w:val="17"/>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7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“Datadog”, “the Company,” “we,” “our” and “us” refer to Datadog, Inc. and its subsidiaries.</w:t>
      </w:r>
    </w:p>
    <w:p>
      <w:pPr>
        <w:spacing w:after="0" w:line="17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6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Annual Report on Form 10-K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Annual Report on Form 10-K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78"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Datadog is the observability and security platform for cloud applications.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log management, real-user monitoring,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native or hybrid on-premise and cloud infrastructures to enable this digital transformation. Historically, engineering teams have been siloed, making the development of next generation applications in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 And while we continue to broaden our capabilities in observability, we have continued to expand our platform into use cases beyond observability. Starting in 2020, we began to develop products in cloud security, and in 2021, we expanded into developer-focused products.</w:t>
      </w:r>
    </w:p>
    <w:p>
      <w:pPr>
        <w:spacing w:after="0" w:line="192"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of having uncorrelated data from disparate sources into digestible and actionable insights. Since launching our first use case with Infrastructure Monitoring in 2012, we have expanded our platform rapidly, and today, we offer end-to-end monitoring and analytics, powered by a common data model that is extensible for use cases across observability, security, and developer observability. In 2022, we launched Application Security Management to detect attacks on web applications and APIs, Cloud Security Management to provide visibility, threat detection, and configuration audits across the entire cloud infrastructure, Audit Trail to maintain and enforce compliance and governance, Observability Pipelines to collect, transform and route data, Cloud Cost Management to take control of cloud costs, and Universal Service Monitoring to discover and monitor every service.</w:t>
      </w:r>
    </w:p>
    <w:p>
      <w:pPr>
        <w:spacing w:after="0" w:line="166"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Our proprietary platform combines the power of metrics, traces, logs, and other data from over 600 integrations to provide a unified view of infrastructure, application performance and the real-time events impacting performance. Datadog is designed to be cloud agnostic and easy to deploy, with hundreds of out-of-the-box integrations, a built-in understanding of modern technology stacks and extensive customizations. Customers can deploy our platform across their entire infrastructure, making it ubiquitous and a daily part of the lives of developers, operations engineers and business leaders.</w:t>
      </w:r>
    </w:p>
    <w:p>
      <w:pPr>
        <w:spacing w:after="0" w:line="15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believe that our platform currently addresses a significant portion of the IT Operations Management market. According to Gartner, the IT Operations Management market represents a $62 billion opportunity in 2026.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Key Strengths</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ind w:left="480" w:hanging="480"/>
        <w:spacing w:after="0" w:line="263"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and hybrid infrastructures</w:t>
      </w:r>
      <w:r>
        <w:rPr>
          <w:rFonts w:ascii="Arial" w:cs="Arial" w:eastAsia="Arial" w:hAnsi="Arial"/>
          <w:sz w:val="18"/>
          <w:szCs w:val="18"/>
          <w:color w:val="auto"/>
        </w:rPr>
        <w:t>. Our innovative platform was born in the cloud and was built to work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ephemeral cloud technologies such as microservices, containers and serverless computing. Our data model was built to work at cloud scale with highly dynamic data sets and processes more than 10 trillion events a day.</w:t>
      </w:r>
    </w:p>
    <w:p>
      <w:pPr>
        <w:spacing w:after="0" w:line="75" w:lineRule="exact"/>
        <w:rPr>
          <w:rFonts w:ascii="Arial" w:cs="Arial" w:eastAsia="Arial" w:hAnsi="Arial"/>
          <w:sz w:val="18"/>
          <w:szCs w:val="18"/>
          <w:color w:val="auto"/>
        </w:rPr>
      </w:pPr>
    </w:p>
    <w:p>
      <w:pPr>
        <w:jc w:val="both"/>
        <w:ind w:left="480" w:hanging="480"/>
        <w:spacing w:after="0" w:line="255"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Simple but not simplistic</w:t>
      </w:r>
      <w:r>
        <w:rPr>
          <w:rFonts w:ascii="Arial" w:cs="Arial" w:eastAsia="Arial" w:hAnsi="Arial"/>
          <w:sz w:val="18"/>
          <w:szCs w:val="18"/>
          <w:color w:val="auto"/>
        </w:rPr>
        <w:t>. Our platform is easy-to-use with out-of-the-box integrations, customizable drag-and-drop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security professionals, product managers, product designers, support staff, and business users. As a result, our platform is integral to business operations and used every day, and our users find increasing value in the solution over time.</w:t>
      </w:r>
    </w:p>
    <w:p>
      <w:pPr>
        <w:spacing w:after="0" w:line="84" w:lineRule="exact"/>
        <w:rPr>
          <w:rFonts w:ascii="Arial" w:cs="Arial" w:eastAsia="Arial" w:hAnsi="Arial"/>
          <w:sz w:val="18"/>
          <w:szCs w:val="18"/>
          <w:color w:val="auto"/>
        </w:rPr>
      </w:pPr>
    </w:p>
    <w:p>
      <w:pPr>
        <w:jc w:val="both"/>
        <w:ind w:left="480" w:hanging="480"/>
        <w:spacing w:after="0" w:line="271"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data platform</w:t>
      </w:r>
      <w:r>
        <w:rPr>
          <w:rFonts w:ascii="Arial" w:cs="Arial" w:eastAsia="Arial" w:hAnsi="Arial"/>
          <w:sz w:val="17"/>
          <w:szCs w:val="17"/>
          <w:color w:val="auto"/>
        </w:rPr>
        <w:t>. We were the first to combine the “three pillars of observability” - metrics, traces, and logs -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introduction of our log management solution in 2018. Today, our platform combines infrastructure monitoring, application performance monitoring, log management, user experience monitoring, network performance monitoring, database monitoring, security monitoring, incident management, and developer testing and pipeline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they provide the ability to view metrics, traces, logs, and other data side-by-side and to perform correlation analysis.</w:t>
      </w:r>
    </w:p>
    <w:p>
      <w:pPr>
        <w:spacing w:after="0" w:line="70" w:lineRule="exact"/>
        <w:rPr>
          <w:rFonts w:ascii="Arial" w:cs="Arial" w:eastAsia="Arial" w:hAnsi="Arial"/>
          <w:sz w:val="17"/>
          <w:szCs w:val="17"/>
          <w:color w:val="auto"/>
        </w:rPr>
      </w:pPr>
    </w:p>
    <w:p>
      <w:pPr>
        <w:jc w:val="both"/>
        <w:ind w:left="480" w:hanging="480"/>
        <w:spacing w:after="0" w:line="293" w:lineRule="auto"/>
        <w:tabs>
          <w:tab w:leader="none" w:pos="47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Built for collaboration</w:t>
      </w:r>
      <w:r>
        <w:rPr>
          <w:rFonts w:ascii="Arial" w:cs="Arial" w:eastAsia="Arial" w:hAnsi="Arial"/>
          <w:sz w:val="16"/>
          <w:szCs w:val="16"/>
          <w:color w:val="auto"/>
        </w:rPr>
        <w:t>. Our platform was built to break down the silos between developers and operations teams in order to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 Over time, as the use cases for our platform have expanded, the types of users that we can serve and help to collaborate have expanded as well, to include security professionals, support staff, and business users.</w:t>
      </w:r>
    </w:p>
    <w:p>
      <w:pPr>
        <w:spacing w:after="0" w:line="56" w:lineRule="exact"/>
        <w:rPr>
          <w:rFonts w:ascii="Arial" w:cs="Arial" w:eastAsia="Arial" w:hAnsi="Arial"/>
          <w:sz w:val="16"/>
          <w:szCs w:val="16"/>
          <w:color w:val="auto"/>
        </w:rPr>
      </w:pPr>
    </w:p>
    <w:p>
      <w:pPr>
        <w:ind w:left="480" w:right="20" w:hanging="480"/>
        <w:spacing w:after="0" w:line="342" w:lineRule="auto"/>
        <w:tabs>
          <w:tab w:leader="none" w:pos="47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multi-cloud hybrid environments, allowing organizations to diversify their infrastructure and reduce single vendor dependence.</w:t>
      </w:r>
    </w:p>
    <w:p>
      <w:pPr>
        <w:spacing w:after="0" w:line="15" w:lineRule="exact"/>
        <w:rPr>
          <w:rFonts w:ascii="Arial" w:cs="Arial" w:eastAsia="Arial" w:hAnsi="Arial"/>
          <w:sz w:val="16"/>
          <w:szCs w:val="16"/>
          <w:color w:val="auto"/>
        </w:rPr>
      </w:pPr>
    </w:p>
    <w:p>
      <w:pPr>
        <w:jc w:val="both"/>
        <w:ind w:left="480" w:hanging="480"/>
        <w:spacing w:after="0" w:line="263"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Ubiquitous</w:t>
      </w:r>
      <w:r>
        <w:rPr>
          <w:rFonts w:ascii="Arial" w:cs="Arial" w:eastAsia="Arial" w:hAnsi="Arial"/>
          <w:sz w:val="18"/>
          <w:szCs w:val="18"/>
          <w:color w:val="auto"/>
        </w:rPr>
        <w:t>. Datadog is frequently deployed across a customer’s entire infrastructure, making it ubiquitous. Compared to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that are often used only by a few users in an organization’s IT operations team, Datadog is a daily part of the lives of developers, operations engineers and business leaders.</w:t>
      </w:r>
    </w:p>
    <w:p>
      <w:pPr>
        <w:spacing w:after="0" w:line="75" w:lineRule="exact"/>
        <w:rPr>
          <w:rFonts w:ascii="Arial" w:cs="Arial" w:eastAsia="Arial" w:hAnsi="Arial"/>
          <w:sz w:val="18"/>
          <w:szCs w:val="18"/>
          <w:color w:val="auto"/>
        </w:rPr>
      </w:pPr>
    </w:p>
    <w:p>
      <w:pPr>
        <w:jc w:val="both"/>
        <w:ind w:left="480" w:hanging="480"/>
        <w:spacing w:after="0" w:line="257"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Integrates with our customers’ complex environments</w:t>
      </w:r>
      <w:r>
        <w:rPr>
          <w:rFonts w:ascii="Arial" w:cs="Arial" w:eastAsia="Arial" w:hAnsi="Arial"/>
          <w:sz w:val="18"/>
          <w:szCs w:val="18"/>
          <w:color w:val="auto"/>
        </w:rPr>
        <w:t>. We enable development and operations teams to harness the full spectrum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SaaS and open source tools. We have over 600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79" w:lineRule="exact"/>
        <w:rPr>
          <w:rFonts w:ascii="Arial" w:cs="Arial" w:eastAsia="Arial" w:hAnsi="Arial"/>
          <w:sz w:val="18"/>
          <w:szCs w:val="18"/>
          <w:color w:val="auto"/>
        </w:rPr>
      </w:pPr>
    </w:p>
    <w:p>
      <w:pPr>
        <w:jc w:val="both"/>
        <w:ind w:left="480" w:hanging="480"/>
        <w:spacing w:after="0" w:line="275" w:lineRule="auto"/>
        <w:tabs>
          <w:tab w:leader="none" w:pos="4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Powered by robust machine-learning and artificial intelligence</w:t>
      </w:r>
      <w:r>
        <w:rPr>
          <w:rFonts w:ascii="Arial" w:cs="Arial" w:eastAsia="Arial" w:hAnsi="Arial"/>
          <w:sz w:val="17"/>
          <w:szCs w:val="17"/>
          <w:color w:val="auto"/>
        </w:rPr>
        <w:t>. Our platform ingests massive amounts of data into our unified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 We develop actionable insights using our advanced analytics capabilities. Our platform's Watchdog capabilities feature artificial intelligence and machine learning that can cross-correlate metrics, traces, logs, and other data to identify outliers and notify users of potential anomalies; discover and help resolve issues quickly with automated root cause analysis; augment the troubleshooting workflow with contextual insights; and minimize impact on customers.</w:t>
      </w:r>
    </w:p>
    <w:p>
      <w:pPr>
        <w:spacing w:after="0" w:line="68" w:lineRule="exact"/>
        <w:rPr>
          <w:rFonts w:ascii="Arial" w:cs="Arial" w:eastAsia="Arial" w:hAnsi="Arial"/>
          <w:sz w:val="17"/>
          <w:szCs w:val="17"/>
          <w:color w:val="auto"/>
        </w:rPr>
      </w:pPr>
    </w:p>
    <w:p>
      <w:pPr>
        <w:jc w:val="both"/>
        <w:ind w:left="480" w:hanging="480"/>
        <w:spacing w:after="0" w:line="259"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Scalable</w:t>
      </w:r>
      <w:r>
        <w:rPr>
          <w:rFonts w:ascii="Arial" w:cs="Arial" w:eastAsia="Arial" w:hAnsi="Arial"/>
          <w:sz w:val="18"/>
          <w:szCs w:val="18"/>
          <w:color w:val="auto"/>
        </w:rPr>
        <w:t>. Our SaaS platform is highly scalable and is delivered through the cloud. Our platform is massively scalable,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more than tens of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200" w:lineRule="exact"/>
        <w:rPr>
          <w:sz w:val="20"/>
          <w:szCs w:val="20"/>
          <w:color w:val="auto"/>
        </w:rPr>
      </w:pPr>
    </w:p>
    <w:p>
      <w:pPr>
        <w:spacing w:after="0" w:line="32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0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Key Benefits to Our Customers</w:t>
      </w:r>
    </w:p>
    <w:p>
      <w:pPr>
        <w:spacing w:after="0" w:line="229" w:lineRule="exact"/>
        <w:rPr>
          <w:sz w:val="20"/>
          <w:szCs w:val="20"/>
          <w:color w:val="auto"/>
        </w:rPr>
      </w:pPr>
    </w:p>
    <w:p>
      <w:pPr>
        <w:ind w:firstLine="972"/>
        <w:spacing w:after="0" w:line="308" w:lineRule="auto"/>
        <w:rPr>
          <w:sz w:val="20"/>
          <w:szCs w:val="20"/>
          <w:color w:val="auto"/>
        </w:rPr>
      </w:pPr>
      <w:r>
        <w:rPr>
          <w:rFonts w:ascii="Arial" w:cs="Arial" w:eastAsia="Arial" w:hAnsi="Arial"/>
          <w:sz w:val="17"/>
          <w:szCs w:val="17"/>
          <w:color w:val="auto"/>
        </w:rPr>
        <w:t>Organizations of all sizes, in all industries, both private and public, purchase our products for a variety of use cases. As of December 31, 2022, we had approximately 23,200 customers in over 100 countries. Our platform provides the following key benefits to our customers:</w:t>
      </w:r>
    </w:p>
    <w:p>
      <w:pPr>
        <w:spacing w:after="0" w:line="38" w:lineRule="exact"/>
        <w:rPr>
          <w:sz w:val="20"/>
          <w:szCs w:val="20"/>
          <w:color w:val="auto"/>
        </w:rPr>
      </w:pPr>
    </w:p>
    <w:p>
      <w:pPr>
        <w:jc w:val="both"/>
        <w:ind w:left="1460" w:hanging="480"/>
        <w:spacing w:after="0" w:line="259"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78"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log data, and data from integrations in our unified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customers are able to 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78" w:lineRule="exact"/>
        <w:rPr>
          <w:rFonts w:ascii="Arial" w:cs="Arial" w:eastAsia="Arial" w:hAnsi="Arial"/>
          <w:sz w:val="18"/>
          <w:szCs w:val="18"/>
          <w:color w:val="auto"/>
        </w:rPr>
      </w:pPr>
    </w:p>
    <w:p>
      <w:pPr>
        <w:jc w:val="both"/>
        <w:ind w:left="1460" w:hanging="480"/>
        <w:spacing w:after="0" w:line="257" w:lineRule="auto"/>
        <w:tabs>
          <w:tab w:leader="none" w:pos="14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Improve agility of development, operations, security and business teams</w:t>
      </w:r>
      <w:r>
        <w:rPr>
          <w:rFonts w:ascii="Arial" w:cs="Arial" w:eastAsia="Arial" w:hAnsi="Arial"/>
          <w:sz w:val="18"/>
          <w:szCs w:val="18"/>
          <w:color w:val="auto"/>
        </w:rPr>
        <w:t>. We eliminate the historical silos of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79" w:lineRule="exact"/>
        <w:rPr>
          <w:rFonts w:ascii="Arial" w:cs="Arial" w:eastAsia="Arial" w:hAnsi="Arial"/>
          <w:sz w:val="18"/>
          <w:szCs w:val="18"/>
          <w:color w:val="auto"/>
        </w:rPr>
      </w:pPr>
    </w:p>
    <w:p>
      <w:pPr>
        <w:jc w:val="both"/>
        <w:ind w:left="1460" w:hanging="480"/>
        <w:spacing w:after="0" w:line="296" w:lineRule="auto"/>
        <w:tabs>
          <w:tab w:leader="none" w:pos="14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Enable operational efficiency</w:t>
      </w:r>
      <w:r>
        <w:rPr>
          <w:rFonts w:ascii="Arial" w:cs="Arial" w:eastAsia="Arial" w:hAnsi="Arial"/>
          <w:sz w:val="16"/>
          <w:szCs w:val="16"/>
          <w:color w:val="auto"/>
        </w:rPr>
        <w:t>. Our solution is easy to install, which eliminates the need for heavy implementation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pursue the following growth strategies:</w:t>
      </w:r>
    </w:p>
    <w:p>
      <w:pPr>
        <w:spacing w:after="0" w:line="117" w:lineRule="exact"/>
        <w:rPr>
          <w:sz w:val="20"/>
          <w:szCs w:val="20"/>
          <w:color w:val="auto"/>
        </w:rPr>
      </w:pPr>
    </w:p>
    <w:p>
      <w:pPr>
        <w:jc w:val="both"/>
        <w:ind w:left="1460" w:hanging="480"/>
        <w:spacing w:after="0" w:line="263"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 to grow our customer base. We intend to drive new customer additions by expanding our sales and marketing efforts in the markets we serve.</w:t>
      </w:r>
    </w:p>
    <w:p>
      <w:pPr>
        <w:spacing w:after="0" w:line="75" w:lineRule="exact"/>
        <w:rPr>
          <w:rFonts w:ascii="Arial" w:cs="Arial" w:eastAsia="Arial" w:hAnsi="Arial"/>
          <w:sz w:val="18"/>
          <w:szCs w:val="18"/>
          <w:color w:val="auto"/>
        </w:rPr>
      </w:pPr>
    </w:p>
    <w:p>
      <w:pPr>
        <w:jc w:val="both"/>
        <w:ind w:left="1460" w:hanging="480"/>
        <w:spacing w:after="0" w:line="259"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23,200 customers as of December 31, 2022 represents a significant opportunity for further sales expansion. We plan to continue to increase sales within our existing customer base through increased usage of our platform and the cross selling of additional products.</w:t>
      </w:r>
    </w:p>
    <w:p>
      <w:pPr>
        <w:spacing w:after="0" w:line="78" w:lineRule="exact"/>
        <w:rPr>
          <w:rFonts w:ascii="Arial" w:cs="Arial" w:eastAsia="Arial" w:hAnsi="Arial"/>
          <w:sz w:val="18"/>
          <w:szCs w:val="18"/>
          <w:color w:val="auto"/>
        </w:rPr>
      </w:pPr>
    </w:p>
    <w:p>
      <w:pPr>
        <w:jc w:val="both"/>
        <w:ind w:left="1460" w:hanging="480"/>
        <w:spacing w:after="0" w:line="272" w:lineRule="auto"/>
        <w:tabs>
          <w:tab w:leader="none" w:pos="14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technology leadership through continued investment and new products</w:t>
      </w:r>
      <w:r>
        <w:rPr>
          <w:rFonts w:ascii="Arial" w:cs="Arial" w:eastAsia="Arial" w:hAnsi="Arial"/>
          <w:sz w:val="17"/>
          <w:szCs w:val="17"/>
          <w:color w:val="auto"/>
        </w:rPr>
        <w:t>. We intend to invest in expanding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functionality of our current platform and adding capabilities that address new market opportunities. We have a history of continued innovation. For example, in 2017 we launched APM, in 2018 we launched Log Management, in 2019 we launched User Experience Monitoring and Network Performance Monitoring, in 2020 we launched Cloud SIEM, Continuous Profiler and Incident Management, in 2021 we launched Cloud Security Posture Management, Cloud Workload Security, Database Monitoring, and Sensitive Data Scanner, and in 2022 we launched Application Security Management, Cloud Security Management, Audit Trail, Observability Pipelines, Cloud Cost Management, and Universal Service Monitoring.</w:t>
      </w:r>
    </w:p>
    <w:p>
      <w:pPr>
        <w:spacing w:after="0" w:line="69" w:lineRule="exact"/>
        <w:rPr>
          <w:rFonts w:ascii="Arial" w:cs="Arial" w:eastAsia="Arial" w:hAnsi="Arial"/>
          <w:sz w:val="17"/>
          <w:szCs w:val="17"/>
          <w:color w:val="auto"/>
        </w:rPr>
      </w:pPr>
    </w:p>
    <w:p>
      <w:pPr>
        <w:ind w:left="1460" w:hanging="480"/>
        <w:spacing w:after="0" w:line="277" w:lineRule="auto"/>
        <w:tabs>
          <w:tab w:leader="none" w:pos="14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internationally</w:t>
      </w:r>
      <w:r>
        <w:rPr>
          <w:rFonts w:ascii="Arial" w:cs="Arial" w:eastAsia="Arial" w:hAnsi="Arial"/>
          <w:sz w:val="18"/>
          <w:szCs w:val="18"/>
          <w:color w:val="auto"/>
        </w:rPr>
        <w:t>. We believe there is a significant opportunity to continue to expand usage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of the United States, as international markets have increased the shift of their IT spend to the cloud.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Our proprietary platform provides real-time insights into software applications and IT infrastructure performance to enable better user experiences, faster problem detection and resolution and smarter, more impactful business decisions.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jc w:val="both"/>
        <w:spacing w:after="0" w:line="296" w:lineRule="auto"/>
        <w:rPr>
          <w:sz w:val="20"/>
          <w:szCs w:val="20"/>
          <w:color w:val="auto"/>
        </w:rPr>
      </w:pPr>
      <w:r>
        <w:rPr>
          <w:rFonts w:ascii="Arial" w:cs="Arial" w:eastAsia="Arial" w:hAnsi="Arial"/>
          <w:sz w:val="16"/>
          <w:szCs w:val="16"/>
          <w:color w:val="auto"/>
        </w:rPr>
        <w:t>platform is modular and includes infrastructure monitoring, application performance monitoring, log management, user experience monitoring, network performance monitoring, cloud security, developer-focused observability, and incident management,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6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platform is supported by more than 600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tens of trillion events a day and millions of servers and containers.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13" w:lineRule="exact"/>
        <w:rPr>
          <w:sz w:val="20"/>
          <w:szCs w:val="20"/>
          <w:color w:val="auto"/>
        </w:rPr>
      </w:pPr>
    </w:p>
    <w:p>
      <w:pPr>
        <w:jc w:val="both"/>
        <w:ind w:left="1460" w:hanging="480"/>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Single Pane of Glass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ability to provide a unified source of data enables users to access information from a single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easily 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71" w:lineRule="exact"/>
        <w:rPr>
          <w:rFonts w:ascii="Arial" w:cs="Arial" w:eastAsia="Arial" w:hAnsi="Arial"/>
          <w:sz w:val="18"/>
          <w:szCs w:val="18"/>
          <w:color w:val="auto"/>
        </w:rPr>
      </w:pPr>
    </w:p>
    <w:p>
      <w:pPr>
        <w:jc w:val="both"/>
        <w:ind w:left="1460" w:hanging="480"/>
        <w:spacing w:after="0" w:line="281"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Robust, Deep Data Set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client-side collection technology relies on installation of a single agent for metrics, traces, logs,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allowing 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w:t>
      </w:r>
    </w:p>
    <w:p>
      <w:pPr>
        <w:spacing w:after="0" w:line="56" w:lineRule="exact"/>
        <w:rPr>
          <w:rFonts w:ascii="Arial" w:cs="Arial" w:eastAsia="Arial" w:hAnsi="Arial"/>
          <w:sz w:val="17"/>
          <w:szCs w:val="17"/>
          <w:color w:val="auto"/>
        </w:rPr>
      </w:pPr>
    </w:p>
    <w:p>
      <w:pPr>
        <w:ind w:left="1460" w:hanging="480"/>
        <w:spacing w:after="0" w:line="312"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SaaS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 based multi-tenant SaaS platform allows for real-time ingestion, and analysis of massive amounts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our customers needing to worry about the provisioning, sizing and capacity of their monitoring platform.</w:t>
      </w:r>
    </w:p>
    <w:p>
      <w:pPr>
        <w:spacing w:after="0" w:line="35" w:lineRule="exact"/>
        <w:rPr>
          <w:rFonts w:ascii="Arial" w:cs="Arial" w:eastAsia="Arial" w:hAnsi="Arial"/>
          <w:sz w:val="17"/>
          <w:szCs w:val="17"/>
          <w:color w:val="auto"/>
        </w:rPr>
      </w:pPr>
    </w:p>
    <w:p>
      <w:pPr>
        <w:jc w:val="both"/>
        <w:ind w:left="1460" w:hanging="480"/>
        <w:spacing w:after="0" w:line="263"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Data Model. </w:t>
      </w:r>
      <w:r>
        <w:rPr>
          <w:rFonts w:ascii="Arial" w:cs="Arial" w:eastAsia="Arial" w:hAnsi="Arial"/>
          <w:sz w:val="18"/>
          <w:szCs w:val="18"/>
          <w:color w:val="auto"/>
        </w:rPr>
        <w:t>Every piece of data that is ingested by our platform is consistently tagged with metadata regardless of its type.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for different kinds of performance data, such as a log event and an application trace, to be queried together, correlated, alerted on, and visualized in a common user interface.</w:t>
      </w:r>
    </w:p>
    <w:p>
      <w:pPr>
        <w:spacing w:after="0" w:line="71"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and power faster troubleshooting.</w:t>
      </w:r>
    </w:p>
    <w:p>
      <w:pPr>
        <w:spacing w:after="0" w:line="53"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moment of installation, our platform provides actionable insights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customizable dashboards, predictive analytics, automated correlations, visualizations and alerting.</w:t>
      </w:r>
    </w:p>
    <w:p>
      <w:pPr>
        <w:spacing w:after="0" w:line="53" w:lineRule="exact"/>
        <w:rPr>
          <w:rFonts w:ascii="Arial" w:cs="Arial" w:eastAsia="Arial" w:hAnsi="Arial"/>
          <w:sz w:val="18"/>
          <w:szCs w:val="18"/>
          <w:color w:val="auto"/>
        </w:rPr>
      </w:pPr>
    </w:p>
    <w:p>
      <w:pPr>
        <w:jc w:val="both"/>
        <w:ind w:left="1460" w:hanging="480"/>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High Accuracy Machine-Learning Capabilities and Predictive Capabilities Powered by the Network Effect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multi-tenant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71"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600+ Fully Supported Integrations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more than 600 out-of-the-box integrations including public cloud, private cloud, on-premise hardware, databases and third-party software.</w:t>
      </w:r>
    </w:p>
    <w:p>
      <w:pPr>
        <w:spacing w:after="0" w:line="53" w:lineRule="exact"/>
        <w:rPr>
          <w:rFonts w:ascii="Arial" w:cs="Arial" w:eastAsia="Arial" w:hAnsi="Arial"/>
          <w:sz w:val="18"/>
          <w:szCs w:val="18"/>
          <w:color w:val="auto"/>
        </w:rPr>
      </w:pPr>
    </w:p>
    <w:p>
      <w:pPr>
        <w:ind w:left="1460" w:hanging="480"/>
        <w:spacing w:after="0" w:line="282"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sophisticated real time alerting capabilities in the platform that detects issues, alerts users, and integrates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their service management systems.</w:t>
      </w:r>
    </w:p>
    <w:p>
      <w:pPr>
        <w:spacing w:after="0" w:line="166"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Our platform consists of products that can be used individually or as a unified solution, and includes a Marketplace where customers can access products built by our partners on top of the Datadog platform. Our products include:</w:t>
      </w:r>
    </w:p>
    <w:p>
      <w:pPr>
        <w:spacing w:after="0" w:line="58" w:lineRule="exact"/>
        <w:rPr>
          <w:sz w:val="20"/>
          <w:szCs w:val="20"/>
          <w:color w:val="auto"/>
        </w:rPr>
      </w:pPr>
    </w:p>
    <w:p>
      <w:pPr>
        <w:jc w:val="both"/>
        <w:ind w:left="1460" w:hanging="480"/>
        <w:spacing w:after="0" w:line="281" w:lineRule="auto"/>
        <w:tabs>
          <w:tab w:leader="none" w:pos="14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Monitoring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Infrastructure Monitoring platform provides real-time monitoring of IT infrastructure across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jc w:val="both"/>
        <w:ind w:left="480" w:hanging="480"/>
        <w:spacing w:after="0" w:line="263"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Performance Monitoring (APM). </w:t>
      </w:r>
      <w:r>
        <w:rPr>
          <w:rFonts w:ascii="Arial" w:cs="Arial" w:eastAsia="Arial" w:hAnsi="Arial"/>
          <w:sz w:val="18"/>
          <w:szCs w:val="18"/>
          <w:color w:val="auto"/>
        </w:rPr>
        <w:t>APM provides full visibility into the health and functioning of applications regardless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deployment environment. Distributed tracing across microservices, hosts, containers and serverless computing functions allows our customers to gain deep insights into application performance.</w:t>
      </w:r>
    </w:p>
    <w:p>
      <w:pPr>
        <w:spacing w:after="0" w:line="75" w:lineRule="exact"/>
        <w:rPr>
          <w:rFonts w:ascii="Arial" w:cs="Arial" w:eastAsia="Arial" w:hAnsi="Arial"/>
          <w:sz w:val="18"/>
          <w:szCs w:val="18"/>
          <w:color w:val="auto"/>
        </w:rPr>
      </w:pPr>
    </w:p>
    <w:p>
      <w:pPr>
        <w:jc w:val="both"/>
        <w:ind w:left="480" w:hanging="480"/>
        <w:spacing w:after="0" w:line="259"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 Management. </w:t>
      </w:r>
      <w:r>
        <w:rPr>
          <w:rFonts w:ascii="Arial" w:cs="Arial" w:eastAsia="Arial" w:hAnsi="Arial"/>
          <w:sz w:val="18"/>
          <w:szCs w:val="18"/>
          <w:color w:val="auto"/>
        </w:rPr>
        <w:t>Log Management for applications, systems and cloud platforms ingests data, creates indexes and enables querying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logs with visualizations and alerting to provide immediate insight into any performance issues. Logging Without Limits</w:t>
      </w:r>
      <w:r>
        <w:rPr>
          <w:rFonts w:ascii="Arial" w:cs="Arial" w:eastAsia="Arial" w:hAnsi="Arial"/>
          <w:sz w:val="16"/>
          <w:szCs w:val="16"/>
          <w:color w:val="auto"/>
        </w:rPr>
        <w:t>™</w:t>
      </w:r>
      <w:r>
        <w:rPr>
          <w:rFonts w:ascii="Arial" w:cs="Arial" w:eastAsia="Arial" w:hAnsi="Arial"/>
          <w:sz w:val="18"/>
          <w:szCs w:val="18"/>
          <w:color w:val="auto"/>
        </w:rPr>
        <w:t xml:space="preserve"> decouples the cost of log ingestion from processing, allowing customers to cost effectively collect a massive volume of logs and selectively process those they need to monitor.</w:t>
      </w:r>
    </w:p>
    <w:p>
      <w:pPr>
        <w:spacing w:after="0" w:line="78" w:lineRule="exact"/>
        <w:rPr>
          <w:rFonts w:ascii="Arial" w:cs="Arial" w:eastAsia="Arial" w:hAnsi="Arial"/>
          <w:sz w:val="18"/>
          <w:szCs w:val="18"/>
          <w:color w:val="auto"/>
        </w:rPr>
      </w:pPr>
    </w:p>
    <w:p>
      <w:pPr>
        <w:jc w:val="both"/>
        <w:ind w:left="480" w:hanging="480"/>
        <w:spacing w:after="0" w:line="279" w:lineRule="auto"/>
        <w:tabs>
          <w:tab w:leader="none" w:pos="47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Experience Monitoring. </w:t>
      </w:r>
      <w:r>
        <w:rPr>
          <w:rFonts w:ascii="Arial" w:cs="Arial" w:eastAsia="Arial" w:hAnsi="Arial"/>
          <w:sz w:val="17"/>
          <w:szCs w:val="17"/>
          <w:color w:val="auto"/>
        </w:rPr>
        <w:t>Digital experience monitoring brings visibility up the stack to monitor the digital experience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and is comprised of two products – Synthetics and Real User Monitoring, or RUM. Synthetics provides user-experience monitoring of applications and API endpoints via simulated AI-powered user requests to track application performance and ensure uptime. RUM provides analysis and visualization of the performance of front-end applications as experienced by all actual users.</w:t>
      </w:r>
    </w:p>
    <w:p>
      <w:pPr>
        <w:spacing w:after="0" w:line="59" w:lineRule="exact"/>
        <w:rPr>
          <w:rFonts w:ascii="Arial" w:cs="Arial" w:eastAsia="Arial" w:hAnsi="Arial"/>
          <w:sz w:val="17"/>
          <w:szCs w:val="17"/>
          <w:color w:val="auto"/>
        </w:rPr>
      </w:pPr>
    </w:p>
    <w:p>
      <w:pPr>
        <w:jc w:val="both"/>
        <w:ind w:left="480" w:hanging="480"/>
        <w:spacing w:after="0" w:line="266"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Continuous Profiler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Profiler measures code level performance in any environment through an always-on, and 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overhead solution. This allows customers to quickly identify and optimize the most resource-consuming parts in application code in order to improve mean time to resolution, enhance user experience and reduce cloud provider cost.</w:t>
      </w:r>
    </w:p>
    <w:p>
      <w:pPr>
        <w:spacing w:after="0" w:line="71" w:lineRule="exact"/>
        <w:rPr>
          <w:rFonts w:ascii="Arial" w:cs="Arial" w:eastAsia="Arial" w:hAnsi="Arial"/>
          <w:sz w:val="18"/>
          <w:szCs w:val="18"/>
          <w:color w:val="auto"/>
        </w:rPr>
      </w:pPr>
    </w:p>
    <w:p>
      <w:pPr>
        <w:jc w:val="both"/>
        <w:ind w:left="480" w:hanging="480"/>
        <w:spacing w:after="0" w:line="259"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Database Monitoring. </w:t>
      </w:r>
      <w:r>
        <w:rPr>
          <w:rFonts w:ascii="Arial" w:cs="Arial" w:eastAsia="Arial" w:hAnsi="Arial"/>
          <w:sz w:val="18"/>
          <w:szCs w:val="18"/>
          <w:color w:val="auto"/>
        </w:rPr>
        <w:t>Database Monitoring allows customers to view query metrics and explain plans from all of their databases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 place. With Database Monitoring, they can quickly pinpoint costly and slow queries and drill into precise execution details to address bottlenecks. Additionally, query and host metric correlation makes it easy to identify and understand the impact of resource constraints on database performance.</w:t>
      </w:r>
    </w:p>
    <w:p>
      <w:pPr>
        <w:spacing w:after="0" w:line="78" w:lineRule="exact"/>
        <w:rPr>
          <w:rFonts w:ascii="Arial" w:cs="Arial" w:eastAsia="Arial" w:hAnsi="Arial"/>
          <w:sz w:val="18"/>
          <w:szCs w:val="18"/>
          <w:color w:val="auto"/>
        </w:rPr>
      </w:pPr>
    </w:p>
    <w:p>
      <w:pPr>
        <w:jc w:val="both"/>
        <w:ind w:left="480" w:hanging="480"/>
        <w:spacing w:after="0" w:line="257"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Network Monitoring. </w:t>
      </w:r>
      <w:r>
        <w:rPr>
          <w:rFonts w:ascii="Arial" w:cs="Arial" w:eastAsia="Arial" w:hAnsi="Arial"/>
          <w:sz w:val="18"/>
          <w:szCs w:val="18"/>
          <w:color w:val="auto"/>
        </w:rPr>
        <w:t>Network Monitoring enables the analysis and visualization of the flow of network traffic in cloud-based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hybrid environments. It is very lightweight, allowing customers to monitor the flow of network traffic without sacrificing performance. With the launch of Network Device Monitoring in 2021, our Network Monitoring solution also offers monitoring of network hardware, such as routers, switches, and firewalls. Network Monitoring allows the mapping of full-stack dependencies, and is fully integrated with the Datadog platform.</w:t>
      </w:r>
    </w:p>
    <w:p>
      <w:pPr>
        <w:spacing w:after="0" w:line="79" w:lineRule="exact"/>
        <w:rPr>
          <w:rFonts w:ascii="Arial" w:cs="Arial" w:eastAsia="Arial" w:hAnsi="Arial"/>
          <w:sz w:val="18"/>
          <w:szCs w:val="18"/>
          <w:color w:val="auto"/>
        </w:rPr>
      </w:pPr>
    </w:p>
    <w:p>
      <w:pPr>
        <w:jc w:val="both"/>
        <w:ind w:left="480" w:right="20" w:hanging="480"/>
        <w:spacing w:after="0" w:line="263"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Incident Management. </w:t>
      </w:r>
      <w:r>
        <w:rPr>
          <w:rFonts w:ascii="Arial" w:cs="Arial" w:eastAsia="Arial" w:hAnsi="Arial"/>
          <w:sz w:val="18"/>
          <w:szCs w:val="18"/>
          <w:color w:val="auto"/>
        </w:rPr>
        <w:t>Incident Management allows users to declare incidents, investigate root cause and dependencies, collaborate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a shared view of the incident, follow to resolution, and auto-generate post-mortem documentations, all within the Datadog platform.</w:t>
      </w:r>
    </w:p>
    <w:p>
      <w:pPr>
        <w:spacing w:after="0" w:line="75" w:lineRule="exact"/>
        <w:rPr>
          <w:rFonts w:ascii="Arial" w:cs="Arial" w:eastAsia="Arial" w:hAnsi="Arial"/>
          <w:sz w:val="18"/>
          <w:szCs w:val="18"/>
          <w:color w:val="auto"/>
        </w:rPr>
      </w:pPr>
    </w:p>
    <w:p>
      <w:pPr>
        <w:ind w:left="480" w:hanging="480"/>
        <w:spacing w:after="0" w:line="277" w:lineRule="auto"/>
        <w:tabs>
          <w:tab w:leader="none" w:pos="47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Observability Pipelines. </w:t>
      </w:r>
      <w:r>
        <w:rPr>
          <w:rFonts w:ascii="Arial" w:cs="Arial" w:eastAsia="Arial" w:hAnsi="Arial"/>
          <w:sz w:val="18"/>
          <w:szCs w:val="18"/>
          <w:color w:val="auto"/>
        </w:rPr>
        <w:t>Observability Pipelines enables IT and security teams to cost-effectively collect, transform, and route logs,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and traces from any source to any destination at scale.</w:t>
      </w:r>
    </w:p>
    <w:p>
      <w:pPr>
        <w:spacing w:after="0" w:line="62" w:lineRule="exact"/>
        <w:rPr>
          <w:rFonts w:ascii="Arial" w:cs="Arial" w:eastAsia="Arial" w:hAnsi="Arial"/>
          <w:sz w:val="18"/>
          <w:szCs w:val="18"/>
          <w:b w:val="1"/>
          <w:bCs w:val="1"/>
          <w:i w:val="1"/>
          <w:iCs w:val="1"/>
          <w:color w:val="auto"/>
        </w:rPr>
      </w:pPr>
    </w:p>
    <w:p>
      <w:pPr>
        <w:jc w:val="both"/>
        <w:ind w:left="480" w:hanging="480"/>
        <w:spacing w:after="0" w:line="263" w:lineRule="auto"/>
        <w:tabs>
          <w:tab w:leader="none" w:pos="47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Cloud Cost Management. </w:t>
      </w:r>
      <w:r>
        <w:rPr>
          <w:rFonts w:ascii="Arial" w:cs="Arial" w:eastAsia="Arial" w:hAnsi="Arial"/>
          <w:sz w:val="18"/>
          <w:szCs w:val="18"/>
          <w:color w:val="auto"/>
        </w:rPr>
        <w:t>Cloud Cost Management provides granular visibility into costs across cloud resources,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surfacing changes in cloud costs and visualizing cost data alongside metrics, traces, logs, and other data, and making it easy to find and fix cost inefficiencies.</w:t>
      </w:r>
    </w:p>
    <w:p>
      <w:pPr>
        <w:spacing w:after="0" w:line="75" w:lineRule="exact"/>
        <w:rPr>
          <w:rFonts w:ascii="Arial" w:cs="Arial" w:eastAsia="Arial" w:hAnsi="Arial"/>
          <w:sz w:val="18"/>
          <w:szCs w:val="18"/>
          <w:b w:val="1"/>
          <w:bCs w:val="1"/>
          <w:i w:val="1"/>
          <w:iCs w:val="1"/>
          <w:color w:val="auto"/>
        </w:rPr>
      </w:pPr>
    </w:p>
    <w:p>
      <w:pPr>
        <w:ind w:left="480" w:hanging="480"/>
        <w:spacing w:after="0" w:line="308" w:lineRule="auto"/>
        <w:tabs>
          <w:tab w:leader="none" w:pos="475"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Universal Service Monitoring. </w:t>
      </w:r>
      <w:r>
        <w:rPr>
          <w:rFonts w:ascii="Arial" w:cs="Arial" w:eastAsia="Arial" w:hAnsi="Arial"/>
          <w:sz w:val="17"/>
          <w:szCs w:val="17"/>
          <w:color w:val="auto"/>
        </w:rPr>
        <w:t>Universal Service Monitoring automatically detects all microservices across an organization's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 and provides instant visibility into their health and dependencies—all without any code changes.</w:t>
      </w:r>
    </w:p>
    <w:p>
      <w:pPr>
        <w:spacing w:after="0" w:line="38" w:lineRule="exact"/>
        <w:rPr>
          <w:rFonts w:ascii="Arial" w:cs="Arial" w:eastAsia="Arial" w:hAnsi="Arial"/>
          <w:sz w:val="17"/>
          <w:szCs w:val="17"/>
          <w:b w:val="1"/>
          <w:bCs w:val="1"/>
          <w:i w:val="1"/>
          <w:iCs w:val="1"/>
          <w:color w:val="auto"/>
        </w:rPr>
      </w:pPr>
    </w:p>
    <w:p>
      <w:pPr>
        <w:jc w:val="both"/>
        <w:ind w:left="480" w:right="20" w:hanging="480"/>
        <w:spacing w:after="0" w:line="301" w:lineRule="auto"/>
        <w:tabs>
          <w:tab w:leader="none" w:pos="47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Cloud Security Management. </w:t>
      </w:r>
      <w:r>
        <w:rPr>
          <w:rFonts w:ascii="Arial" w:cs="Arial" w:eastAsia="Arial" w:hAnsi="Arial"/>
          <w:sz w:val="16"/>
          <w:szCs w:val="16"/>
          <w:color w:val="auto"/>
        </w:rPr>
        <w:t>Cloud Security Management delivers visibility, real-time threat detection, and continuous configuration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audits across the entire cloud infrastructure, all in a unified platform for seamless collaboration and faster remediation. This product includes Cloud Security Posture Management, Cloud Workload Security, and Resource Catalog, and allows security and DevOps teams to act on shared context of observability data and security risks to determine the impact of a threat quickly.</w:t>
      </w:r>
    </w:p>
    <w:p>
      <w:pPr>
        <w:spacing w:after="0" w:line="49" w:lineRule="exact"/>
        <w:rPr>
          <w:rFonts w:ascii="Arial" w:cs="Arial" w:eastAsia="Arial" w:hAnsi="Arial"/>
          <w:sz w:val="16"/>
          <w:szCs w:val="16"/>
          <w:b w:val="1"/>
          <w:bCs w:val="1"/>
          <w:i w:val="1"/>
          <w:iCs w:val="1"/>
          <w:color w:val="auto"/>
        </w:rPr>
      </w:pPr>
    </w:p>
    <w:p>
      <w:pPr>
        <w:jc w:val="both"/>
        <w:ind w:left="480" w:hanging="480"/>
        <w:spacing w:after="0" w:line="263"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Security Management. </w:t>
      </w:r>
      <w:r>
        <w:rPr>
          <w:rFonts w:ascii="Arial" w:cs="Arial" w:eastAsia="Arial" w:hAnsi="Arial"/>
          <w:sz w:val="18"/>
          <w:szCs w:val="18"/>
          <w:color w:val="auto"/>
        </w:rPr>
        <w:t>Application Security Management (ASM) delivers deep, real-time visibility into attacks that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web applications and APIs. By leveraging Datadog’s distributed tracing capabilities, ASM reveals attack flows and determines which threats trigger abnormal application behavior, helping teams prioritize efforts.</w:t>
      </w:r>
    </w:p>
    <w:p>
      <w:pPr>
        <w:spacing w:after="0" w:line="75" w:lineRule="exact"/>
        <w:rPr>
          <w:rFonts w:ascii="Arial" w:cs="Arial" w:eastAsia="Arial" w:hAnsi="Arial"/>
          <w:sz w:val="18"/>
          <w:szCs w:val="18"/>
          <w:color w:val="auto"/>
        </w:rPr>
      </w:pPr>
    </w:p>
    <w:p>
      <w:pPr>
        <w:jc w:val="both"/>
        <w:ind w:left="480" w:hanging="480"/>
        <w:spacing w:after="0" w:line="263"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 SIEM. </w:t>
      </w:r>
      <w:r>
        <w:rPr>
          <w:rFonts w:ascii="Arial" w:cs="Arial" w:eastAsia="Arial" w:hAnsi="Arial"/>
          <w:sz w:val="18"/>
          <w:szCs w:val="18"/>
          <w:color w:val="auto"/>
        </w:rPr>
        <w:t>Cloud SIEM (Security Information and Event Management) allows customers to detect threats in real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investigate security signals across metrics, traces, logs, and other data. It provides the engineering organization, including Dev, Ops, and security teams, visibility into common data sources, in order to better operationalize IT security.</w:t>
      </w: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003" w:right="339" w:bottom="1440" w:gutter="0" w:footer="0" w:header="0"/>
        </w:sectPr>
      </w:pPr>
    </w:p>
    <w:bookmarkStart w:id="11" w:name="page12"/>
    <w:bookmarkEnd w:id="11"/>
    <w:p>
      <w:pPr>
        <w:jc w:val="both"/>
        <w:ind w:left="1460" w:hanging="480"/>
        <w:spacing w:after="0" w:line="286" w:lineRule="auto"/>
        <w:tabs>
          <w:tab w:leader="none" w:pos="145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Sensitive Data Scanner. </w:t>
      </w:r>
      <w:r>
        <w:rPr>
          <w:rFonts w:ascii="Arial" w:cs="Arial" w:eastAsia="Arial" w:hAnsi="Arial"/>
          <w:sz w:val="17"/>
          <w:szCs w:val="17"/>
          <w:color w:val="auto"/>
        </w:rPr>
        <w:t>Sensitive Data Scanner helps businesses meet compliance goals by discovering, classifying, and protecting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sensitive data, in real-time and at scale. Datadog scans for patterns of sensitive data upon ingestion and then hashes or redacts it, following built-in or user-defined rules to support compliance with GDPR, HIPAA, CCPA, and more.</w:t>
      </w:r>
    </w:p>
    <w:p>
      <w:pPr>
        <w:spacing w:after="0" w:line="57" w:lineRule="exact"/>
        <w:rPr>
          <w:rFonts w:ascii="Arial" w:cs="Arial" w:eastAsia="Arial" w:hAnsi="Arial"/>
          <w:sz w:val="17"/>
          <w:szCs w:val="17"/>
          <w:color w:val="auto"/>
        </w:rPr>
      </w:pPr>
    </w:p>
    <w:p>
      <w:pPr>
        <w:jc w:val="both"/>
        <w:ind w:left="1460" w:hanging="480"/>
        <w:spacing w:after="0" w:line="301" w:lineRule="auto"/>
        <w:tabs>
          <w:tab w:leader="none" w:pos="1455"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CI Visibility. </w:t>
      </w:r>
      <w:r>
        <w:rPr>
          <w:rFonts w:ascii="Arial" w:cs="Arial" w:eastAsia="Arial" w:hAnsi="Arial"/>
          <w:sz w:val="16"/>
          <w:szCs w:val="16"/>
          <w:color w:val="auto"/>
        </w:rPr>
        <w:t>CI, or Continuous Integration, Visibility provides deep insight into the health and performance of customers' 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 Datadog auto-instruments pipelines and tests, so developers can dive into traces for problematic builds and executions. They can also scope CI data by repository, branch, or commit in order to surface trends and troubleshoot issues. This provides a comprehensive view into CI activity and makes it easier to resolve bottlenecks, reduce CI costs, and deliver better software.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 teams work with marketing to actively pursue leads generated from marketing programs and help take prospective customers through an evaluation and purchase process.</w:t>
      </w:r>
    </w:p>
    <w:p>
      <w:pPr>
        <w:spacing w:after="0" w:line="192"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7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2022, we had approximately 2,300 employees in our sales and marketing organization, including sales development, field sales, sales engineering, technical solutions, business development, sales operations, sales strategy, customer success and marketing personnel. We intend to continue to invest in our sales and marketing capabilities to capitalize on our market opportunity.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Research and development employees are located primarily in our New York and Paris offices, as well as remotely distributed.</w:t>
      </w:r>
    </w:p>
    <w:p>
      <w:pPr>
        <w:spacing w:after="0" w:line="15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Our research and development team consists of our software engineering, product management, development and site reliability engineering teams. As of December 31, 2022, we had approximately 2,000 employees in our research and development organization. We intend to continue to invest in our research and development capabilities to extend our platform and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62" w:lineRule="exact"/>
        <w:rPr>
          <w:sz w:val="20"/>
          <w:szCs w:val="20"/>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62" w:lineRule="exact"/>
        <w:rPr>
          <w:sz w:val="20"/>
          <w:szCs w:val="20"/>
          <w:color w:val="auto"/>
        </w:rPr>
      </w:pPr>
    </w:p>
    <w:p>
      <w:pPr>
        <w:ind w:left="1460" w:hanging="480"/>
        <w:spacing w:after="0" w:line="277"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and SolarWinds Corporation.</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pacing w:after="0" w:line="117" w:lineRule="exact"/>
        <w:rPr>
          <w:rFonts w:ascii="Arial" w:cs="Arial" w:eastAsia="Arial" w:hAnsi="Arial"/>
          <w:sz w:val="18"/>
          <w:szCs w:val="18"/>
          <w:color w:val="auto"/>
        </w:rPr>
      </w:pPr>
    </w:p>
    <w:p>
      <w:pPr>
        <w:ind w:left="1460" w:hanging="480"/>
        <w:spacing w:after="0" w:line="277"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 Web Services, or AWS, Microsoft Azure, and Google Cloud Platform, or GCP.</w:t>
      </w:r>
    </w:p>
    <w:p>
      <w:pPr>
        <w:spacing w:after="0" w:line="170"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 of December 31, 2022, we had approximately 4,800 employees operating across 32 countries. Approximately 40% of our full-time employees as of that date were located outside of the United States, 33%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Engagement</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We strive to create a culture that promotes a healthy work-life balance, career growth, low drama, and a friendly office environment. As part of our commitment to our employees, we periodically assess our culture by conducting global engagement surveys to gain a better understanding of what is important to our employees. The areas in which we have been rated most favorable include employee pride and belief in Datadog's mission and purpose, the strength of our product offerings, and opportunities for employee growth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Datadog promotes professional growth by offering individual- and team-specific training on an ongoing basis, as well as a wide range of learning programs delivered by our global Talent Development team. We also provide robust manager training that shares effective tools and frameworks around recruiting, managing, and developing team members.</w:t>
      </w:r>
    </w:p>
    <w:p>
      <w:pPr>
        <w:spacing w:after="0" w:line="18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including face-to-face, virtual, social, and self-directed learning and mentoring.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both"/>
        <w:ind w:firstLine="972"/>
        <w:spacing w:after="0" w:line="259" w:lineRule="auto"/>
        <w:rPr>
          <w:sz w:val="20"/>
          <w:szCs w:val="20"/>
          <w:color w:val="auto"/>
        </w:rPr>
      </w:pPr>
      <w:r>
        <w:rPr>
          <w:rFonts w:ascii="Arial" w:cs="Arial" w:eastAsia="Arial" w:hAnsi="Arial"/>
          <w:sz w:val="18"/>
          <w:szCs w:val="18"/>
          <w:color w:val="auto"/>
        </w:rPr>
        <w:t>We offer industry competitive wages and benefits and are committed to maintaining a workplace environment that promotes employee productivity and satisfaction. We believe our employees should have the support they need to maintain a strong work/life balance, grow personally and professionally, and save for their future. While the philosophy around our benefits is the same worldwide, specific benefits vary regionally due to local regulations and preferences.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At Datadog, diversity means making a conscious effort to reflect the many experiences and identities of the world outside, while treating each other with fairness and without bias. Inclusion is the choice we make every day to foster an environment where people of all backgrounds not only belong but excel, so that together, as a company, we can succeed.</w:t>
      </w:r>
    </w:p>
    <w:p>
      <w:pPr>
        <w:spacing w:after="0" w:line="18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1D1C1D"/>
        </w:rPr>
        <w:t>We are committed to creating inclusive work spaces for employees with diverse backgrounds and experiences. Our diversity and inclusion programming includes a focus on training workshops and resources that increase education, promote moments of celebration, support belonging, and help our employees feel welcome and respected.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including our proprietary technology, software, know-how and brand. We use open source software in our services. Our API libraries and agent used by customers to send data to our proprietary platform are licensed by us on an open source basis.</w:t>
      </w:r>
    </w:p>
    <w:p>
      <w:pPr>
        <w:spacing w:after="0" w:line="18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As of December 31, 2022, we own twenty-six patents globally, six patent applications pending for examination in the United States, three pending PCT applications, and five pending foreign patent applications. The pending U.S. patent applications, if issued, would be scheduled to expire between 2039 and 2041. Despite our pending patent applications, there can be no assurance that our patent applications will result in issued patents. As of December 31, 2022, we own seven registered trademarks in the United States and one hundred sixteen registered trademarks in various non-U.S. jurisdictions. However, as we have expanded internationally, we have been unable to register or obtain the exclusive right to use the Datadog trademark in certain jurisdictions, and as we continue to expand may face similar issues in other jurisdictions.</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proprietary platform are more essential to establishing and maintaining our technology leadership position.</w:t>
      </w:r>
    </w:p>
    <w:p>
      <w:pPr>
        <w:spacing w:after="0" w:line="187"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internal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or the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The war in Ukraine and the related political and economic responses imposed on Russia such as sanctions, may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was $1,675.1 million, $1,028.8 million and $603.5 million for the years ended December 31, 2022, 2021 and 2020,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9"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3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7"/>
          <w:szCs w:val="17"/>
          <w:color w:val="auto"/>
        </w:rPr>
        <w:t>We generated net losses in each year since our inception, including net losses of $50.2 million, $20.7 million and $24.5 million for the years ended December 31, 2022, 2021 and 2020, respectively. As of December 31, 2022, we had an accumulated deficit of $202.3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forecast our future results of operations.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jc w:val="both"/>
        <w:ind w:firstLine="486"/>
        <w:spacing w:after="0" w:line="236"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14"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w:t>
      </w:r>
    </w:p>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17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may use third-party service providers and sub-processors to help us deliver services to our customers. These vendors may store or process personal information on our behalf.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jc w:val="both"/>
        <w:ind w:firstLine="486"/>
        <w:spacing w:after="0" w:line="259" w:lineRule="auto"/>
        <w:rPr>
          <w:sz w:val="20"/>
          <w:szCs w:val="20"/>
          <w:color w:val="auto"/>
        </w:rPr>
      </w:pPr>
      <w:r>
        <w:rPr>
          <w:rFonts w:ascii="Arial" w:cs="Arial" w:eastAsia="Arial" w:hAnsi="Arial"/>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92"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16"/>
          <w:szCs w:val="16"/>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5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7"/>
          <w:szCs w:val="17"/>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impacted by the COVID-19 pandemic and war in Ukraine;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fluctuations;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as the pandemic's related social and economic impacts evolve.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and any related economic downturn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ind w:firstLine="486"/>
        <w:spacing w:after="0" w:line="267" w:lineRule="auto"/>
        <w:rPr>
          <w:sz w:val="20"/>
          <w:szCs w:val="20"/>
          <w:color w:val="auto"/>
        </w:rPr>
      </w:pPr>
      <w:r>
        <w:rPr>
          <w:rFonts w:ascii="Arial" w:cs="Arial" w:eastAsia="Arial" w:hAnsi="Arial"/>
          <w:sz w:val="16"/>
          <w:szCs w:val="16"/>
          <w:color w:val="auto"/>
        </w:rPr>
        <w:t>The COVID-19 pandemic adversely affected workforces, economies and financial markets globally, leading to a reduction or an inability for our customers, partners, suppliers or vendors or other parties with whom we do business to meet their contractual obligations, and for a period of time, a reduction in customer spending on our solutions, and such conditions may reoccur. While it is not possible at this time to predict the duration and extent of the impact that COVID-19 could have on worldwide economic activity and our business in particular, COVID-19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Beginning in March 2020, we took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Towards the end of the quarter ended March 31, 2022, we increased our office activity, such as in-person meetings and events, and we have also resumed travel in compliance with applicable government orders and guidelines. However, many of our employees continue to work remotely and in-person meetings have not fully returned to levels before the pandemic.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COVID-19 pandemic and remote work arrangements.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Competitive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both"/>
        <w:ind w:firstLine="486"/>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600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international laws, directives,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7"/>
          <w:szCs w:val="17"/>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w:t>
      </w:r>
    </w:p>
    <w:p>
      <w:pPr>
        <w:spacing w:after="0" w:line="1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In addition, certain jurisdictions have enacted data localization laws and cross-border personal data transfer laws. For example, absent appropriate safeguards or other circumstances, the European Economic Area (EEA) and the United Kingdom have significantly restricted the transfer of personal data to the United States and other countries whose privacy laws it believes are inadequate. In June 2021, the European Commission released a new set of Standard Contractual Clauses, or “EU SCCs,” that can lawfully be used for personal information transfers from Europe to the United States or most other countries. The EU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relying on the new EU SCCs, the efficacy and longevity of these transfer mechanisms remains uncertain. These mechanisms are subject to legal challenges and there is no assurance that we can satisfy or rely on these measures to lawfully transfer personal data to the United States. In addition, laws in Switzerland and the United Kingdom similarly restrict transfers of personal data outside of those jurisdictions to countries such as the United States that do not provide an adequate level of personal data protection but require their own, slightly modified transfer mechanisms, resulting in a patchwork of different methods and requirements for Europe alone. If there is no lawful manner for us to transfer personal data from the EEA, the UK, or other jurisdictions to the United States, or if the requirements for a legally-compliant transfer are too onerous, we could face significant costs relating to updating and amending vendor agreements to reflect changing transfer mechanisms or requirements.</w:t>
      </w:r>
    </w:p>
    <w:p>
      <w:pPr>
        <w:spacing w:after="0" w:line="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7"/>
          <w:szCs w:val="17"/>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w:t>
      </w:r>
    </w:p>
    <w:p>
      <w:pPr>
        <w:spacing w:after="0" w:line="205"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7"/>
          <w:szCs w:val="17"/>
          <w:color w:val="auto"/>
        </w:rPr>
        <w:t>Directive that governs electronic communications. Outside of Europe, other laws and regulations, including legislative proposals, individual behavior and industry practices are increasingly resistant to the use of personal data to deliver targeted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 As a result of these developments, we may be required to change the way we market our products, which would impair our ability to reach new or existing customers.</w:t>
      </w:r>
    </w:p>
    <w:p>
      <w:pPr>
        <w:spacing w:after="0" w:line="20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HIPAA,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 CPRA also expands the scope of the CCPA to include job applicant and employee personal information. These changes to the CCPA could impact our business activities depending on how they are interpreted. These laws exemplify the vulnerability of our business to the evolving regulatory environment related to the protection of personal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Colorado, Utah, Virginia and Connecticut recently passed similar consumer privacy legislation, all of which differ from the CCPA and become effective in 2023.</w:t>
      </w:r>
    </w:p>
    <w:p>
      <w:pPr>
        <w:spacing w:after="0" w:line="1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or other appropriate government authorizations, including the filing of an encryption classification request or self-classification report.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As of December 31, 2022, we had NOL carryforwards for federal and state income tax purposes of approximately </w:t>
      </w:r>
      <w:r>
        <w:rPr>
          <w:rFonts w:ascii="Arial" w:cs="Arial" w:eastAsia="Arial" w:hAnsi="Arial"/>
          <w:sz w:val="16"/>
          <w:szCs w:val="16"/>
          <w:color w:val="231F20"/>
        </w:rPr>
        <w:t>$243.4 million</w:t>
      </w:r>
      <w:r>
        <w:rPr>
          <w:rFonts w:ascii="Arial" w:cs="Arial" w:eastAsia="Arial" w:hAnsi="Arial"/>
          <w:sz w:val="16"/>
          <w:szCs w:val="16"/>
          <w:color w:val="auto"/>
        </w:rPr>
        <w:t xml:space="preserve"> and </w:t>
      </w:r>
      <w:r>
        <w:rPr>
          <w:rFonts w:ascii="Arial" w:cs="Arial" w:eastAsia="Arial" w:hAnsi="Arial"/>
          <w:sz w:val="16"/>
          <w:szCs w:val="16"/>
          <w:color w:val="231F20"/>
        </w:rPr>
        <w:t>$92.0 million</w:t>
      </w:r>
      <w:r>
        <w:rPr>
          <w:rFonts w:ascii="Arial" w:cs="Arial" w:eastAsia="Arial" w:hAnsi="Arial"/>
          <w:sz w:val="16"/>
          <w:szCs w:val="16"/>
          <w:color w:val="auto"/>
        </w:rPr>
        <w:t>,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taxable years beginning after December 31, 2020, is limited to 80% of taxable income. It is uncertain if and to what extent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and the Inflation Reduction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implementation of a global minimum tax, as agreed upon by the Organisation for Economic Co-operation and Development (OECD);</w:t>
      </w:r>
    </w:p>
    <w:p>
      <w:pPr>
        <w:spacing w:after="0" w:line="140" w:lineRule="exact"/>
        <w:rPr>
          <w:rFonts w:ascii="Arial" w:cs="Arial" w:eastAsia="Arial" w:hAnsi="Arial"/>
          <w:sz w:val="16"/>
          <w:szCs w:val="16"/>
          <w:color w:val="auto"/>
        </w:rPr>
      </w:pPr>
    </w:p>
    <w:p>
      <w:pPr>
        <w:ind w:left="980" w:hanging="486"/>
        <w:spacing w:after="0" w:line="308"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46"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1" w:name="page32"/>
    <w:bookmarkEnd w:id="31"/>
    <w:p>
      <w:pPr>
        <w:jc w:val="both"/>
        <w:ind w:firstLine="486"/>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platform capabilities, delay introductions of new solutions, result in our substituting inferior or more costly technologies into our products, or injure our reputation.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80" w:lineRule="exact"/>
        <w:rPr>
          <w:sz w:val="20"/>
          <w:szCs w:val="20"/>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6"/>
          <w:szCs w:val="16"/>
          <w:color w:val="auto"/>
        </w:rPr>
        <w:t>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28% for the year ended December 31, 2022.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2022, approximately 40%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trade relations, sanctions,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 and the United Kingdom;</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ind w:left="98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instability, terrorist activities and military conflict, including the war in Ukraine;</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December 31, 2022, our outstanding shares of Class B common stock represented approximately 47%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Further, as of December 31, 2022,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incurred significant legal, accounting, insurance, and other expenses as a public company, which we expect to further increase. The Sarbanes-Oxley Act, the Dodd-Frank Wall Street Reform and Consumer Protection Act, the listing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2025 Notes may adversely affect our financial condition and operating results.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jc w:val="both"/>
        <w:spacing w:after="0" w:line="301" w:lineRule="auto"/>
        <w:rPr>
          <w:sz w:val="20"/>
          <w:szCs w:val="20"/>
          <w:color w:val="auto"/>
        </w:rPr>
      </w:pPr>
      <w:r>
        <w:rPr>
          <w:rFonts w:ascii="Arial" w:cs="Arial" w:eastAsia="Arial" w:hAnsi="Arial"/>
          <w:sz w:val="16"/>
          <w:szCs w:val="16"/>
          <w:color w:val="auto"/>
        </w:rPr>
        <w:t>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headquarter is located in New York City, where we lease approximately 163,000 square feet pursuant to four separate subleases. Three subleases, totaling approximately 98,000 square feet, will expire in December 2023. The other sublease, for approximately 65,000 square feet, will expire in June 2033. We have other offices including Paris, Boston and Denver. These offices are leased, and we do not own any real property. We believe that our current facilities are adequate to meet our current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of February 15, 2023, there were 57 holders of record of our Class A common stock and 34 holders of record of our Class B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auto"/>
        </w:rPr>
        <w:t>During the year ended December 31, 2022, we issued 327,662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graph below shows a comparison, from September 19, 2019 (the date our Class A common stock commenced trading on Nasdaq) through December 31, 2022, of the cumulative total return to stockholders of our Class A common stock relative to the Nasdaq Composite Index, or the Nasdaq Composite, and the Nasdaq Computer Index, or the Nasdaq Computer.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ind w:firstLine="972"/>
        <w:spacing w:after="0" w:line="263" w:lineRule="auto"/>
        <w:rPr>
          <w:sz w:val="20"/>
          <w:szCs w:val="20"/>
          <w:color w:val="auto"/>
        </w:rPr>
      </w:pPr>
      <w:r>
        <w:rPr>
          <w:rFonts w:ascii="Arial" w:cs="Arial" w:eastAsia="Arial" w:hAnsi="Arial"/>
          <w:sz w:val="18"/>
          <w:szCs w:val="18"/>
          <w:color w:val="auto"/>
        </w:rPr>
        <w:t>The graph assumes that $100 was invested in each of our Class A common stock, the Nasdaq Composite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125730</wp:posOffset>
            </wp:positionV>
            <wp:extent cx="5246370" cy="2726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4637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9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i w:val="1"/>
          <w:iCs w:val="1"/>
          <w:color w:val="auto"/>
        </w:rPr>
        <w:t>This section of our Annual Report on Form 10-K discusses our financial condition and results of operations for the fiscal years ended December 31, 2022 and 2021, and year-to-year comparisons between fiscal 2022 and fiscal 2021. A discussion of our financial condition and results of operations for the fiscal year ended December 31, 2020 and year-to-year comparisons between fiscal 2021 and fiscal 2020 that are not included in this Annual Report on Form 10-K can be found in “Management’s Discussion and Analysis of Financial Condition and Results of Operations” in Part II, Item 7 of our Annual Report on Form 10-K for the fiscal year ended December 31, 2021, filed on February 25, 2022.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Datadog is the observability and security platform for cloud applications.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jc w:val="both"/>
        <w:ind w:firstLine="972"/>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log management, real-user monitoring,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As of December 31, 2022, we had $342.3 million in cash, cash equivalents and restricted cash and $1,545.3 million in marketable securities. We have grown rapidly in recent periods, with revenues for the fiscal years ended December 31, 2022, 2021 and 2020 of $1,675.1 million, $1,028.8 million, and $603.5 million, respectively, representing year-over-year growth of 63% from the fiscal year ended December 31, 2021 to the fiscal year ended December 31, 2022 and 70% from the fiscal year ended December 31, 2020 to the fiscal year ended December 31, 2021. Substantially all of our revenue is from subscription software sales. We have continued to make significant expenditures and investments, including in personnel-related costs, sales and marketing, infrastructure and operations, and have incurred net losses of $50.2 million, $20.7 million and $24.5 million for the fiscal years ended December 31, 2022, 2021 and 2020, respectively. Our operating cash flow was $418.4 million, $286.5 million and $109.1 million for the years ended December 31, 2022, 2021 and 2020, respectively. Our free cash flow was $353.5 million, $250.5 million and $83.2 million for the years ended December 31, 2022, 2021 and 2020, respectively. See the section titled “—Liquidity and Capital Resources—Non-GAAP Free Cash Flow” below.</w:t>
      </w:r>
    </w:p>
    <w:p>
      <w:pPr>
        <w:spacing w:after="0" w:line="166"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Unfavorable conditions in the economy both in the United States and abroad may negatively affect the growth of our business and our results of operations. For example, macroeconomic events including the COVID-19 pandemic, rising inflation, the U.S. Federal Reserve raising interest rates and the Russian invasion of Ukraine have led to economic uncertainty. Historically, during periods of economic uncertainty and downturns, businesses may slow spending on information technology, which may impact our business and our customers’ businesses. In recent quarters, we have seen slower usage growth from some existing customers, which may be related to the uncertain macroeconomic environment.</w:t>
      </w:r>
    </w:p>
    <w:p>
      <w:pPr>
        <w:spacing w:after="0" w:line="176"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Throughout the COVID-19 pandemic to the extent possible, we conducted business as usual, with necessary or advisable modifications to employee travel and employee work locations and canceling or holding virtually Datadog marketing events. Since the end of the quarter ended March 31, 2022, we have continued to increase our office activity, such as in-person meetings, events, and travel in compliance with applicable government orders and guidelines. As we continue to increase office activity globally, increase travel, participate in and hold more in-person meetings and events, continue hiring and increase capital expenditures for additional office space, our costs and expenses may increase and our margins may decrease in future quarters.</w:t>
      </w:r>
    </w:p>
    <w:p>
      <w:pPr>
        <w:spacing w:after="0" w:line="16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2022, we had approximately 23,200 customers spanning organizations of a broad range of sizes and industries, compared to approximately 18,800 as of December 31, 2021. Customers as of December 31, 2022 exclude customers from a recent acquisition, which did not contribute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meaningful revenue during the fiscal year. Our ability to attract new customers will depend on a number of factors, including the effectiveness and pricing of our products, offerings of our competitors, and the effectiveness of our marketing efforts.</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Our base of customers represents a significant opportunity for further sales expansion. As of December 31, 2022, we had approximately 2,780 customers with annual run-rate revenue, or ARR, of $100,000 or more, representing 85% of our ARR, up from 2,010 as of December 31, 2021, representing 83%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 quarter ended September 30, 2021 to capture usage from subscriptions with committed contractual amounts and applied this change</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December 31, 2022 and 2021,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17 products. As of December 31, 2022, approximately 81% of our customers were using more than one product, up from approximately 78% a year earlier. Additionally, as of December 31, 2022, approximately 42% of our customers were using more than four products, up from approximately 33% a year earlier, and approximately 18% of our customers were using more than six products, up from approximately 10% a year earlier. We believe these metrics indicate strong momentum in the uptake of our newer platform products.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972"/>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28% of our total revenue for each of the years ended December 31, 2022 and 2021.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Usage is measured primarily by the number of hosts or by the volume of data indexed. A host is generally defined as a server, either in the cloud or on-premise. Our infrastructure monitoring, APM and network performance monitoring products are priced per host, our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71"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platform and products. The level, timing and relative investment in our infrastructure could affect our cost of revenue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Other income (loss),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39"/>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8"/>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603,466</w:t>
            </w:r>
          </w:p>
        </w:tc>
      </w:tr>
      <w:tr>
        <w:trPr>
          <w:trHeight w:val="243"/>
        </w:trPr>
        <w:tc>
          <w:tcPr>
            <w:tcW w:w="670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(1)(2)(4)</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130,197</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(1)(3)(4)</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210,626</w:t>
            </w:r>
          </w:p>
        </w:tc>
      </w:tr>
      <w:tr>
        <w:trPr>
          <w:trHeight w:val="243"/>
        </w:trPr>
        <w:tc>
          <w:tcPr>
            <w:tcW w:w="6700" w:type="dxa"/>
            <w:vAlign w:val="bottom"/>
          </w:tcPr>
          <w:p>
            <w:pPr>
              <w:ind w:left="260"/>
              <w:spacing w:after="0" w:line="243"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(1)(2)(3)(4)</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213,660</w:t>
            </w: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(1)(3)(4)</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62,756</w:t>
            </w:r>
          </w:p>
        </w:tc>
      </w:tr>
      <w:tr>
        <w:trPr>
          <w:trHeight w:val="223"/>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487,042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w:t>
            </w:r>
          </w:p>
        </w:tc>
      </w:tr>
      <w:tr>
        <w:trPr>
          <w:trHeight w:val="243"/>
        </w:trPr>
        <w:tc>
          <w:tcPr>
            <w:tcW w:w="6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21,985</w:t>
            </w:r>
          </w:p>
        </w:tc>
      </w:tr>
      <w:tr>
        <w:trPr>
          <w:trHeight w:val="223"/>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(22,222)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70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6500" w:type="dxa"/>
            <w:vAlign w:val="bottom"/>
          </w:tcPr>
          <w:p>
            <w:pPr>
              <w:ind w:left="440"/>
              <w:spacing w:after="0"/>
              <w:rPr>
                <w:sz w:val="20"/>
                <w:szCs w:val="20"/>
                <w:color w:val="auto"/>
              </w:rPr>
            </w:pPr>
            <w:r>
              <w:rPr>
                <w:rFonts w:ascii="Arial" w:cs="Arial" w:eastAsia="Arial" w:hAnsi="Arial"/>
                <w:sz w:val="14"/>
                <w:szCs w:val="14"/>
                <w:color w:val="auto"/>
              </w:rPr>
              <w:t>Includes amortization of acquired intangibles expense as follows: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non-cash benefit related to tax adjustment as follows: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7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7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39"/>
        </w:trPr>
        <w:tc>
          <w:tcPr>
            <w:tcW w:w="67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8"/>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r>
      <w:tr>
        <w:trPr>
          <w:trHeight w:val="20"/>
        </w:trPr>
        <w:tc>
          <w:tcPr>
            <w:tcW w:w="6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39"/>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8"/>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09"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39"/>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8"/>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3,349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w:t>
            </w:r>
          </w:p>
        </w:tc>
      </w:tr>
    </w:tbl>
    <w:p>
      <w:pPr>
        <w:spacing w:after="0" w:line="28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7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40640</wp:posOffset>
            </wp:positionV>
            <wp:extent cx="30435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gridSpan w:val="2"/>
          </w:tcPr>
          <w:p>
            <w:pPr>
              <w:ind w:left="704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39"/>
        </w:trPr>
        <w:tc>
          <w:tcPr>
            <w:tcW w:w="64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6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00" w:type="dxa"/>
            <w:vAlign w:val="bottom"/>
            <w:gridSpan w:val="5"/>
          </w:tcPr>
          <w:p>
            <w:pPr>
              <w:ind w:left="340"/>
              <w:spacing w:after="0" w:line="196" w:lineRule="exact"/>
              <w:rPr>
                <w:sz w:val="20"/>
                <w:szCs w:val="20"/>
                <w:color w:val="auto"/>
              </w:rPr>
            </w:pPr>
            <w:r>
              <w:rPr>
                <w:rFonts w:ascii="Arial" w:cs="Arial" w:eastAsia="Arial" w:hAnsi="Arial"/>
                <w:sz w:val="14"/>
                <w:szCs w:val="14"/>
                <w:b w:val="1"/>
                <w:bCs w:val="1"/>
                <w:color w:val="auto"/>
                <w:w w:val="98"/>
              </w:rPr>
              <w:t>(as a percentage of total revenue</w:t>
            </w:r>
            <w:r>
              <w:rPr>
                <w:rFonts w:ascii="Arial" w:cs="Arial" w:eastAsia="Arial" w:hAnsi="Arial"/>
                <w:sz w:val="18"/>
                <w:szCs w:val="18"/>
                <w:b w:val="1"/>
                <w:bCs w:val="1"/>
                <w:color w:val="auto"/>
                <w:w w:val="98"/>
                <w:vertAlign w:val="superscript"/>
              </w:rPr>
              <w:t>(1)</w:t>
            </w:r>
            <w:r>
              <w:rPr>
                <w:rFonts w:ascii="Arial" w:cs="Arial" w:eastAsia="Arial" w:hAnsi="Arial"/>
                <w:sz w:val="14"/>
                <w:szCs w:val="14"/>
                <w:b w:val="1"/>
                <w:bCs w:val="1"/>
                <w:color w:val="auto"/>
                <w:w w:val="98"/>
              </w:rPr>
              <w:t>)</w:t>
            </w:r>
          </w:p>
        </w:tc>
        <w:tc>
          <w:tcPr>
            <w:tcW w:w="1120" w:type="dxa"/>
            <w:vAlign w:val="bottom"/>
          </w:tcPr>
          <w:p>
            <w:pPr>
              <w:spacing w:after="0"/>
              <w:rPr>
                <w:sz w:val="17"/>
                <w:szCs w:val="17"/>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78</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w:t>
            </w:r>
          </w:p>
        </w:tc>
      </w:tr>
      <w:tr>
        <w:trPr>
          <w:trHeight w:val="230"/>
        </w:trPr>
        <w:tc>
          <w:tcPr>
            <w:tcW w:w="740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35</w:t>
            </w:r>
          </w:p>
        </w:tc>
      </w:tr>
      <w:tr>
        <w:trPr>
          <w:trHeight w:val="22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23"/>
        </w:trPr>
        <w:tc>
          <w:tcPr>
            <w:tcW w:w="6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81</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income (loss):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w:t>
            </w:r>
          </w:p>
        </w:tc>
      </w:tr>
      <w:tr>
        <w:trPr>
          <w:trHeight w:val="230"/>
        </w:trPr>
        <w:tc>
          <w:tcPr>
            <w:tcW w:w="740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5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23"/>
        </w:trPr>
        <w:tc>
          <w:tcPr>
            <w:tcW w:w="6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income (loss), net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80" w:type="dxa"/>
            <w:vAlign w:val="bottom"/>
          </w:tcPr>
          <w:p>
            <w:pPr>
              <w:spacing w:after="0"/>
              <w:rPr>
                <w:sz w:val="19"/>
                <w:szCs w:val="19"/>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rPr>
              <w:t>(4)</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w:t>
            </w: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tcPr>
          <w:p>
            <w:pPr>
              <w:ind w:left="160"/>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9"/>
              </w:rPr>
              <w:t>(4)%</w:t>
            </w:r>
          </w:p>
        </w:tc>
      </w:tr>
      <w:tr>
        <w:trPr>
          <w:trHeight w:val="20"/>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1,675,100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1,028,784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646,316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Revenue increased by $646.3 million or 63%, for the year ended December 31, 2022 compared to the year ended December 31, 2021. Approximately 75% of the increase in revenue was attributable to growth from existing customers, and the remaining 25% was attributable to growth from new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346,743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234,245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77 %</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Cost of revenue increased by $112.5 million, or 48%, for the year ended December 31, 2022 compared to the year ended December 31, 2021. This increase was primarily due to an increase of $82.1 million in third-party cloud infrastructure hosting and software costs, an increase of $16.6 million in personnel expenses as a result of increased headcount, and an increase of $7.2 million in depreciation and amortization expense.</w:t>
      </w:r>
    </w:p>
    <w:p>
      <w:pPr>
        <w:spacing w:after="0" w:line="16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Our gross margin increased by 2% for the year ended December 31, 2022 compared to the year ended December 31, 2021, primarily as the result of revenue growth exceeding the growth of third-party cloud infrastructure provider costs due to cost savings.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752,351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419,769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Research and development expense increased by $332.6 million, or 79%, for the year ended December 31, 2022 compared to the year ended December 31, 2021. This increase was primarily due to an increase of $273.6 million in personnel costs for our engineering, product and design teams as a result of increased headcount, an increase of $40.3 million in cloud infrastructure-related investments, and an increase of $15.0 million in allocated overhead costs as a result of an increase in overall costs necessary to support the growth of the business and related infrastructure.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495,288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299,497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77"/>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jc w:val="both"/>
        <w:ind w:firstLine="972"/>
        <w:spacing w:after="0" w:line="257" w:lineRule="auto"/>
        <w:rPr>
          <w:sz w:val="20"/>
          <w:szCs w:val="20"/>
          <w:color w:val="auto"/>
        </w:rPr>
      </w:pPr>
      <w:r>
        <w:rPr>
          <w:rFonts w:ascii="Arial" w:cs="Arial" w:eastAsia="Arial" w:hAnsi="Arial"/>
          <w:sz w:val="18"/>
          <w:szCs w:val="18"/>
          <w:color w:val="auto"/>
        </w:rPr>
        <w:t>Sales and marketing expense increased by $195.8 million, or 65%, for the year ended December 31, 2022 compared to the year ended December 31, 2021. This increase was primarily due to an increase of $154.2 million in personnel costs for our sales and marketing organization as a result of increased headcount and increased variable compensation for our sales personnel, an increase of $22.4 million in marketing and promotional activities, and an increase of $15.1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194"/>
        </w:trPr>
        <w:tc>
          <w:tcPr>
            <w:tcW w:w="5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3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139,413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94,429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General and administrative expense increased by $45.0 million, or 48%, for the year ended December 31, 2022 compared to the year ended December 31, 2021. This increase was primarily due to an increase of $39.2 million in personnel expenses as a result of increased headcount and an increase of $2.9 million related to bad debt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2"/>
              </w:rPr>
              <w:t>(dollars in thousands)</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20,625</w:t>
            </w:r>
          </w:p>
        </w:tc>
        <w:tc>
          <w:tcPr>
            <w:tcW w:w="9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734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auto"/>
        </w:rPr>
        <w:t>Other income, net increased by $19.9 million, or 2,710% for the year ended December 31, 2022 compared to the year ended December 31, 2021. This increase was primarily driven by an increase of $13.5 million in interest income, mainly due to income earned from investments in marketable securities, and a decrease of $4.5 million in amortization of premiums on our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years ended December 31, 2022, 2021, and 2020. When assessing sources of liquidity, we also include cash and cash equivalents of $339.0 million and marketable securities of $1.5 billion as of December 31, 2022. We believe that our existing cash and cash equivalents, marketable securities and cash flow from operations will be sufficient to support our cash requirements for the next 12 months and beyond.</w:t>
      </w:r>
    </w:p>
    <w:p>
      <w:pPr>
        <w:spacing w:after="0" w:line="16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Non-cancelable purchase commitments for business operations and operating lease obligations total $721.5 million and $326.6 million, respectively, as of December 31, 2022, due primarily over the next five years. Purchase commitments for business operations are primarily related to cloud hosting and other software-based services.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issued long-term debt to finance our business. In June 2020, we issued $747.5 million aggregate principal amount of the 2025 Notes in a private placement to qualified institutional buyers pursuant to Rule 144A under the Securities Act. The total net proceeds from the sale of the 2025 Notes, after deducting the initial purchasers’ discounts and debt issuance costs, were approximately $730.2 million. The principal and future interest payments related to our 2025 Notes are $749.9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93"/>
              </w:rPr>
              <w:t>Year Ended December 31,</w:t>
            </w:r>
          </w:p>
        </w:tc>
      </w:tr>
      <w:tr>
        <w:trPr>
          <w:trHeight w:val="26"/>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9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6"/>
                <w:szCs w:val="16"/>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418,407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286,545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(384,670)</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(273,740)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36,023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Net cash provided by operating activities for the year ended December 31, 2022 increased $131.9 million compared to the year ended December 31, 2021, primarily driven by an increase in non-cash charges of $218.3 million. The increase in non-cash charges related primarily to an increase of $199.4 million in stock-based compensation as we continued to increase headcount to support the growth of the business. The increase in cash provided by operating activities was partially offset by an increase in accounts receivable of $28.6 million due to an increase in sales, an increase in deferred contract costs of $8.3 million, a decrease in deferred revenue of $7.6 million, and an increase in prepaid expenses and other current assets of $5.8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Net cash used in investing activities for the year ended December 31, 2022 increased by $110.9 million compared to the year ended December 31, 2021, primarily driven by a increase in the investment in marketable securities of $288.2 million, a decrease in proceeds from the sale of marketable securities of $65.7 million, and an increase in purchases of property and equipment of $25.3 million. The increase in cash used in investing activities was partially offset by a decrease in cash paid for the acquisition of businesses net of cash acquired of $180.6 million and an increase in proceeds from maturities of marketable securities of $91.2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2022 increased by $1.1 million compared to the year ended December 31, 2021, primarily due to an increase in proceeds from the issuance of Class A common stock under the ESPP of $5.7 million and was partially offset by a decrease in proceeds from the exercise of stock options of $4.9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We report our financial results in accordance with U.S. GAAP. To supplement our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9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418,407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109,091</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2"/>
              </w:rPr>
              <w:t>(35,261)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(5,415)</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Capitalized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(29,628)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353,518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83,208</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 xml:space="preserve">The significant accounting policies and methods used in the preparation of our consolidated financial statements are discussed in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to our consolidated financial statements included elsewhere in this Annual Report</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10-K. 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 xml:space="preserve">We </w:t>
      </w:r>
      <w:r>
        <w:rPr>
          <w:rFonts w:ascii="Arial" w:cs="Arial" w:eastAsia="Arial" w:hAnsi="Arial"/>
          <w:sz w:val="17"/>
          <w:szCs w:val="17"/>
          <w:color w:val="000000"/>
        </w:rPr>
        <w:t>generate revenue from the sale of subscriptions to customers using our cloud-based platform. The terms of our subscription agreements</w:t>
      </w:r>
      <w:r>
        <w:rPr>
          <w:rFonts w:ascii="Arial" w:cs="Arial" w:eastAsia="Arial" w:hAnsi="Arial"/>
          <w:sz w:val="17"/>
          <w:szCs w:val="17"/>
          <w:color w:val="231F20"/>
        </w:rPr>
        <w:t xml:space="preserve"> </w:t>
      </w:r>
      <w:r>
        <w:rPr>
          <w:rFonts w:ascii="Arial" w:cs="Arial" w:eastAsia="Arial" w:hAnsi="Arial"/>
          <w:sz w:val="17"/>
          <w:szCs w:val="17"/>
          <w:color w:val="000000"/>
        </w:rPr>
        <w:t>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Arial" w:cs="Arial" w:eastAsia="Arial" w:hAnsi="Arial"/>
          <w:sz w:val="17"/>
          <w:szCs w:val="17"/>
          <w:color w:val="231F20"/>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 xml:space="preserve">We account for revenue contracts with </w:t>
      </w:r>
      <w:r>
        <w:rPr>
          <w:rFonts w:ascii="Arial" w:cs="Arial" w:eastAsia="Arial" w:hAnsi="Arial"/>
          <w:sz w:val="18"/>
          <w:szCs w:val="18"/>
          <w:color w:val="000000"/>
        </w:rPr>
        <w:t>customers</w:t>
      </w:r>
      <w:r>
        <w:rPr>
          <w:rFonts w:ascii="Arial" w:cs="Arial" w:eastAsia="Arial" w:hAnsi="Arial"/>
          <w:sz w:val="18"/>
          <w:szCs w:val="18"/>
          <w:color w:val="231F20"/>
        </w:rPr>
        <w:t xml:space="preserve"> through the following steps:</w:t>
      </w:r>
    </w:p>
    <w:p>
      <w:pPr>
        <w:spacing w:after="0" w:line="117" w:lineRule="exact"/>
        <w:rPr>
          <w:sz w:val="20"/>
          <w:szCs w:val="20"/>
          <w:color w:val="auto"/>
        </w:rPr>
      </w:pPr>
    </w:p>
    <w:p>
      <w:pPr>
        <w:ind w:left="1540" w:hanging="560"/>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540" w:hanging="560"/>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recognize revenue when or as we satisfy a performance obligation.</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8"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 xml:space="preserve">Revenue is recognized when </w:t>
      </w:r>
      <w:r>
        <w:rPr>
          <w:rFonts w:ascii="Arial" w:cs="Arial" w:eastAsia="Arial" w:hAnsi="Arial"/>
          <w:sz w:val="16"/>
          <w:szCs w:val="16"/>
          <w:color w:val="000000"/>
        </w:rPr>
        <w:t>control</w:t>
      </w:r>
      <w:r>
        <w:rPr>
          <w:rFonts w:ascii="Arial" w:cs="Arial" w:eastAsia="Arial" w:hAnsi="Arial"/>
          <w:sz w:val="16"/>
          <w:szCs w:val="16"/>
          <w:color w:val="231F20"/>
        </w:rPr>
        <w:t xml:space="preserve">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4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 xml:space="preserve">For committed contractual </w:t>
      </w:r>
      <w:r>
        <w:rPr>
          <w:rFonts w:ascii="Arial" w:cs="Arial" w:eastAsia="Arial" w:hAnsi="Arial"/>
          <w:sz w:val="17"/>
          <w:szCs w:val="17"/>
          <w:color w:val="000000"/>
        </w:rPr>
        <w:t>amounts</w:t>
      </w:r>
      <w:r>
        <w:rPr>
          <w:rFonts w:ascii="Arial" w:cs="Arial" w:eastAsia="Arial" w:hAnsi="Arial"/>
          <w:sz w:val="17"/>
          <w:szCs w:val="17"/>
          <w:color w:val="231F20"/>
        </w:rPr>
        <w:t xml:space="preserve">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65"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231F20"/>
        </w:rPr>
        <w:t>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Our estimates of fair value are based upon assumptions believed to be reasonable, but which are inherently uncertain and unpredictable and, as a result, actual results may differ from estimates. During the measurement period, we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As of December 31, 2022, we had $305.4 million in cash equivalents, and $1.5 billion in marketable securities, which consisted of commercial debt, commercial paper, certificates of deposit, U.S. government treasury securities, and U.S. government agency securities. In addition, we had $3.3 million of restricted cash due to the outstanding letters of credit established in connection with lease agreements for our facilities.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2022, a hypothetical 10% relative change in interest rates would not have a material impact on our consolidated financial statements.</w:t>
      </w:r>
    </w:p>
    <w:p>
      <w:pPr>
        <w:spacing w:after="0" w:line="16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2025 Notes at face value less unamortized discount and unamortized issuance costs on our balance sheet, and we present the fair value for required disclosure purposes only.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39"/>
        </w:trPr>
        <w:tc>
          <w:tcPr>
            <w:tcW w:w="3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6"/>
        </w:trPr>
        <w:tc>
          <w:tcPr>
            <w:tcW w:w="10200" w:type="dxa"/>
            <w:vAlign w:val="bottom"/>
            <w:gridSpan w:val="8"/>
          </w:tcPr>
          <w:p>
            <w:pPr>
              <w:spacing w:after="0" w:line="196"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540" w:type="dxa"/>
            <w:vAlign w:val="bottom"/>
            <w:gridSpan w:val="5"/>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50"/>
        </w:trPr>
        <w:tc>
          <w:tcPr>
            <w:tcW w:w="6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3340" w:type="dxa"/>
            <w:vAlign w:val="bottom"/>
            <w:gridSpan w:val="4"/>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50"/>
        </w:trPr>
        <w:tc>
          <w:tcPr>
            <w:tcW w:w="1020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Loss for the years ended December 31, 2022, 2021 and 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8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Consolidated Statements of Stockholders’ Equity (Deficit) for the years ended December 31, 2022, 2021 and 2020</w:t>
            </w:r>
          </w:p>
        </w:tc>
        <w:tc>
          <w:tcPr>
            <w:tcW w:w="19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50"/>
        </w:trPr>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3280" w:type="dxa"/>
            <w:vAlign w:val="bottom"/>
            <w:gridSpan w:val="3"/>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50"/>
        </w:trPr>
        <w:tc>
          <w:tcPr>
            <w:tcW w:w="31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040" w:type="dxa"/>
            <w:vAlign w:val="bottom"/>
            <w:gridSpan w:val="7"/>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6" w:name="page57"/>
    <w:bookmarkEnd w:id="5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Datadog, Inc. and its subsidiaries (the "Company") as of December 31, 2022 and 2021, the related consolidated statements of operations, comprehensive loss,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As discussed in Note 2 to the financial statements, effective January 1, 2021, the company has adopted the FASB Accounting Standards Update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using the modified retrospective approach.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Identification of Performance Obligations – (Refer to Note 2 of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described in Note 2 to the consolidated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57" w:name="page58"/>
    <w:bookmarkEnd w:id="57"/>
    <w:p>
      <w:pPr>
        <w:jc w:val="both"/>
        <w:spacing w:after="0" w:line="286" w:lineRule="auto"/>
        <w:rPr>
          <w:sz w:val="20"/>
          <w:szCs w:val="20"/>
          <w:color w:val="auto"/>
        </w:rPr>
      </w:pPr>
      <w:r>
        <w:rPr>
          <w:rFonts w:ascii="Arial" w:cs="Arial" w:eastAsia="Arial" w:hAnsi="Arial"/>
          <w:sz w:val="17"/>
          <w:szCs w:val="17"/>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subscription contracts with certain customers included, among others:</w:t>
      </w:r>
    </w:p>
    <w:p>
      <w:pPr>
        <w:spacing w:after="0" w:line="117" w:lineRule="exact"/>
        <w:rPr>
          <w:sz w:val="20"/>
          <w:szCs w:val="20"/>
          <w:color w:val="auto"/>
        </w:rPr>
      </w:pPr>
    </w:p>
    <w:p>
      <w:pPr>
        <w:jc w:val="both"/>
        <w:ind w:left="500" w:hanging="492"/>
        <w:spacing w:after="0" w:line="263" w:lineRule="auto"/>
        <w:tabs>
          <w:tab w:leader="none" w:pos="4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over revenue recognition. This includes management’s controls over the identification of performance obligations and non-standard terms and conditions in subscription contracts, as well as the allocation of revenue to each performance obligation.</w:t>
      </w:r>
    </w:p>
    <w:p>
      <w:pPr>
        <w:spacing w:after="0" w:line="75" w:lineRule="exact"/>
        <w:rPr>
          <w:rFonts w:ascii="Arial" w:cs="Arial" w:eastAsia="Arial" w:hAnsi="Arial"/>
          <w:sz w:val="18"/>
          <w:szCs w:val="18"/>
          <w:color w:val="auto"/>
        </w:rPr>
      </w:pPr>
    </w:p>
    <w:p>
      <w:pPr>
        <w:ind w:left="500" w:right="20" w:hanging="492"/>
        <w:spacing w:after="0" w:line="277" w:lineRule="auto"/>
        <w:tabs>
          <w:tab w:leader="none" w:pos="4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Obtained and read the subscription contract and independently assessed the terms of the contract to identify all promises and non-standard terms and conditions.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For each promise identified, we evaluated whether such promise represented a distinct “performance obligation”, as prescribed by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evaluated the completeness and accuracy of the performance obligations by comparing those identified by us to those identified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53"/>
        </w:trPr>
        <w:tc>
          <w:tcPr>
            <w:tcW w:w="8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270,973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1,545,341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1,283,473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Accounts receivable, net of allowance for credit losses of $5,626 and $2,997 as of December 31, 2022 and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268,824</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contract costs,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23,235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24,443</w:t>
            </w: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2,344,234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1,870,948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61,355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292,176</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costs,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r>
      <w:tr>
        <w:trPr>
          <w:trHeight w:val="236"/>
        </w:trPr>
        <w:tc>
          <w:tcPr>
            <w:tcW w:w="82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3,004,852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2,380,794</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111,284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revenue,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371,985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528,696</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52,106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735,482</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13,896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1,594,347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1,339,591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Class A common stock, $0.00001 par value per share; 2,000,000,000 shares authorized as of December 31,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2022 and 2021; 293,573,825 and 263,339,585 shares issued and outstanding as of December 31, 2022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w w:val="89"/>
              </w:rPr>
              <w:t>Class B common stock, $0.00001 par value per share; 310,000,000 shares authorized as of December 31, 2022</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w w:val="94"/>
              </w:rPr>
              <w:t>and 2021; 25,616,018 and 50,025,852 shares issued and outstanding as of December 31, 2022 and 2021,</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1,197,136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(152,106)</w:t>
            </w:r>
          </w:p>
        </w:tc>
      </w:tr>
      <w:tr>
        <w:trPr>
          <w:trHeight w:val="236"/>
        </w:trPr>
        <w:tc>
          <w:tcPr>
            <w:tcW w:w="82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1,410,505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1,041,203</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3,004,852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1,675,100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603,466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130,197</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473,269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210,626</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213,660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37"/>
        </w:trPr>
        <w:tc>
          <w:tcPr>
            <w:tcW w:w="6700" w:type="dxa"/>
            <w:vAlign w:val="bottom"/>
          </w:tcPr>
          <w:p>
            <w:pPr>
              <w:jc w:val="right"/>
              <w:ind w:right="447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487,042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(30,434)</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Interest income and other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21,985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jc w:val="right"/>
              <w:ind w:right="447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in calculating basic and diluted net loss per share:</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300,350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39"/>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43"/>
        </w:trPr>
        <w:tc>
          <w:tcPr>
            <w:tcW w:w="6700" w:type="dxa"/>
            <w:vAlign w:val="bottom"/>
          </w:tcPr>
          <w:p>
            <w:pPr>
              <w:ind w:left="260"/>
              <w:spacing w:after="0"/>
              <w:rPr>
                <w:sz w:val="20"/>
                <w:szCs w:val="20"/>
                <w:color w:val="auto"/>
              </w:rPr>
            </w:pPr>
            <w:r>
              <w:rPr>
                <w:rFonts w:ascii="Arial" w:cs="Arial" w:eastAsia="Arial" w:hAnsi="Arial"/>
                <w:sz w:val="18"/>
                <w:szCs w:val="18"/>
                <w:color w:val="auto"/>
              </w:rPr>
              <w:t>Unrealized (loss) gain on available-for-sale marketable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(22,393)</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0" w:type="dxa"/>
            <w:vAlign w:val="bottom"/>
          </w:tcPr>
          <w:p>
            <w:pPr>
              <w:spacing w:after="0"/>
              <w:rPr>
                <w:sz w:val="10"/>
                <w:szCs w:val="10"/>
                <w:color w:val="auto"/>
              </w:rPr>
            </w:pPr>
          </w:p>
        </w:tc>
        <w:tc>
          <w:tcPr>
            <w:tcW w:w="1780" w:type="dxa"/>
            <w:vAlign w:val="bottom"/>
            <w:gridSpan w:val="3"/>
            <w:vMerge w:val="restart"/>
          </w:tcPr>
          <w:p>
            <w:pPr>
              <w:jc w:val="right"/>
              <w:ind w:right="239"/>
              <w:spacing w:after="0"/>
              <w:rPr>
                <w:sz w:val="20"/>
                <w:szCs w:val="20"/>
                <w:color w:val="auto"/>
              </w:rPr>
            </w:pPr>
            <w:r>
              <w:rPr>
                <w:rFonts w:ascii="Arial" w:cs="Arial" w:eastAsia="Arial" w:hAnsi="Arial"/>
                <w:sz w:val="11"/>
                <w:szCs w:val="11"/>
                <w:b w:val="1"/>
                <w:bCs w:val="1"/>
                <w:color w:val="auto"/>
              </w:rPr>
              <w:t>Class A and Class B</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2"/>
              </w:rPr>
              <w:t>Additional</w:t>
            </w:r>
          </w:p>
        </w:tc>
        <w:tc>
          <w:tcPr>
            <w:tcW w:w="1060" w:type="dxa"/>
            <w:vAlign w:val="bottom"/>
            <w:gridSpan w:val="3"/>
            <w:vMerge w:val="restart"/>
          </w:tcPr>
          <w:p>
            <w:pPr>
              <w:ind w:left="40"/>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restart"/>
          </w:tcPr>
          <w:p>
            <w:pPr>
              <w:jc w:val="center"/>
              <w:ind w:right="78"/>
              <w:spacing w:after="0" w:line="108"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68"/>
        </w:trPr>
        <w:tc>
          <w:tcPr>
            <w:tcW w:w="5000" w:type="dxa"/>
            <w:vAlign w:val="bottom"/>
          </w:tcPr>
          <w:p>
            <w:pPr>
              <w:spacing w:after="0"/>
              <w:rPr>
                <w:sz w:val="5"/>
                <w:szCs w:val="5"/>
                <w:color w:val="auto"/>
              </w:rPr>
            </w:pPr>
          </w:p>
        </w:tc>
        <w:tc>
          <w:tcPr>
            <w:tcW w:w="1780" w:type="dxa"/>
            <w:vAlign w:val="bottom"/>
            <w:gridSpan w:val="3"/>
            <w:vMerge w:val="restart"/>
          </w:tcPr>
          <w:p>
            <w:pPr>
              <w:jc w:val="right"/>
              <w:ind w:right="33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5000" w:type="dxa"/>
            <w:vAlign w:val="bottom"/>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restart"/>
          </w:tcPr>
          <w:p>
            <w:pPr>
              <w:jc w:val="center"/>
              <w:ind w:right="240"/>
              <w:spacing w:after="0" w:line="88"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6"/>
                <w:szCs w:val="6"/>
                <w:color w:val="auto"/>
              </w:rPr>
            </w:pPr>
          </w:p>
        </w:tc>
        <w:tc>
          <w:tcPr>
            <w:tcW w:w="96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20" w:type="dxa"/>
            <w:vAlign w:val="bottom"/>
          </w:tcPr>
          <w:p>
            <w:pPr>
              <w:spacing w:after="0"/>
              <w:rPr>
                <w:sz w:val="6"/>
                <w:szCs w:val="6"/>
                <w:color w:val="auto"/>
              </w:rPr>
            </w:pPr>
          </w:p>
        </w:tc>
        <w:tc>
          <w:tcPr>
            <w:tcW w:w="92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6"/>
                <w:szCs w:val="6"/>
                <w:color w:val="auto"/>
              </w:rPr>
            </w:pPr>
          </w:p>
        </w:tc>
        <w:tc>
          <w:tcPr>
            <w:tcW w:w="840" w:type="dxa"/>
            <w:vAlign w:val="bottom"/>
            <w:vMerge w:val="restart"/>
          </w:tcPr>
          <w:p>
            <w:pPr>
              <w:jc w:val="center"/>
              <w:ind w:right="58"/>
              <w:spacing w:after="0" w:line="88"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106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1"/>
                <w:szCs w:val="11"/>
                <w:color w:val="auto"/>
              </w:rPr>
            </w:pPr>
          </w:p>
        </w:tc>
        <w:tc>
          <w:tcPr>
            <w:tcW w:w="840" w:type="dxa"/>
            <w:vAlign w:val="bottom"/>
          </w:tcPr>
          <w:p>
            <w:pPr>
              <w:jc w:val="center"/>
              <w:ind w:right="78"/>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5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296,386,950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905,821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782,341</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3"/>
                <w:szCs w:val="13"/>
                <w:color w:val="auto"/>
              </w:rPr>
              <w:t>8,753,274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16,009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16,009</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3"/>
                <w:szCs w:val="13"/>
                <w:color w:val="auto"/>
              </w:rPr>
              <w:t>170,892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120,992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5,169</w:t>
            </w:r>
          </w:p>
        </w:tc>
        <w:tc>
          <w:tcPr>
            <w:tcW w:w="0" w:type="dxa"/>
            <w:vAlign w:val="bottom"/>
          </w:tcPr>
          <w:p>
            <w:pPr>
              <w:spacing w:after="0"/>
              <w:rPr>
                <w:sz w:val="1"/>
                <w:szCs w:val="1"/>
                <w:color w:val="auto"/>
              </w:rPr>
            </w:pPr>
          </w:p>
        </w:tc>
      </w:tr>
      <w:tr>
        <w:trPr>
          <w:trHeight w:val="122"/>
        </w:trPr>
        <w:tc>
          <w:tcPr>
            <w:tcW w:w="5000" w:type="dxa"/>
            <w:vAlign w:val="bottom"/>
          </w:tcPr>
          <w:p>
            <w:pPr>
              <w:ind w:left="20"/>
              <w:spacing w:after="0" w:line="122" w:lineRule="exact"/>
              <w:rPr>
                <w:sz w:val="20"/>
                <w:szCs w:val="20"/>
                <w:color w:val="auto"/>
              </w:rPr>
            </w:pPr>
            <w:r>
              <w:rPr>
                <w:rFonts w:ascii="Arial" w:cs="Arial" w:eastAsia="Arial" w:hAnsi="Arial"/>
                <w:sz w:val="13"/>
                <w:szCs w:val="13"/>
                <w:color w:val="auto"/>
                <w:w w:val="90"/>
              </w:rPr>
              <w:t>Issuance of common stock under the Employee Stock Purchase Plan, net of shares withheld for</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000" w:type="dxa"/>
            <w:vAlign w:val="bottom"/>
          </w:tcPr>
          <w:p>
            <w:pPr>
              <w:ind w:left="100"/>
              <w:spacing w:after="0"/>
              <w:rPr>
                <w:sz w:val="20"/>
                <w:szCs w:val="20"/>
                <w:color w:val="auto"/>
              </w:rPr>
            </w:pPr>
            <w:r>
              <w:rPr>
                <w:rFonts w:ascii="Arial" w:cs="Arial" w:eastAsia="Arial" w:hAnsi="Arial"/>
                <w:sz w:val="13"/>
                <w:szCs w:val="13"/>
                <w:color w:val="auto"/>
              </w:rPr>
              <w:t>taxes</w:t>
            </w:r>
          </w:p>
        </w:tc>
        <w:tc>
          <w:tcPr>
            <w:tcW w:w="980" w:type="dxa"/>
            <w:vAlign w:val="bottom"/>
          </w:tcPr>
          <w:p>
            <w:pPr>
              <w:jc w:val="right"/>
              <w:spacing w:after="0"/>
              <w:rPr>
                <w:sz w:val="20"/>
                <w:szCs w:val="20"/>
                <w:color w:val="auto"/>
              </w:rPr>
            </w:pPr>
            <w:r>
              <w:rPr>
                <w:rFonts w:ascii="Arial" w:cs="Arial" w:eastAsia="Arial" w:hAnsi="Arial"/>
                <w:sz w:val="13"/>
                <w:szCs w:val="13"/>
                <w:color w:val="auto"/>
              </w:rPr>
              <w:t>447,955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13,906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13,906</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77,778</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Equity component of 2025 Convertible Senior Notes, net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173,070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173,070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capped calls related to 2025 Convertible Senior Notes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(89,625)</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Change in accumulated 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2,154</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(24,547)</w:t>
            </w:r>
          </w:p>
        </w:tc>
        <w:tc>
          <w:tcPr>
            <w:tcW w:w="0" w:type="dxa"/>
            <w:vAlign w:val="bottom"/>
          </w:tcPr>
          <w:p>
            <w:pPr>
              <w:spacing w:after="0"/>
              <w:rPr>
                <w:sz w:val="1"/>
                <w:szCs w:val="1"/>
                <w:color w:val="auto"/>
              </w:rPr>
            </w:pPr>
          </w:p>
        </w:tc>
      </w:tr>
      <w:tr>
        <w:trPr>
          <w:trHeight w:val="161"/>
        </w:trPr>
        <w:tc>
          <w:tcPr>
            <w:tcW w:w="5000" w:type="dxa"/>
            <w:vAlign w:val="bottom"/>
          </w:tcPr>
          <w:p>
            <w:pPr>
              <w:ind w:left="20"/>
              <w:spacing w:after="0"/>
              <w:rPr>
                <w:sz w:val="20"/>
                <w:szCs w:val="20"/>
                <w:color w:val="auto"/>
              </w:rPr>
            </w:pPr>
            <w:r>
              <w:rPr>
                <w:rFonts w:ascii="Arial" w:cs="Arial" w:eastAsia="Arial" w:hAnsi="Arial"/>
                <w:sz w:val="13"/>
                <w:szCs w:val="13"/>
                <w:color w:val="auto"/>
              </w:rPr>
              <w:t>BALANCE—December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305,880,063</w:t>
            </w: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1,103,305</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2,287</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(148,163)</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957,432</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adoption of ASU 2020-06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(156,268)</w:t>
            </w:r>
          </w:p>
        </w:tc>
        <w:tc>
          <w:tcPr>
            <w:tcW w:w="0" w:type="dxa"/>
            <w:vAlign w:val="bottom"/>
          </w:tcPr>
          <w:p>
            <w:pPr>
              <w:spacing w:after="0"/>
              <w:rPr>
                <w:sz w:val="1"/>
                <w:szCs w:val="1"/>
                <w:color w:val="auto"/>
              </w:rPr>
            </w:pPr>
          </w:p>
        </w:tc>
      </w:tr>
      <w:tr>
        <w:trPr>
          <w:trHeight w:val="161"/>
        </w:trPr>
        <w:tc>
          <w:tcPr>
            <w:tcW w:w="5000" w:type="dxa"/>
            <w:vAlign w:val="bottom"/>
          </w:tcPr>
          <w:p>
            <w:pPr>
              <w:ind w:left="20"/>
              <w:spacing w:after="0" w:line="141" w:lineRule="exact"/>
              <w:rPr>
                <w:sz w:val="20"/>
                <w:szCs w:val="20"/>
                <w:color w:val="auto"/>
              </w:rPr>
            </w:pPr>
            <w:r>
              <w:rPr>
                <w:rFonts w:ascii="Arial" w:cs="Arial" w:eastAsia="Arial" w:hAnsi="Arial"/>
                <w:sz w:val="13"/>
                <w:szCs w:val="13"/>
                <w:color w:val="auto"/>
              </w:rPr>
              <w:t>BALANCE—January 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305,880,063</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930,235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(131,361)</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801,164</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5,109,688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14,941</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1,483,639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Issuance of restricted shares of common stock from acquisitions</w:t>
            </w:r>
          </w:p>
        </w:tc>
        <w:tc>
          <w:tcPr>
            <w:tcW w:w="980" w:type="dxa"/>
            <w:vAlign w:val="bottom"/>
          </w:tcPr>
          <w:p>
            <w:pPr>
              <w:jc w:val="right"/>
              <w:spacing w:after="0"/>
              <w:rPr>
                <w:sz w:val="20"/>
                <w:szCs w:val="20"/>
                <w:color w:val="auto"/>
              </w:rPr>
            </w:pPr>
            <w:r>
              <w:rPr>
                <w:rFonts w:ascii="Arial" w:cs="Arial" w:eastAsia="Arial" w:hAnsi="Arial"/>
                <w:sz w:val="13"/>
                <w:szCs w:val="13"/>
                <w:color w:val="auto"/>
              </w:rPr>
              <w:t>600,176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57,720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57,720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the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291,871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20,278</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173,397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173,397</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accumulated 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(6,117)</w:t>
            </w: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(20,745)</w:t>
            </w:r>
          </w:p>
        </w:tc>
        <w:tc>
          <w:tcPr>
            <w:tcW w:w="0" w:type="dxa"/>
            <w:vAlign w:val="bottom"/>
          </w:tcPr>
          <w:p>
            <w:pPr>
              <w:spacing w:after="0"/>
              <w:rPr>
                <w:sz w:val="1"/>
                <w:szCs w:val="1"/>
                <w:color w:val="auto"/>
              </w:rPr>
            </w:pPr>
          </w:p>
        </w:tc>
      </w:tr>
      <w:tr>
        <w:trPr>
          <w:trHeight w:val="175"/>
        </w:trPr>
        <w:tc>
          <w:tcPr>
            <w:tcW w:w="500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313,365,437</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1,197,136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1,041,203</w:t>
            </w:r>
          </w:p>
        </w:tc>
        <w:tc>
          <w:tcPr>
            <w:tcW w:w="0" w:type="dxa"/>
            <w:vAlign w:val="bottom"/>
          </w:tcPr>
          <w:p>
            <w:pPr>
              <w:spacing w:after="0"/>
              <w:rPr>
                <w:sz w:val="1"/>
                <w:szCs w:val="1"/>
                <w:color w:val="auto"/>
              </w:rPr>
            </w:pPr>
          </w:p>
        </w:tc>
      </w:tr>
      <w:tr>
        <w:trPr>
          <w:trHeight w:val="161"/>
        </w:trPr>
        <w:tc>
          <w:tcPr>
            <w:tcW w:w="50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3"/>
                <w:szCs w:val="13"/>
                <w:color w:val="auto"/>
              </w:rPr>
              <w:t>2,687,334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9,970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3"/>
                <w:szCs w:val="13"/>
                <w:color w:val="auto"/>
              </w:rPr>
              <w:t>2,492,535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of common stock from acquisitions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327,662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14,019</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Issuance of common stock under the Employee Stock Purchase Plan</w:t>
            </w:r>
          </w:p>
        </w:tc>
        <w:tc>
          <w:tcPr>
            <w:tcW w:w="980" w:type="dxa"/>
            <w:vAlign w:val="bottom"/>
          </w:tcPr>
          <w:p>
            <w:pPr>
              <w:jc w:val="right"/>
              <w:spacing w:after="0"/>
              <w:rPr>
                <w:sz w:val="20"/>
                <w:szCs w:val="20"/>
                <w:color w:val="auto"/>
              </w:rPr>
            </w:pPr>
            <w:r>
              <w:rPr>
                <w:rFonts w:ascii="Arial" w:cs="Arial" w:eastAsia="Arial" w:hAnsi="Arial"/>
                <w:sz w:val="13"/>
                <w:szCs w:val="13"/>
                <w:color w:val="auto"/>
              </w:rPr>
              <w:t>316,875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26,025</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378,007</w:t>
            </w:r>
          </w:p>
        </w:tc>
        <w:tc>
          <w:tcPr>
            <w:tcW w:w="0" w:type="dxa"/>
            <w:vAlign w:val="bottom"/>
          </w:tcPr>
          <w:p>
            <w:pPr>
              <w:spacing w:after="0"/>
              <w:rPr>
                <w:sz w:val="1"/>
                <w:szCs w:val="1"/>
                <w:color w:val="auto"/>
              </w:rPr>
            </w:pPr>
          </w:p>
        </w:tc>
      </w:tr>
      <w:tr>
        <w:trPr>
          <w:trHeight w:val="168"/>
        </w:trPr>
        <w:tc>
          <w:tcPr>
            <w:tcW w:w="5000" w:type="dxa"/>
            <w:vAlign w:val="bottom"/>
          </w:tcPr>
          <w:p>
            <w:pPr>
              <w:ind w:left="20"/>
              <w:spacing w:after="0"/>
              <w:rPr>
                <w:sz w:val="20"/>
                <w:szCs w:val="20"/>
                <w:color w:val="auto"/>
              </w:rPr>
            </w:pPr>
            <w:r>
              <w:rPr>
                <w:rFonts w:ascii="Arial" w:cs="Arial" w:eastAsia="Arial" w:hAnsi="Arial"/>
                <w:sz w:val="13"/>
                <w:szCs w:val="13"/>
                <w:color w:val="auto"/>
              </w:rPr>
              <w:t>Change in accumulated 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(8,592)</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(50,160)</w:t>
            </w:r>
          </w:p>
        </w:tc>
        <w:tc>
          <w:tcPr>
            <w:tcW w:w="0" w:type="dxa"/>
            <w:vAlign w:val="bottom"/>
          </w:tcPr>
          <w:p>
            <w:pPr>
              <w:spacing w:after="0"/>
              <w:rPr>
                <w:sz w:val="1"/>
                <w:szCs w:val="1"/>
                <w:color w:val="auto"/>
              </w:rPr>
            </w:pPr>
          </w:p>
        </w:tc>
      </w:tr>
      <w:tr>
        <w:trPr>
          <w:trHeight w:val="163"/>
        </w:trPr>
        <w:tc>
          <w:tcPr>
            <w:tcW w:w="5000" w:type="dxa"/>
            <w:vAlign w:val="bottom"/>
          </w:tcPr>
          <w:p>
            <w:pPr>
              <w:ind w:left="20"/>
              <w:spacing w:after="0" w:line="141" w:lineRule="exact"/>
              <w:rPr>
                <w:sz w:val="20"/>
                <w:szCs w:val="20"/>
                <w:color w:val="auto"/>
              </w:rPr>
            </w:pPr>
            <w:r>
              <w:rPr>
                <w:rFonts w:ascii="Arial" w:cs="Arial" w:eastAsia="Arial" w:hAnsi="Arial"/>
                <w:sz w:val="13"/>
                <w:szCs w:val="13"/>
                <w:color w:val="auto"/>
              </w:rPr>
              <w:t>BALANCE—December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319,189,843</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1,625,190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(12,422)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(202,266)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1,410,505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3"/>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0"/>
        </w:trPr>
        <w:tc>
          <w:tcPr>
            <w:tcW w:w="67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r>
      <w:tr>
        <w:trPr>
          <w:trHeight w:val="161"/>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(50,160)</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(20,745)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(24,547)</w:t>
            </w:r>
          </w:p>
        </w:tc>
      </w:tr>
      <w:tr>
        <w:trPr>
          <w:trHeight w:val="183"/>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34,629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22,938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15,450</w:t>
            </w:r>
          </w:p>
        </w:tc>
      </w:tr>
      <w:tr>
        <w:trPr>
          <w:trHeight w:val="183"/>
        </w:trPr>
        <w:tc>
          <w:tcPr>
            <w:tcW w:w="67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discounts or premiums on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9,753</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Amortization of debt discount and issuance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18,727</w:t>
            </w:r>
          </w:p>
        </w:tc>
      </w:tr>
      <w:tr>
        <w:trPr>
          <w:trHeight w:val="183"/>
        </w:trPr>
        <w:tc>
          <w:tcPr>
            <w:tcW w:w="67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Amortization of deferred contract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10,447</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Stock-based compensation, net of amounts capitalized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363,154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163,737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74,374</w:t>
            </w:r>
          </w:p>
        </w:tc>
      </w:tr>
      <w:tr>
        <w:trPr>
          <w:trHeight w:val="183"/>
        </w:trPr>
        <w:tc>
          <w:tcPr>
            <w:tcW w:w="67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Non-cash lease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14,060</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Allowance for credit losses on accounts receivable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3,283</w:t>
            </w:r>
          </w:p>
        </w:tc>
      </w:tr>
      <w:tr>
        <w:trPr>
          <w:trHeight w:val="183"/>
        </w:trPr>
        <w:tc>
          <w:tcPr>
            <w:tcW w:w="67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 on disposal of property and equipment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8"/>
        </w:trPr>
        <w:tc>
          <w:tcPr>
            <w:tcW w:w="6700" w:type="dxa"/>
            <w:vAlign w:val="bottom"/>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(64,248)</w:t>
            </w:r>
          </w:p>
        </w:tc>
      </w:tr>
      <w:tr>
        <w:trPr>
          <w:trHeight w:val="168"/>
        </w:trPr>
        <w:tc>
          <w:tcPr>
            <w:tcW w:w="670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(51,098)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(42,775)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(25,080)</w:t>
            </w:r>
          </w:p>
        </w:tc>
      </w:tr>
      <w:tr>
        <w:trPr>
          <w:trHeight w:val="183"/>
        </w:trPr>
        <w:tc>
          <w:tcPr>
            <w:tcW w:w="6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(4,403)</w:t>
            </w:r>
          </w:p>
        </w:tc>
      </w:tr>
      <w:tr>
        <w:trPr>
          <w:trHeight w:val="168"/>
        </w:trPr>
        <w:tc>
          <w:tcPr>
            <w:tcW w:w="670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968</w:t>
            </w:r>
          </w:p>
        </w:tc>
      </w:tr>
      <w:tr>
        <w:trPr>
          <w:trHeight w:val="183"/>
        </w:trPr>
        <w:tc>
          <w:tcPr>
            <w:tcW w:w="6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r>
      <w:tr>
        <w:trPr>
          <w:trHeight w:val="168"/>
        </w:trPr>
        <w:tc>
          <w:tcPr>
            <w:tcW w:w="670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37,578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3,970</w:t>
            </w:r>
          </w:p>
        </w:tc>
      </w:tr>
      <w:tr>
        <w:trPr>
          <w:trHeight w:val="183"/>
        </w:trPr>
        <w:tc>
          <w:tcPr>
            <w:tcW w:w="6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168,644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69,788</w:t>
            </w:r>
          </w:p>
        </w:tc>
      </w:tr>
      <w:tr>
        <w:trPr>
          <w:trHeight w:val="163"/>
        </w:trPr>
        <w:tc>
          <w:tcPr>
            <w:tcW w:w="6700" w:type="dxa"/>
            <w:vAlign w:val="bottom"/>
            <w:tcBorders>
              <w:bottom w:val="single" w:sz="8" w:color="CCEEFF"/>
            </w:tcBorders>
          </w:tcPr>
          <w:p>
            <w:pPr>
              <w:ind w:left="100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418,407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286,545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109,091</w:t>
            </w:r>
          </w:p>
        </w:tc>
      </w:tr>
      <w:tr>
        <w:trPr>
          <w:trHeight w:val="81"/>
        </w:trPr>
        <w:tc>
          <w:tcPr>
            <w:tcW w:w="67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0"/>
        </w:trPr>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(1,413,717)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(1,125,519)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(1,794,562)</w:t>
            </w: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Maturities of marketable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1,137,724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1,046,560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506,554</w:t>
            </w:r>
          </w:p>
        </w:tc>
      </w:tr>
      <w:tr>
        <w:trPr>
          <w:trHeight w:val="183"/>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 of marketable securities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163,630</w:t>
            </w: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Purchases of property and equipment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(35,261)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(5,415)</w:t>
            </w:r>
          </w:p>
        </w:tc>
      </w:tr>
      <w:tr>
        <w:trPr>
          <w:trHeight w:val="183"/>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Capitalized software development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(20,468)</w:t>
            </w:r>
          </w:p>
        </w:tc>
      </w:tr>
      <w:tr>
        <w:trPr>
          <w:trHeight w:val="169"/>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Cash paid for acquisition of businesses; net of cash acquired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(45,878)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(226,505)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(2,363)</w:t>
            </w:r>
          </w:p>
        </w:tc>
      </w:tr>
      <w:tr>
        <w:trPr>
          <w:trHeight w:val="169"/>
        </w:trPr>
        <w:tc>
          <w:tcPr>
            <w:tcW w:w="670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(384,670)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(273,740)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(1,152,624)</w:t>
            </w:r>
          </w:p>
        </w:tc>
      </w:tr>
      <w:tr>
        <w:trPr>
          <w:trHeight w:val="81"/>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Proceeds from exercise of stock options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14,907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15,985</w:t>
            </w:r>
          </w:p>
        </w:tc>
      </w:tr>
      <w:tr>
        <w:trPr>
          <w:trHeight w:val="183"/>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initial public offering, net of underwriting discounts and commissions and other offering costs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20,278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15,170</w:t>
            </w:r>
          </w:p>
        </w:tc>
      </w:tr>
      <w:tr>
        <w:trPr>
          <w:trHeight w:val="183"/>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w:t>
            </w: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730,207</w:t>
            </w:r>
          </w:p>
        </w:tc>
      </w:tr>
      <w:tr>
        <w:trPr>
          <w:trHeight w:val="183"/>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of convertible senior notes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00" w:type="dxa"/>
            <w:vAlign w:val="bottom"/>
          </w:tcPr>
          <w:p>
            <w:pPr>
              <w:ind w:left="180"/>
              <w:spacing w:after="0"/>
              <w:rPr>
                <w:sz w:val="20"/>
                <w:szCs w:val="20"/>
                <w:color w:val="auto"/>
              </w:rPr>
            </w:pPr>
            <w:r>
              <w:rPr>
                <w:rFonts w:ascii="Arial" w:cs="Arial" w:eastAsia="Arial" w:hAnsi="Arial"/>
                <w:sz w:val="13"/>
                <w:szCs w:val="13"/>
                <w:color w:val="auto"/>
              </w:rPr>
              <w:t>Purchase of capped call related to convertible senior notes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(89,625)</w:t>
            </w:r>
          </w:p>
        </w:tc>
      </w:tr>
      <w:tr>
        <w:trPr>
          <w:trHeight w:val="169"/>
        </w:trPr>
        <w:tc>
          <w:tcPr>
            <w:tcW w:w="6700" w:type="dxa"/>
            <w:vAlign w:val="bottom"/>
            <w:tcBorders>
              <w:top w:val="single" w:sz="8" w:color="CCEEFF"/>
            </w:tcBorders>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36,023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34,940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670,276</w:t>
            </w:r>
          </w:p>
        </w:tc>
      </w:tr>
      <w:tr>
        <w:trPr>
          <w:trHeight w:val="81"/>
        </w:trPr>
        <w:tc>
          <w:tcPr>
            <w:tcW w:w="6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r>
      <w:tr>
        <w:trPr>
          <w:trHeight w:val="95"/>
        </w:trPr>
        <w:tc>
          <w:tcPr>
            <w:tcW w:w="6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(372,478)</w:t>
            </w:r>
          </w:p>
        </w:tc>
      </w:tr>
      <w:tr>
        <w:trPr>
          <w:trHeight w:val="16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274,463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601,189</w:t>
            </w:r>
          </w:p>
        </w:tc>
      </w:tr>
      <w:tr>
        <w:trPr>
          <w:trHeight w:val="194"/>
        </w:trPr>
        <w:tc>
          <w:tcPr>
            <w:tcW w:w="670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CASH, CASH EQUIVALENTS AND RESTRICTED CASH —End of period</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342,288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274,463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228,711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0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1,595</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1,486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410</w:t>
            </w:r>
          </w:p>
        </w:tc>
      </w:tr>
      <w:tr>
        <w:trPr>
          <w:trHeight w:val="102"/>
        </w:trPr>
        <w:tc>
          <w:tcPr>
            <w:tcW w:w="6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70"/>
        </w:trPr>
        <w:tc>
          <w:tcPr>
            <w:tcW w:w="67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Accrued property and equipment purchases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68"/>
        </w:trPr>
        <w:tc>
          <w:tcPr>
            <w:tcW w:w="6700" w:type="dxa"/>
            <w:vAlign w:val="bottom"/>
          </w:tcPr>
          <w:p>
            <w:pPr>
              <w:ind w:left="18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14,853</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9,660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3,404</w:t>
            </w:r>
          </w:p>
        </w:tc>
      </w:tr>
      <w:tr>
        <w:trPr>
          <w:trHeight w:val="183"/>
        </w:trPr>
        <w:tc>
          <w:tcPr>
            <w:tcW w:w="6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Vesting of early exercised options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14,019</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57,720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5,169</w:t>
            </w:r>
          </w:p>
        </w:tc>
      </w:tr>
      <w:tr>
        <w:trPr>
          <w:trHeight w:val="183"/>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holdback</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r>
    </w:tbl>
    <w:p>
      <w:pPr>
        <w:spacing w:after="0" w:line="90" w:lineRule="exact"/>
        <w:rPr>
          <w:sz w:val="20"/>
          <w:szCs w:val="20"/>
          <w:color w:val="auto"/>
        </w:rPr>
      </w:pPr>
    </w:p>
    <w:p>
      <w:pPr>
        <w:ind w:left="20" w:right="400"/>
        <w:spacing w:after="0" w:line="229" w:lineRule="auto"/>
        <w:rPr>
          <w:sz w:val="20"/>
          <w:szCs w:val="20"/>
          <w:color w:val="auto"/>
        </w:rPr>
      </w:pPr>
      <w:r>
        <w:rPr>
          <w:rFonts w:ascii="Arial" w:cs="Arial" w:eastAsia="Arial" w:hAnsi="Arial"/>
          <w:sz w:val="13"/>
          <w:szCs w:val="13"/>
          <w:b w:val="1"/>
          <w:bCs w:val="1"/>
          <w:color w:val="auto"/>
        </w:rPr>
        <w:t>RECONCILIATION OF CASH, CASH EQUIVALENTS AND RESTRICTED CASH WITHIN THE CONSOLIDATED BALANCE SHEETS TO THE AMOUNTS SHOW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15175"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338,985</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270,973</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224,927</w:t>
            </w:r>
          </w:p>
        </w:tc>
      </w:tr>
      <w:tr>
        <w:trPr>
          <w:trHeight w:val="184"/>
        </w:trPr>
        <w:tc>
          <w:tcPr>
            <w:tcW w:w="6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w:t>
            </w: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3,784</w:t>
            </w:r>
          </w:p>
        </w:tc>
      </w:tr>
      <w:tr>
        <w:trPr>
          <w:trHeight w:val="163"/>
        </w:trPr>
        <w:tc>
          <w:tcPr>
            <w:tcW w:w="6700" w:type="dxa"/>
            <w:vAlign w:val="bottom"/>
          </w:tcPr>
          <w:p>
            <w:pPr>
              <w:ind w:left="200"/>
              <w:spacing w:after="0" w:line="141" w:lineRule="exact"/>
              <w:rPr>
                <w:sz w:val="20"/>
                <w:szCs w:val="20"/>
                <w:color w:val="auto"/>
              </w:rPr>
            </w:pPr>
            <w:r>
              <w:rPr>
                <w:rFonts w:ascii="Arial" w:cs="Arial" w:eastAsia="Arial" w:hAnsi="Arial"/>
                <w:sz w:val="13"/>
                <w:szCs w:val="13"/>
                <w:color w:val="auto"/>
              </w:rPr>
              <w:t>Total cash, cash equivalents and restricted cash</w:t>
            </w: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342,288</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274,463</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228,711</w:t>
            </w:r>
          </w:p>
        </w:tc>
      </w:tr>
      <w:tr>
        <w:trPr>
          <w:trHeight w:val="27"/>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231F20"/>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real-user monitoring, and many other capabilities to provide unified, real-time observability and security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The accompanying consolidated financial statements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The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Segment Information</w:t>
      </w:r>
    </w:p>
    <w:p>
      <w:pPr>
        <w:spacing w:after="0" w:line="22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231F20"/>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Arial" w:cs="Arial" w:eastAsia="Arial" w:hAnsi="Arial"/>
          <w:sz w:val="17"/>
          <w:szCs w:val="17"/>
          <w:color w:val="000000"/>
        </w:rPr>
        <w:t>the allowance for credit losses</w:t>
      </w:r>
      <w:r>
        <w:rPr>
          <w:rFonts w:ascii="Arial" w:cs="Arial" w:eastAsia="Arial" w:hAnsi="Arial"/>
          <w:sz w:val="17"/>
          <w:szCs w:val="17"/>
          <w:color w:val="231F20"/>
        </w:rPr>
        <w:t>, the fair value of acquired assets and assumed liabilities from business combinations, useful lives of property, equipment,</w:t>
      </w:r>
      <w:r>
        <w:rPr>
          <w:rFonts w:ascii="Arial" w:cs="Arial" w:eastAsia="Arial" w:hAnsi="Arial"/>
          <w:sz w:val="17"/>
          <w:szCs w:val="17"/>
          <w:color w:val="000000"/>
        </w:rPr>
        <w:t xml:space="preserve"> </w:t>
      </w:r>
      <w:r>
        <w:rPr>
          <w:rFonts w:ascii="Arial" w:cs="Arial" w:eastAsia="Arial" w:hAnsi="Arial"/>
          <w:sz w:val="17"/>
          <w:szCs w:val="17"/>
          <w:color w:val="231F20"/>
        </w:rPr>
        <w:t xml:space="preserve">software, and finite lived intangibles, stock-based compensation, </w:t>
      </w:r>
      <w:r>
        <w:rPr>
          <w:rFonts w:ascii="Arial" w:cs="Arial" w:eastAsia="Arial" w:hAnsi="Arial"/>
          <w:sz w:val="17"/>
          <w:szCs w:val="17"/>
          <w:color w:val="000000"/>
        </w:rPr>
        <w:t>stock-based compensation including the determination of the fair value of the Company’s</w:t>
      </w:r>
      <w:r>
        <w:rPr>
          <w:rFonts w:ascii="Arial" w:cs="Arial" w:eastAsia="Arial" w:hAnsi="Arial"/>
          <w:sz w:val="17"/>
          <w:szCs w:val="17"/>
          <w:color w:val="231F20"/>
        </w:rPr>
        <w:t xml:space="preserve"> </w:t>
      </w:r>
      <w:r>
        <w:rPr>
          <w:rFonts w:ascii="Arial" w:cs="Arial" w:eastAsia="Arial" w:hAnsi="Arial"/>
          <w:sz w:val="17"/>
          <w:szCs w:val="17"/>
          <w:color w:val="000000"/>
        </w:rPr>
        <w:t xml:space="preserve">stock prior to its IPO, </w:t>
      </w:r>
      <w:r>
        <w:rPr>
          <w:rFonts w:ascii="Arial" w:cs="Arial" w:eastAsia="Arial" w:hAnsi="Arial"/>
          <w:sz w:val="17"/>
          <w:szCs w:val="17"/>
          <w:color w:val="231F20"/>
        </w:rPr>
        <w:t>fair value of common stock and redeemable convertible preferred stock prior to the IPO, valuation of long-lived assets and their</w:t>
      </w:r>
      <w:r>
        <w:rPr>
          <w:rFonts w:ascii="Arial" w:cs="Arial" w:eastAsia="Arial" w:hAnsi="Arial"/>
          <w:sz w:val="17"/>
          <w:szCs w:val="17"/>
          <w:color w:val="000000"/>
        </w:rPr>
        <w:t xml:space="preserve"> </w:t>
      </w:r>
      <w:r>
        <w:rPr>
          <w:rFonts w:ascii="Arial" w:cs="Arial" w:eastAsia="Arial" w:hAnsi="Arial"/>
          <w:sz w:val="17"/>
          <w:szCs w:val="17"/>
          <w:color w:val="231F20"/>
        </w:rPr>
        <w:t xml:space="preserve">recoverability, including goodwill, the incremental borrowing rate for operating leases, estimated expected period of benefit for deferred contract costs, </w:t>
      </w:r>
      <w:r>
        <w:rPr>
          <w:rFonts w:ascii="Arial" w:cs="Arial" w:eastAsia="Arial" w:hAnsi="Arial"/>
          <w:sz w:val="17"/>
          <w:szCs w:val="17"/>
          <w:color w:val="000000"/>
        </w:rPr>
        <w:t>fair</w:t>
      </w:r>
      <w:r>
        <w:rPr>
          <w:rFonts w:ascii="Arial" w:cs="Arial" w:eastAsia="Arial" w:hAnsi="Arial"/>
          <w:sz w:val="17"/>
          <w:szCs w:val="17"/>
          <w:color w:val="231F20"/>
        </w:rPr>
        <w:t xml:space="preserve"> </w:t>
      </w:r>
      <w:r>
        <w:rPr>
          <w:rFonts w:ascii="Arial" w:cs="Arial" w:eastAsia="Arial" w:hAnsi="Arial"/>
          <w:sz w:val="17"/>
          <w:szCs w:val="17"/>
          <w:color w:val="000000"/>
        </w:rPr>
        <w:t xml:space="preserve">value of the liability component of the convertible debt, </w:t>
      </w:r>
      <w:r>
        <w:rPr>
          <w:rFonts w:ascii="Arial" w:cs="Arial" w:eastAsia="Arial" w:hAnsi="Arial"/>
          <w:sz w:val="17"/>
          <w:szCs w:val="17"/>
          <w:color w:val="231F20"/>
        </w:rPr>
        <w:t>realization of deferred tax assets and uncertain tax positions, revenue recognition and the allocation</w:t>
      </w:r>
      <w:r>
        <w:rPr>
          <w:rFonts w:ascii="Arial" w:cs="Arial" w:eastAsia="Arial" w:hAnsi="Arial"/>
          <w:sz w:val="17"/>
          <w:szCs w:val="17"/>
          <w:color w:val="000000"/>
        </w:rPr>
        <w:t xml:space="preserve"> </w:t>
      </w:r>
      <w:r>
        <w:rPr>
          <w:rFonts w:ascii="Arial" w:cs="Arial" w:eastAsia="Arial" w:hAnsi="Arial"/>
          <w:sz w:val="17"/>
          <w:szCs w:val="17"/>
          <w:color w:val="231F20"/>
        </w:rPr>
        <w:t>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Translation</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income as a separate component of stockholders’ equity.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4" w:name="page65"/>
    <w:bookmarkEnd w:id="64"/>
    <w:p>
      <w:pPr>
        <w:jc w:val="both"/>
        <w:ind w:firstLine="972"/>
        <w:spacing w:after="0" w:line="277" w:lineRule="auto"/>
        <w:rPr>
          <w:sz w:val="20"/>
          <w:szCs w:val="20"/>
          <w:color w:val="auto"/>
        </w:rPr>
      </w:pPr>
      <w:r>
        <w:rPr>
          <w:rFonts w:ascii="Arial" w:cs="Arial" w:eastAsia="Arial" w:hAnsi="Arial"/>
          <w:sz w:val="18"/>
          <w:szCs w:val="18"/>
          <w:color w:val="231F20"/>
        </w:rPr>
        <w:t>Transaction gains and losses that arise from exchange rate fluctuations on transactions denominated in a currency other than the functional currency are included in other income (loss), net in the accompanying consolidated statements of operations when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Company accounts for revenue contracts with customers through the following steps:</w:t>
      </w:r>
    </w:p>
    <w:p>
      <w:pPr>
        <w:spacing w:after="0" w:line="117" w:lineRule="exact"/>
        <w:rPr>
          <w:sz w:val="20"/>
          <w:szCs w:val="20"/>
          <w:color w:val="auto"/>
        </w:rPr>
      </w:pPr>
    </w:p>
    <w:p>
      <w:pPr>
        <w:ind w:left="1460" w:hanging="480"/>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 the performance obligations in the contract;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determine the transaction price;</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recognize revenue when or as the Company satisfies a performance obligation.</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Company’s revenue arrangements may include infrastructure monitoring, application performance monitoring, log management, synthetics monitoring, security monitoring, continuous profiling, serverless monitoring, network 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187"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231F20"/>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2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70"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is simultaneously received and consumed by the customer, and control is transferred.</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Company applied the practical expedient in Topic 606 and did not evaluate contracts of one year or less for the existence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jc w:val="both"/>
        <w:ind w:firstLine="972"/>
        <w:spacing w:after="0" w:line="311" w:lineRule="auto"/>
        <w:rPr>
          <w:sz w:val="20"/>
          <w:szCs w:val="20"/>
          <w:color w:val="auto"/>
        </w:rPr>
      </w:pPr>
      <w:r>
        <w:rPr>
          <w:rFonts w:ascii="Arial" w:cs="Arial" w:eastAsia="Arial" w:hAnsi="Arial"/>
          <w:sz w:val="16"/>
          <w:szCs w:val="16"/>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Convertible Senior Notes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In accounting for the issuance of the Company’s convertible senior notes (the “2025 Notes”), the 2025 Notes were separated into liability and equity components through December 31, 2020. The carrying amounts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equity component was recorded in additional paid-in capital.</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In accounting for the debt issuance costs related to the 2025 Notes, the Company allocated the total amount incurred to the liability and equity components of the 2025 Notes in the same proportion as the allocation of the proceeds. Issuance costs attributable to the liability component are being amortized to interest expense over the contractual terms of the 2025 Notes. The issuance costs attributable to the equity component were netted against the equity component in additional paid-in capital.</w:t>
      </w:r>
    </w:p>
    <w:p>
      <w:pPr>
        <w:spacing w:after="0" w:line="187"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 xml:space="preserve">On January 1, 2021 the Company adopted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As a result of the adoption, the debt conversion option of $177.2 million and debt issuance costs of $4.1 million previously attributable to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Revenue</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225"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231F20"/>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and allocated overhead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Advertising costs are expensed as incurred and were approximately $25.5 million, $20.8 million and $21.6 million for the years ended December 31, 2022, 2021 and 2020, respectively, and are included in sales and marketing expense in the accompanying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7"/>
          <w:szCs w:val="17"/>
          <w:color w:val="231F20"/>
        </w:rPr>
        <w:t>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6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2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231F20"/>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fair value of each stock option granted is estimated using the Black-Scholes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74"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231F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231F20"/>
        </w:rPr>
        <w:t>The Company considers all highly liquid investments with an original maturity of three months or less when purchased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Cash equivalents consist of funds deposited into money market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Marketable Securities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231F20"/>
        </w:rPr>
        <w:t>The Company’s marketable securities consist of commercial debt, commercial paper, certificates of deposit, U.S. government treasury securities, U.S. government agency securities, and Non-U.S. government securities.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16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loss until realized. Realized gains and losses are determined based on the specific identification method and are reported in Interest income and other income, net in the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jc w:val="both"/>
        <w:ind w:firstLine="972"/>
        <w:spacing w:after="0" w:line="263" w:lineRule="auto"/>
        <w:rPr>
          <w:sz w:val="20"/>
          <w:szCs w:val="20"/>
          <w:color w:val="auto"/>
        </w:rPr>
      </w:pPr>
      <w:r>
        <w:rPr>
          <w:rFonts w:ascii="Arial" w:cs="Arial" w:eastAsia="Arial" w:hAnsi="Arial"/>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Geographical Information - Long-Lived Assets</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As of December 31, 2022, and 2021, 66% and 76% of the Company’s long-lived assets were located in the United States and 34% and 24% were located outside of the United States, primarily in EMEA,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1 Inputs: </w:t>
      </w:r>
      <w:r>
        <w:rPr>
          <w:rFonts w:ascii="Arial" w:cs="Arial" w:eastAsia="Arial" w:hAnsi="Arial"/>
          <w:sz w:val="18"/>
          <w:szCs w:val="18"/>
          <w:color w:val="231F20"/>
        </w:rPr>
        <w:t>Unadjusted quoted prices in active markets for identical assets or liabilities accessible to the reporting entity at the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measurement date.</w:t>
      </w:r>
    </w:p>
    <w:p>
      <w:pPr>
        <w:spacing w:after="0" w:line="6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2 Inputs: </w:t>
      </w:r>
      <w:r>
        <w:rPr>
          <w:rFonts w:ascii="Arial" w:cs="Arial" w:eastAsia="Arial" w:hAnsi="Arial"/>
          <w:sz w:val="18"/>
          <w:szCs w:val="18"/>
          <w:color w:val="231F20"/>
        </w:rPr>
        <w:t>Other than quoted prices included in Level 1 inputs that are observable for the asset or liability, either directly or indirectly,</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for substantially the full term of the asset or liability.</w:t>
      </w:r>
    </w:p>
    <w:p>
      <w:pPr>
        <w:spacing w:after="0" w:line="6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b w:val="1"/>
          <w:bCs w:val="1"/>
          <w:i w:val="1"/>
          <w:iCs w:val="1"/>
          <w:color w:val="231F20"/>
        </w:rPr>
        <w:t xml:space="preserve">Level 3 Inputs: </w:t>
      </w:r>
      <w:r>
        <w:rPr>
          <w:rFonts w:ascii="Arial" w:cs="Arial" w:eastAsia="Arial" w:hAnsi="Arial"/>
          <w:sz w:val="18"/>
          <w:szCs w:val="18"/>
          <w:color w:val="231F20"/>
        </w:rPr>
        <w:t>Unobservable inputs for the asset or liability used to measure fair value to the extent that observable inputs are not available,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thereby allowing for situations in which there is little, if any, market activity for the asset or liability at measurement date.</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A financial instrument’s categorization within the valuation hierarchy is based upon the lowest level of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and Allowance for Credit Losses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8" w:name="page69"/>
    <w:bookmarkEnd w:id="68"/>
    <w:p>
      <w:pPr>
        <w:jc w:val="both"/>
        <w:ind w:firstLine="972"/>
        <w:spacing w:after="0" w:line="263"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Internal-Use Software Development Costs</w:t>
      </w:r>
    </w:p>
    <w:p>
      <w:pPr>
        <w:spacing w:after="0" w:line="225"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231F20"/>
        </w:rPr>
        <w:t>The Company capitalizes qualifying internal-use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7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22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 xml:space="preserve">Sales commissions earned by the Company’s sales force are considered incremental and recoverable costs of obtaining a contract with a customer. </w:t>
      </w:r>
      <w:r>
        <w:rPr>
          <w:rFonts w:ascii="Arial" w:cs="Arial" w:eastAsia="Arial" w:hAnsi="Arial"/>
          <w:sz w:val="16"/>
          <w:szCs w:val="16"/>
          <w:color w:val="231F20"/>
        </w:rPr>
        <w:t>There are no sales commissions earned on renewals</w:t>
      </w:r>
      <w:r>
        <w:rPr>
          <w:rFonts w:ascii="Arial" w:cs="Arial" w:eastAsia="Arial" w:hAnsi="Arial"/>
          <w:sz w:val="16"/>
          <w:szCs w:val="16"/>
          <w:color w:val="auto"/>
        </w:rPr>
        <w:t xml:space="preserve">. These costs are deferred and then amortized over a period of benefit which is determined to be four years. </w:t>
      </w:r>
      <w:r>
        <w:rPr>
          <w:rFonts w:ascii="Arial" w:cs="Arial" w:eastAsia="Arial" w:hAnsi="Arial"/>
          <w:sz w:val="16"/>
          <w:szCs w:val="16"/>
          <w:color w:val="231F20"/>
        </w:rPr>
        <w:t>The Company determined the period of benefit by taking into consideration the length of terms in its customer contracts, life of the</w:t>
      </w:r>
      <w:r>
        <w:rPr>
          <w:rFonts w:ascii="Arial" w:cs="Arial" w:eastAsia="Arial" w:hAnsi="Arial"/>
          <w:sz w:val="16"/>
          <w:szCs w:val="16"/>
          <w:color w:val="auto"/>
        </w:rPr>
        <w:t xml:space="preserve"> </w:t>
      </w:r>
      <w:r>
        <w:rPr>
          <w:rFonts w:ascii="Arial" w:cs="Arial" w:eastAsia="Arial" w:hAnsi="Arial"/>
          <w:sz w:val="16"/>
          <w:szCs w:val="16"/>
          <w:color w:val="231F20"/>
        </w:rPr>
        <w:t>technology and other factors</w:t>
      </w:r>
      <w:r>
        <w:rPr>
          <w:rFonts w:ascii="Arial" w:cs="Arial" w:eastAsia="Arial" w:hAnsi="Arial"/>
          <w:sz w:val="16"/>
          <w:szCs w:val="16"/>
          <w:color w:val="000000"/>
        </w:rPr>
        <w:t>. Amounts expected to be recognized within one year of the balance sheet date are recorded as deferred contract costs, current;</w:t>
      </w:r>
      <w:r>
        <w:rPr>
          <w:rFonts w:ascii="Arial" w:cs="Arial" w:eastAsia="Arial" w:hAnsi="Arial"/>
          <w:sz w:val="16"/>
          <w:szCs w:val="16"/>
          <w:color w:val="231F20"/>
        </w:rPr>
        <w:t xml:space="preserve"> </w:t>
      </w:r>
      <w:r>
        <w:rPr>
          <w:rFonts w:ascii="Arial" w:cs="Arial" w:eastAsia="Arial" w:hAnsi="Arial"/>
          <w:sz w:val="16"/>
          <w:szCs w:val="16"/>
          <w:color w:val="000000"/>
        </w:rPr>
        <w:t xml:space="preserve">the remaining portion is recorded as deferred contract costs, non-current, in the consolidated balance sheets. </w:t>
      </w:r>
      <w:r>
        <w:rPr>
          <w:rFonts w:ascii="Arial" w:cs="Arial" w:eastAsia="Arial" w:hAnsi="Arial"/>
          <w:sz w:val="16"/>
          <w:szCs w:val="16"/>
          <w:color w:val="231F20"/>
        </w:rPr>
        <w:t>Deferred contract costs are periodically</w:t>
      </w:r>
      <w:r>
        <w:rPr>
          <w:rFonts w:ascii="Arial" w:cs="Arial" w:eastAsia="Arial" w:hAnsi="Arial"/>
          <w:sz w:val="16"/>
          <w:szCs w:val="16"/>
          <w:color w:val="000000"/>
        </w:rPr>
        <w:t xml:space="preserve"> </w:t>
      </w:r>
      <w:r>
        <w:rPr>
          <w:rFonts w:ascii="Arial" w:cs="Arial" w:eastAsia="Arial" w:hAnsi="Arial"/>
          <w:sz w:val="16"/>
          <w:szCs w:val="16"/>
          <w:color w:val="231F20"/>
        </w:rPr>
        <w:t>analyzed for impairment. Amortization expense is included in sales and marketing expenses in the accompanying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22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Impairment of Long-Lived Assets (Including Goodwill and Intangibles)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231F20"/>
        </w:rPr>
        <w:t>Long-lived assets with finite lives include property and equipment, capitalized development software costs and acquired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Long-lived assets are amortized over their estimated useful lives which are as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6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3 years</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620" w:type="dxa"/>
            <w:vAlign w:val="bottom"/>
          </w:tcPr>
          <w:p>
            <w:pPr>
              <w:ind w:left="1700"/>
              <w:spacing w:after="0"/>
              <w:rPr>
                <w:sz w:val="20"/>
                <w:szCs w:val="20"/>
                <w:color w:val="auto"/>
              </w:rPr>
            </w:pPr>
            <w:r>
              <w:rPr>
                <w:rFonts w:ascii="Arial" w:cs="Arial" w:eastAsia="Arial" w:hAnsi="Arial"/>
                <w:sz w:val="18"/>
                <w:szCs w:val="18"/>
                <w:color w:val="auto"/>
              </w:rPr>
              <w:t>5 years</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Shorter of lease term or useful life of asset</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6620" w:type="dxa"/>
            <w:vAlign w:val="bottom"/>
          </w:tcPr>
          <w:p>
            <w:pPr>
              <w:ind w:left="1700"/>
              <w:spacing w:after="0"/>
              <w:rPr>
                <w:sz w:val="20"/>
                <w:szCs w:val="20"/>
                <w:color w:val="auto"/>
              </w:rPr>
            </w:pPr>
            <w:r>
              <w:rPr>
                <w:rFonts w:ascii="Arial" w:cs="Arial" w:eastAsia="Arial" w:hAnsi="Arial"/>
                <w:sz w:val="18"/>
                <w:szCs w:val="18"/>
                <w:color w:val="auto"/>
              </w:rPr>
              <w:t>2 years</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62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3 years</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620" w:type="dxa"/>
            <w:vAlign w:val="bottom"/>
          </w:tcPr>
          <w:p>
            <w:pPr>
              <w:ind w:left="1700"/>
              <w:spacing w:after="0"/>
              <w:rPr>
                <w:sz w:val="20"/>
                <w:szCs w:val="20"/>
                <w:color w:val="auto"/>
              </w:rPr>
            </w:pPr>
            <w:r>
              <w:rPr>
                <w:rFonts w:ascii="Arial" w:cs="Arial" w:eastAsia="Arial" w:hAnsi="Arial"/>
                <w:sz w:val="18"/>
                <w:szCs w:val="18"/>
                <w:color w:val="auto"/>
              </w:rPr>
              <w:t>4 years</w:t>
            </w:r>
          </w:p>
        </w:tc>
      </w:tr>
    </w:tbl>
    <w:p>
      <w:pPr>
        <w:spacing w:after="0" w:line="28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2022, 2021 or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22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Income (Loss) Per Share Attributable to Common Stockholders</w:t>
      </w:r>
    </w:p>
    <w:p>
      <w:pPr>
        <w:spacing w:after="0" w:line="22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the Company is in a net loss position, the net loss attributable to common stockholders was not allocated to the unvested common stock under the two-class method as these securities do not have a contractual obligation to share in the Company’s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Prior Period Reclassifications</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Certain prior period amounts have been reclassified to conform to the current period presentation. These reclassifications did not result in a restatement of prior period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Pronouncements Recently Adopted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Among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0" w:name="page71"/>
    <w:bookmarkEnd w:id="70"/>
    <w:p>
      <w:pPr>
        <w:jc w:val="both"/>
        <w:spacing w:after="0" w:line="268" w:lineRule="auto"/>
        <w:rPr>
          <w:sz w:val="20"/>
          <w:szCs w:val="20"/>
          <w:color w:val="auto"/>
        </w:rPr>
      </w:pPr>
      <w:r>
        <w:rPr>
          <w:rFonts w:ascii="Arial" w:cs="Arial" w:eastAsia="Arial" w:hAnsi="Arial"/>
          <w:sz w:val="17"/>
          <w:szCs w:val="17"/>
          <w:color w:val="auto"/>
        </w:rPr>
        <w:t>changes, ASU No. 2020-06 removes from GAAP the liability and equity separation model for convertible instruments with a 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 fiscal years beginning after December 15, 2020 and can be adopted on either a fully retrospective or modified retrospective basis. The Company early adopted ASU No. 2020-06 on January 1, 2021, using the modified retrospective basis. Adoption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("ASU No. 2021-08"), which intends to improve the accounting for acquired revenue contracts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in a business combination by addressing diversity in practice and inconsistency related to recognition of an acquired contract liability and payment terms and their effect on subsequent revenue recognized by the acquirer. It is effective for interim and annual periods beginning after December 15, 2022, with early adoption permitted. The Company early adopted ASU No. 2021-08 on January 1, 2022 on a prospective basis with no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Marketable Securities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consolidated balance sheet as of December 31, 2022 and December 31, 2021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3"/>
                <w:szCs w:val="13"/>
                <w:color w:val="auto"/>
              </w:rPr>
            </w:pPr>
          </w:p>
        </w:tc>
        <w:tc>
          <w:tcPr>
            <w:tcW w:w="1120" w:type="dxa"/>
            <w:vAlign w:val="bottom"/>
          </w:tcPr>
          <w:p>
            <w:pPr>
              <w:jc w:val="center"/>
              <w:ind w:right="255"/>
              <w:spacing w:after="0" w:line="160" w:lineRule="exact"/>
              <w:rPr>
                <w:sz w:val="20"/>
                <w:szCs w:val="20"/>
                <w:color w:val="auto"/>
              </w:rPr>
            </w:pPr>
            <w:r>
              <w:rPr>
                <w:rFonts w:ascii="Arial" w:cs="Arial" w:eastAsia="Arial" w:hAnsi="Arial"/>
                <w:sz w:val="14"/>
                <w:szCs w:val="14"/>
                <w:b w:val="1"/>
                <w:bCs w:val="1"/>
                <w:color w:val="auto"/>
              </w:rPr>
              <w:t>Fair</w:t>
            </w:r>
          </w:p>
        </w:tc>
      </w:t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Arial" w:cs="Arial" w:eastAsia="Arial" w:hAnsi="Arial"/>
                <w:sz w:val="14"/>
                <w:szCs w:val="14"/>
                <w:b w:val="1"/>
                <w:bCs w:val="1"/>
                <w:color w:val="auto"/>
                <w:w w:val="96"/>
              </w:rPr>
              <w:t>Value</w:t>
            </w:r>
          </w:p>
        </w:tc>
      </w:tr>
      <w:tr>
        <w:trPr>
          <w:trHeight w:val="52"/>
        </w:trPr>
        <w:tc>
          <w:tcPr>
            <w:tcW w:w="5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806,108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356,273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173,530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 treasury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119,878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89,552</w:t>
            </w:r>
          </w:p>
        </w:tc>
      </w:tr>
      <w:tr>
        <w:trPr>
          <w:trHeight w:val="263"/>
        </w:trPr>
        <w:tc>
          <w:tcPr>
            <w:tcW w:w="51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1,555,403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1,545,341</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5"/>
                <w:szCs w:val="15"/>
                <w:color w:val="auto"/>
              </w:rPr>
            </w:pPr>
          </w:p>
        </w:tc>
        <w:tc>
          <w:tcPr>
            <w:tcW w:w="1120" w:type="dxa"/>
            <w:vAlign w:val="bottom"/>
          </w:tcPr>
          <w:p>
            <w:pPr>
              <w:jc w:val="center"/>
              <w:ind w:right="255"/>
              <w:spacing w:after="0"/>
              <w:rPr>
                <w:sz w:val="20"/>
                <w:szCs w:val="20"/>
                <w:color w:val="auto"/>
              </w:rPr>
            </w:pPr>
            <w:r>
              <w:rPr>
                <w:rFonts w:ascii="Arial" w:cs="Arial" w:eastAsia="Arial" w:hAnsi="Arial"/>
                <w:sz w:val="14"/>
                <w:szCs w:val="14"/>
                <w:b w:val="1"/>
                <w:bCs w:val="1"/>
                <w:color w:val="auto"/>
              </w:rPr>
              <w:t>Fair</w:t>
            </w:r>
          </w:p>
        </w:tc>
      </w:t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Arial" w:cs="Arial" w:eastAsia="Arial" w:hAnsi="Arial"/>
                <w:sz w:val="14"/>
                <w:szCs w:val="14"/>
                <w:b w:val="1"/>
                <w:bCs w:val="1"/>
                <w:color w:val="auto"/>
                <w:w w:val="96"/>
              </w:rPr>
              <w:t>Value</w:t>
            </w:r>
          </w:p>
        </w:tc>
      </w:tr>
      <w:tr>
        <w:trPr>
          <w:trHeight w:val="39"/>
        </w:trPr>
        <w:tc>
          <w:tcPr>
            <w:tcW w:w="5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1,032,052</w:t>
            </w: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151,356</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77,442</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1,286,225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1,283,473</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December 31, 2022, the fair values of available-for-sale marketable securities, by remaining contractual maturity, were as follows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1,448,990</w:t>
            </w:r>
          </w:p>
        </w:tc>
      </w:tr>
      <w:tr>
        <w:trPr>
          <w:trHeight w:val="243"/>
        </w:trPr>
        <w:tc>
          <w:tcPr>
            <w:tcW w:w="9780" w:type="dxa"/>
            <w:vAlign w:val="bottom"/>
          </w:tcPr>
          <w:p>
            <w:pPr>
              <w:ind w:left="20"/>
              <w:spacing w:after="0"/>
              <w:rPr>
                <w:sz w:val="20"/>
                <w:szCs w:val="20"/>
                <w:color w:val="auto"/>
              </w:rPr>
            </w:pPr>
            <w:r>
              <w:rPr>
                <w:rFonts w:ascii="Arial" w:cs="Arial" w:eastAsia="Arial" w:hAnsi="Arial"/>
                <w:sz w:val="18"/>
                <w:szCs w:val="18"/>
                <w:color w:val="auto"/>
              </w:rPr>
              <w:t>Due in one year through five years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96,351</w:t>
            </w:r>
          </w:p>
        </w:tc>
      </w:tr>
      <w:tr>
        <w:trPr>
          <w:trHeight w:val="27"/>
        </w:trPr>
        <w:tc>
          <w:tcPr>
            <w:tcW w:w="9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1,545,341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Fair Value Measurements</w:t>
      </w:r>
    </w:p>
    <w:p>
      <w:pPr>
        <w:spacing w:after="0" w:line="22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December 31, 2022 and 2021, and indicate the fair value hierarchy of the valuation inputs utilized to determine such fair value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Fair Value Measurement as of December 31,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39"/>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302,902</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3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806,108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806,108</w:t>
            </w:r>
          </w:p>
        </w:tc>
      </w:tr>
      <w:tr>
        <w:trPr>
          <w:trHeight w:val="28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173,530</w:t>
            </w:r>
          </w:p>
        </w:tc>
      </w:tr>
      <w:tr>
        <w:trPr>
          <w:trHeight w:val="28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r>
      <w:tr>
        <w:trPr>
          <w:trHeight w:val="270"/>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w:t>
            </w:r>
          </w:p>
        </w:tc>
      </w:tr>
      <w:tr>
        <w:trPr>
          <w:trHeight w:val="283"/>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1,850,736</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6"/>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Fair Value Measurement as of December 31,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39"/>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241,571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241,571</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1,032,052</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151,356</w:t>
            </w:r>
          </w:p>
        </w:tc>
      </w:tr>
      <w:tr>
        <w:trPr>
          <w:trHeight w:val="28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77,442</w:t>
            </w:r>
          </w:p>
        </w:tc>
      </w:tr>
      <w:tr>
        <w:trPr>
          <w:trHeight w:val="260"/>
        </w:trPr>
        <w:tc>
          <w:tcPr>
            <w:tcW w:w="51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14,569</w:t>
            </w:r>
          </w:p>
        </w:tc>
      </w:tr>
      <w:tr>
        <w:trPr>
          <w:trHeight w:val="27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 government treasury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70"/>
        </w:trPr>
        <w:tc>
          <w:tcPr>
            <w:tcW w:w="518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241,571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1,283,473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1,525,044</w:t>
            </w: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972"/>
        <w:spacing w:after="0" w:line="301" w:lineRule="auto"/>
        <w:rPr>
          <w:sz w:val="20"/>
          <w:szCs w:val="20"/>
          <w:color w:val="auto"/>
        </w:rPr>
      </w:pPr>
      <w:r>
        <w:rPr>
          <w:rFonts w:ascii="Arial" w:cs="Arial" w:eastAsia="Arial" w:hAnsi="Arial"/>
          <w:sz w:val="16"/>
          <w:szCs w:val="16"/>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U.S. government treasury securities, and Non-U.S. government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5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consolidated financial statements for further details.</w:t>
      </w: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86,189</w:t>
            </w: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—Internal-Use Software Development Costs, the Company capitalizes costs related to the development of computer software for internal-use and is included in capitalized software development costs within property and equipment, net.</w:t>
      </w:r>
    </w:p>
    <w:p>
      <w:pPr>
        <w:spacing w:after="0" w:line="184" w:lineRule="exact"/>
        <w:rPr>
          <w:sz w:val="20"/>
          <w:szCs w:val="20"/>
          <w:color w:val="auto"/>
        </w:rPr>
      </w:pPr>
    </w:p>
    <w:p>
      <w:pPr>
        <w:ind w:right="120" w:firstLine="972"/>
        <w:spacing w:after="0" w:line="277" w:lineRule="auto"/>
        <w:rPr>
          <w:sz w:val="20"/>
          <w:szCs w:val="20"/>
          <w:color w:val="auto"/>
        </w:rPr>
      </w:pPr>
      <w:r>
        <w:rPr>
          <w:rFonts w:ascii="Arial" w:cs="Arial" w:eastAsia="Arial" w:hAnsi="Arial"/>
          <w:sz w:val="18"/>
          <w:szCs w:val="18"/>
          <w:color w:val="auto"/>
        </w:rPr>
        <w:t>Depreciation and amortization expense was approximately $27.0 million, $18.5 million, and $14.5 million for the years ended December 31, 2022, 2021 and 2020, respectively.</w:t>
      </w:r>
    </w:p>
    <w:p>
      <w:pPr>
        <w:spacing w:after="0" w:line="166" w:lineRule="exact"/>
        <w:rPr>
          <w:sz w:val="20"/>
          <w:szCs w:val="20"/>
          <w:color w:val="auto"/>
        </w:rPr>
      </w:pPr>
    </w:p>
    <w:p>
      <w:pPr>
        <w:ind w:right="7620" w:firstLine="8"/>
        <w:spacing w:after="0" w:line="503" w:lineRule="auto"/>
        <w:tabs>
          <w:tab w:leader="none" w:pos="180" w:val="left"/>
        </w:tabs>
        <w:numPr>
          <w:ilvl w:val="0"/>
          <w:numId w:val="37"/>
        </w:numPr>
        <w:rPr>
          <w:rFonts w:ascii="Arial" w:cs="Arial" w:eastAsia="Arial" w:hAnsi="Arial"/>
          <w:sz w:val="18"/>
          <w:szCs w:val="18"/>
          <w:b w:val="1"/>
          <w:bCs w:val="1"/>
          <w:color w:val="231F20"/>
        </w:rPr>
      </w:pPr>
      <w:r>
        <w:rPr>
          <w:rFonts w:ascii="Arial" w:cs="Arial" w:eastAsia="Arial" w:hAnsi="Arial"/>
          <w:sz w:val="18"/>
          <w:szCs w:val="18"/>
          <w:b w:val="1"/>
          <w:bCs w:val="1"/>
          <w:color w:val="231F20"/>
        </w:rPr>
        <w:t>Acquisitions, Intangible Assets and Goodwill 2022 Acquisitions</w:t>
      </w:r>
    </w:p>
    <w:p>
      <w:pPr>
        <w:jc w:val="both"/>
        <w:ind w:firstLine="972"/>
        <w:spacing w:after="0" w:line="255" w:lineRule="auto"/>
        <w:rPr>
          <w:sz w:val="20"/>
          <w:szCs w:val="20"/>
          <w:color w:val="auto"/>
        </w:rPr>
      </w:pPr>
      <w:r>
        <w:rPr>
          <w:rFonts w:ascii="Arial" w:cs="Arial" w:eastAsia="Arial" w:hAnsi="Arial"/>
          <w:sz w:val="18"/>
          <w:szCs w:val="18"/>
          <w:color w:val="231F20"/>
        </w:rPr>
        <w:t xml:space="preserve">During the year ended December 31, 2022, the Company entered into four purchase agreements for acquisitions of businesses, each of which were accounted for as business combinations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231F20"/>
        </w:rPr>
        <w:t xml:space="preserve">In October and December 2021, the Company entered into two purchase agreements for acquisitions of businesses, each of which were accounted for as business combinations in accordance with ASC 805, </w:t>
      </w:r>
      <w:r>
        <w:rPr>
          <w:rFonts w:ascii="Arial" w:cs="Arial" w:eastAsia="Arial" w:hAnsi="Arial"/>
          <w:sz w:val="16"/>
          <w:szCs w:val="16"/>
          <w:i w:val="1"/>
          <w:iCs w:val="1"/>
          <w:color w:val="231F20"/>
        </w:rPr>
        <w:t>Business Combinations</w:t>
      </w:r>
      <w:r>
        <w:rPr>
          <w:rFonts w:ascii="Arial" w:cs="Arial" w:eastAsia="Arial" w:hAnsi="Arial"/>
          <w:sz w:val="16"/>
          <w:szCs w:val="16"/>
          <w:color w:val="231F20"/>
        </w:rPr>
        <w:t>. The Company does not consider these acquisitions to be material, individually or in aggregate. The total purchase price was allocated to intangible assets in the amount of $4.3 million and goodwill in the amount of $36.6 million based on the respective estimated fair values. The resulting goodwill from both agreements is not deductible for income tax purposes. Pro forma results of operations from these acquisitions have not been presented because they were not material to the consolidated results of operations.</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 xml:space="preserve">In April 2021, the Company entered into a stock purchase agreement whereby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Arial" w:cs="Arial" w:eastAsia="Arial" w:hAnsi="Arial"/>
          <w:sz w:val="17"/>
          <w:szCs w:val="17"/>
          <w:i w:val="1"/>
          <w:iCs w:val="1"/>
          <w:color w:val="231F20"/>
        </w:rPr>
        <w:t>Business Combinations.</w:t>
      </w:r>
      <w:r>
        <w:rPr>
          <w:rFonts w:ascii="Arial" w:cs="Arial" w:eastAsia="Arial" w:hAnsi="Arial"/>
          <w:sz w:val="17"/>
          <w:szCs w:val="17"/>
          <w:color w:val="231F20"/>
        </w:rPr>
        <w:t xml:space="preserve"> The purchase price was allocated to intangible assets in the amount of $12.0 million and goodwill in the amount of $204.3 million based on the respective estimated fair values.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w:t>
      </w:r>
    </w:p>
    <w:p>
      <w:pPr>
        <w:spacing w:after="0" w:line="17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 xml:space="preserve">In February 2021, the Company entered into a stock purchase agreement whereby the Company acquired all of the issued and outstanding shares of an observability data pipeline tool company with the purchase price paid in cash and Class A common stock. The acquisition was accounted for as a business combination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purchase price was allocated to intangible assets in the amount of $1.7 million and goodwill in the amount of $34.3 million based on the respective estimated fair values. The resulting goodwill is not deductible for income tax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231F20"/>
        </w:rPr>
        <w:t>Pro forma results of operations for this acquisition have not been presented because they were not material to the consolidated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231F20"/>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231F20"/>
        </w:rPr>
        <w:t>Business Combinations</w:t>
      </w:r>
      <w:r>
        <w:rPr>
          <w:rFonts w:ascii="Arial" w:cs="Arial" w:eastAsia="Arial" w:hAnsi="Arial"/>
          <w:sz w:val="18"/>
          <w:szCs w:val="18"/>
          <w:color w:val="231F20"/>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Intangible amortization expense was approximately $7.6 million, $4.4 million and $0.9 million for the years ended December 31, 2022, 2021 and 2020, respectively. Amortization of developed technology and customer relationships are included in cost of revenue on the Company’s consolidated statement of operations and comprehensive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980"/>
              <w:spacing w:after="0"/>
              <w:rPr>
                <w:sz w:val="20"/>
                <w:szCs w:val="20"/>
                <w:color w:val="auto"/>
              </w:rPr>
            </w:pPr>
            <w:r>
              <w:rPr>
                <w:rFonts w:ascii="Arial" w:cs="Arial" w:eastAsia="Arial" w:hAnsi="Arial"/>
                <w:sz w:val="18"/>
                <w:szCs w:val="18"/>
                <w:color w:val="231F20"/>
              </w:rPr>
              <w:t>As of December 31, 2022, future amortization expense by year is expected to be as follows (in thousands):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9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
        </w:trPr>
        <w:tc>
          <w:tcPr>
            <w:tcW w:w="9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978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80" w:type="dxa"/>
            <w:vAlign w:val="bottom"/>
          </w:tcPr>
          <w:p>
            <w:pPr>
              <w:ind w:left="980"/>
              <w:spacing w:after="0"/>
              <w:rPr>
                <w:sz w:val="20"/>
                <w:szCs w:val="20"/>
                <w:color w:val="auto"/>
              </w:rPr>
            </w:pPr>
            <w:r>
              <w:rPr>
                <w:rFonts w:ascii="Arial" w:cs="Arial" w:eastAsia="Arial" w:hAnsi="Arial"/>
                <w:sz w:val="18"/>
                <w:szCs w:val="18"/>
                <w:color w:val="231F20"/>
              </w:rPr>
              <w:t>The changes in the carrying amount of goodwill were as follows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
        </w:trPr>
        <w:tc>
          <w:tcPr>
            <w:tcW w:w="9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292,176</w:t>
            </w:r>
          </w:p>
        </w:tc>
        <w:tc>
          <w:tcPr>
            <w:tcW w:w="0" w:type="dxa"/>
            <w:vAlign w:val="bottom"/>
          </w:tcPr>
          <w:p>
            <w:pPr>
              <w:spacing w:after="0"/>
              <w:rPr>
                <w:sz w:val="1"/>
                <w:szCs w:val="1"/>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 Acquisitions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56,553</w:t>
            </w:r>
          </w:p>
        </w:tc>
        <w:tc>
          <w:tcPr>
            <w:tcW w:w="0" w:type="dxa"/>
            <w:vAlign w:val="bottom"/>
          </w:tcPr>
          <w:p>
            <w:pPr>
              <w:spacing w:after="0"/>
              <w:rPr>
                <w:sz w:val="1"/>
                <w:szCs w:val="1"/>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348,277</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231F20"/>
        </w:rPr>
        <w:t>7. Accrued Expenses and Other Current Liabilities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Accrued expenses and other current liabilities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cloud hosting and infrastructure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compensation and commissions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43,050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 liability and sales tax</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16,353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 - stock options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111,284</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Convertible Senior Notes</w:t>
      </w:r>
    </w:p>
    <w:p>
      <w:pPr>
        <w:spacing w:after="0" w:line="229"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61"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1460" w:hanging="480"/>
        <w:spacing w:after="0" w:line="279" w:lineRule="auto"/>
        <w:tabs>
          <w:tab w:leader="none" w:pos="1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3" w:lineRule="exact"/>
        <w:rPr>
          <w:rFonts w:ascii="Arial" w:cs="Arial" w:eastAsia="Arial" w:hAnsi="Arial"/>
          <w:sz w:val="17"/>
          <w:szCs w:val="17"/>
          <w:color w:val="auto"/>
        </w:rPr>
      </w:pPr>
    </w:p>
    <w:p>
      <w:pPr>
        <w:jc w:val="both"/>
        <w:ind w:left="1460" w:hanging="480"/>
        <w:spacing w:after="0" w:line="286" w:lineRule="auto"/>
        <w:tabs>
          <w:tab w:leader="none" w:pos="145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1460" w:hanging="480"/>
        <w:spacing w:after="0" w:line="277" w:lineRule="auto"/>
        <w:tabs>
          <w:tab w:leader="none" w:pos="14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1460" w:hanging="480"/>
        <w:spacing w:after="0"/>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as set forth in the indenture governing the 2025 Notes (“the Indenture”).</w:t>
      </w:r>
    </w:p>
    <w:p>
      <w:pPr>
        <w:spacing w:after="0" w:line="237"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8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During the three months ended December 31, 2022,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jc w:val="both"/>
        <w:ind w:right="20"/>
        <w:spacing w:after="0" w:line="263" w:lineRule="auto"/>
        <w:rPr>
          <w:sz w:val="20"/>
          <w:szCs w:val="20"/>
          <w:color w:val="auto"/>
        </w:rPr>
      </w:pPr>
      <w:r>
        <w:rPr>
          <w:rFonts w:ascii="Arial" w:cs="Arial" w:eastAsia="Arial" w:hAnsi="Arial"/>
          <w:sz w:val="18"/>
          <w:szCs w:val="18"/>
          <w:color w:val="auto"/>
        </w:rPr>
        <w:t>on, and including, the last trading day of the quarter ended December 31, 2022. Therefore the 2025 Notes are not convertible, in whole or in part, at the option of the holders between January 1, 2023 through March 31, 2023. Whether the 2025 Notes will be convertible following such period will depend on the continued satisfaction of this condition or another conversion condition in the future.</w:t>
      </w:r>
    </w:p>
    <w:p>
      <w:pPr>
        <w:spacing w:after="0" w:line="184"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When a conversion notice is received, the Company has the option to pay or deliver cash, shares of the Company’s common stock, or a combination thereof. During the year ended December 31, 2022, the Company received and settled an immaterial amount of conversion notices from the holders in cash and as of December 31, 2022, the 2025 Notes were classified as long-term debt on the Company's consolidated balance sheet.</w:t>
      </w:r>
    </w:p>
    <w:p>
      <w:pPr>
        <w:spacing w:after="0" w:line="165"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7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On January 1, 2021 the Company adopted ASU No. 2020-06.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16"/>
        </w:trPr>
        <w:tc>
          <w:tcPr>
            <w:tcW w:w="8280" w:type="dxa"/>
            <w:vAlign w:val="bottom"/>
            <w:shd w:val="clear" w:color="auto" w:fill="CCEEFF"/>
          </w:tcPr>
          <w:p>
            <w:pPr>
              <w:jc w:val="center"/>
              <w:ind w:right="6030"/>
              <w:spacing w:after="0"/>
              <w:rPr>
                <w:sz w:val="20"/>
                <w:szCs w:val="20"/>
                <w:color w:val="auto"/>
              </w:rPr>
            </w:pPr>
            <w:r>
              <w:rPr>
                <w:rFonts w:ascii="Arial" w:cs="Arial" w:eastAsia="Arial" w:hAnsi="Arial"/>
                <w:sz w:val="18"/>
                <w:szCs w:val="18"/>
                <w:color w:val="auto"/>
                <w:w w:val="90"/>
              </w:rPr>
              <w:t>Convertible senior notes,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Principal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747,496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747,500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(12,018)</w:t>
            </w:r>
          </w:p>
        </w:tc>
      </w:tr>
      <w:tr>
        <w:trPr>
          <w:trHeight w:val="223"/>
        </w:trPr>
        <w:tc>
          <w:tcPr>
            <w:tcW w:w="8280" w:type="dxa"/>
            <w:vAlign w:val="bottom"/>
          </w:tcPr>
          <w:p>
            <w:pPr>
              <w:jc w:val="center"/>
              <w:ind w:right="5990"/>
              <w:spacing w:after="0"/>
              <w:rPr>
                <w:sz w:val="20"/>
                <w:szCs w:val="20"/>
                <w:color w:val="auto"/>
              </w:rPr>
            </w:pPr>
            <w:r>
              <w:rPr>
                <w:rFonts w:ascii="Arial" w:cs="Arial" w:eastAsia="Arial" w:hAnsi="Arial"/>
                <w:sz w:val="18"/>
                <w:szCs w:val="18"/>
                <w:color w:val="auto"/>
                <w:w w:val="91"/>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738,847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735,482</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2022, the total estimated fair value of the 2025 Notes was approximately $819.4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interest expense related to the 2025 Notes for the years ended December 31, 2022 and 2021 (in thousands):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17,621</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19,267</w:t>
            </w:r>
          </w:p>
        </w:tc>
      </w:tr>
      <w:tr>
        <w:trPr>
          <w:trHeight w:val="20"/>
        </w:trPr>
        <w:tc>
          <w:tcPr>
            <w:tcW w:w="6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Commitments and Contingencies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Company enters into non-cancelable purchase commitments and operating leases in the normal course of business. Non-cancelable purchase commitments for business operations and operating lease obligations total $721.5 million and $326.6 million, respectively, as of December 31, 2022, due primarily over the next five years. Purchase commitments for business operations are primarily related to cloud hosting and other software-based services.</w:t>
      </w:r>
    </w:p>
    <w:p>
      <w:pPr>
        <w:spacing w:after="0" w:line="18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also issued long-term debt to finance the business. The principal and future interest payments related to the 2025 Notes are $749.9 million.</w:t>
      </w:r>
    </w:p>
    <w:p>
      <w:pPr>
        <w:spacing w:after="0" w:line="17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—In January 2016, the Company recorded a $5.4 million contingent Federal payroll tax liability in conjunction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common stock repurchase transactions, as part of a capital raise, with </w:t>
      </w:r>
      <w:r>
        <w:rPr>
          <w:rFonts w:ascii="Arial" w:cs="Arial" w:eastAsia="Arial" w:hAnsi="Arial"/>
          <w:sz w:val="18"/>
          <w:szCs w:val="18"/>
          <w:color w:val="231F20"/>
        </w:rPr>
        <w:t>certain of its employees. The potential payroll tax treatment of these transactions was</w:t>
      </w:r>
      <w:r>
        <w:rPr>
          <w:rFonts w:ascii="Arial" w:cs="Arial" w:eastAsia="Arial" w:hAnsi="Arial"/>
          <w:sz w:val="18"/>
          <w:szCs w:val="18"/>
          <w:color w:val="auto"/>
        </w:rPr>
        <w:t xml:space="preserve"> </w:t>
      </w:r>
      <w:r>
        <w:rPr>
          <w:rFonts w:ascii="Arial" w:cs="Arial" w:eastAsia="Arial" w:hAnsi="Arial"/>
          <w:sz w:val="18"/>
          <w:szCs w:val="18"/>
          <w:color w:val="231F20"/>
        </w:rPr>
        <w:t>subject to uncertainty, and the contingent payroll tax liability was deemed probable and reasonably estimable. On April 15, 2020, the period of limitations for assessing the contingent Federal payroll tax liability expired and the Company was legally released from being the primary obligor. As a result, the Company recognized a $5.6 million benefit in the operating expenses section of the consolidated statement of operations during the year ended December 31, 2020.</w:t>
      </w:r>
    </w:p>
    <w:p>
      <w:pPr>
        <w:spacing w:after="0" w:line="192" w:lineRule="exact"/>
        <w:rPr>
          <w:sz w:val="20"/>
          <w:szCs w:val="20"/>
          <w:color w:val="auto"/>
        </w:rPr>
      </w:pPr>
    </w:p>
    <w:p>
      <w:pPr>
        <w:jc w:val="both"/>
        <w:ind w:right="20" w:firstLine="972"/>
        <w:spacing w:after="0" w:line="259" w:lineRule="auto"/>
        <w:rPr>
          <w:sz w:val="20"/>
          <w:szCs w:val="20"/>
          <w:color w:val="auto"/>
        </w:rPr>
      </w:pPr>
      <w:r>
        <w:rPr>
          <w:rFonts w:ascii="Arial" w:cs="Arial" w:eastAsia="Arial" w:hAnsi="Arial"/>
          <w:sz w:val="18"/>
          <w:szCs w:val="18"/>
          <w:b w:val="1"/>
          <w:bCs w:val="1"/>
          <w:i w:val="1"/>
          <w:iCs w:val="1"/>
          <w:color w:val="231F20"/>
        </w:rPr>
        <w:t>401(k) Plan</w:t>
      </w:r>
      <w:r>
        <w:rPr>
          <w:rFonts w:ascii="Arial" w:cs="Arial" w:eastAsia="Arial" w:hAnsi="Arial"/>
          <w:sz w:val="18"/>
          <w:szCs w:val="18"/>
          <w:color w:val="231F20"/>
        </w:rPr>
        <w:t>—The Company sponsors a 401(k) defined contribution plan covering all eligible U.S. employees. The Company is responsible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 xml:space="preserve">for administrative costs of the 401(k) plan and beginning on January 1, 2022, the Company began making matching contributions to the 401(k) plan. For the year ended </w:t>
      </w:r>
      <w:r>
        <w:rPr>
          <w:rFonts w:ascii="Arial" w:cs="Arial" w:eastAsia="Arial" w:hAnsi="Arial"/>
          <w:sz w:val="18"/>
          <w:szCs w:val="18"/>
          <w:color w:val="000000"/>
        </w:rPr>
        <w:t>December 31, 2022</w:t>
      </w:r>
      <w:r>
        <w:rPr>
          <w:rFonts w:ascii="Arial" w:cs="Arial" w:eastAsia="Arial" w:hAnsi="Arial"/>
          <w:sz w:val="18"/>
          <w:szCs w:val="18"/>
          <w:color w:val="231F20"/>
        </w:rPr>
        <w:t>, the Company incurred expense of $5.7 million for matching contributions. The Company did not make any matching contributions to the 401(k) plan for the years ended December 31, 2021 and 2020.</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b w:val="1"/>
          <w:bCs w:val="1"/>
          <w:i w:val="1"/>
          <w:iCs w:val="1"/>
          <w:color w:val="231F20"/>
        </w:rPr>
        <w:t>Legal Matters</w:t>
      </w:r>
      <w:r>
        <w:rPr>
          <w:rFonts w:ascii="Arial" w:cs="Arial" w:eastAsia="Arial" w:hAnsi="Arial"/>
          <w:sz w:val="18"/>
          <w:szCs w:val="18"/>
          <w:color w:val="231F20"/>
        </w:rPr>
        <w:t>—The Company is involved from time to time in various claims and legal actions arising in the ordinary course of business.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i w:val="1"/>
          <w:iCs w:val="1"/>
          <w:color w:val="231F20"/>
        </w:rPr>
        <w:t>Indemnification</w:t>
      </w:r>
      <w:r>
        <w:rPr>
          <w:rFonts w:ascii="Arial" w:cs="Arial" w:eastAsia="Arial" w:hAnsi="Arial"/>
          <w:sz w:val="17"/>
          <w:szCs w:val="17"/>
          <w:color w:val="231F20"/>
        </w:rPr>
        <w:t>—The Company enters into indemnification provisions under some agreements with other parties in the ordinary course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231F20"/>
        </w:rPr>
        <w:t>10. Leases</w:t>
      </w:r>
    </w:p>
    <w:p>
      <w:pPr>
        <w:spacing w:after="0" w:line="229"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The Company has entered into various non-cancelable operating leases for its facilities expiring between fiscal 2023 and 2033.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Rent expense for the years ended December 31, 2022, 2021 and 2020 was $34.0 million, $23.8 million, and $20.8 million, respectively.</w:t>
      </w:r>
    </w:p>
    <w:p>
      <w:pPr>
        <w:spacing w:after="0" w:line="23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The Company recorded $1.0 million in sub-lease income for each of the years ended December 31, 2022, 2021 and 2020. Sub-lease income is recorded as a credit to rent expense.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The components of lease cost recognized within the Company’s consolidated statements of operations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non-cash lease expense of $21.4 million, $17.2 million, and $14.0 million for the years ended December 31, 2022, 2021 and 2020, respectively.</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7"/>
          <w:szCs w:val="17"/>
          <w:color w:val="231F20"/>
        </w:rPr>
        <w:t>Supplemental cash flow information and non-cash activity related to the Company’s operating leases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48,404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17,379</w:t>
            </w:r>
          </w:p>
        </w:tc>
        <w:tc>
          <w:tcPr>
            <w:tcW w:w="20" w:type="dxa"/>
            <w:vAlign w:val="bottom"/>
          </w:tcPr>
          <w:p>
            <w:pPr>
              <w:spacing w:after="0"/>
              <w:rPr>
                <w:sz w:val="20"/>
                <w:szCs w:val="20"/>
                <w:color w:val="auto"/>
              </w:rPr>
            </w:pPr>
          </w:p>
        </w:tc>
      </w:tr>
      <w:tr>
        <w:trPr>
          <w:trHeight w:val="512"/>
        </w:trPr>
        <w:tc>
          <w:tcPr>
            <w:tcW w:w="8820" w:type="dxa"/>
            <w:vAlign w:val="bottom"/>
            <w:gridSpan w:val="5"/>
          </w:tcPr>
          <w:p>
            <w:pPr>
              <w:ind w:left="980"/>
              <w:spacing w:after="0"/>
              <w:rPr>
                <w:sz w:val="20"/>
                <w:szCs w:val="20"/>
                <w:color w:val="auto"/>
              </w:rPr>
            </w:pPr>
            <w:r>
              <w:rPr>
                <w:rFonts w:ascii="Arial" w:cs="Arial" w:eastAsia="Arial" w:hAnsi="Arial"/>
                <w:sz w:val="18"/>
                <w:szCs w:val="18"/>
                <w:color w:val="231F20"/>
                <w:w w:val="91"/>
              </w:rPr>
              <w:t>Maturities of lease liabilities by fiscal year for the Company’s operating leases are as follows (in thousands):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6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5"/>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19,185</w:t>
            </w: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48,761</w:t>
            </w:r>
          </w:p>
        </w:tc>
        <w:tc>
          <w:tcPr>
            <w:tcW w:w="20" w:type="dxa"/>
            <w:vAlign w:val="bottom"/>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(27,685)</w:t>
            </w:r>
          </w:p>
        </w:tc>
        <w:tc>
          <w:tcPr>
            <w:tcW w:w="20" w:type="dxa"/>
            <w:vAlign w:val="bottom"/>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98,675</w:t>
            </w:r>
          </w:p>
        </w:tc>
        <w:tc>
          <w:tcPr>
            <w:tcW w:w="20" w:type="dxa"/>
            <w:vAlign w:val="bottom"/>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2022, the Company had various operating leases that had not yet commenced, which are excluded from the table above. The operating leases will commence between fiscal year 2023 and 2025 with total undiscounted future payments of $200.3 million and a weighted-average lease term of 8.9 years.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Weighted average remaining lease term and discount rate for the Company’s operating leases are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4.55 %</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Revenue by location is determined by the billing address of the customer. The following table sets forth revenue by geographic area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449,899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153,567</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603,466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231F20"/>
        </w:rPr>
        <w:t>Other than the United States, no other individual country accounted for 10% or more of total revenue for the years ended December 31, 2022, 2021, or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As of December 31, 2022 and 2021, unbilled accounts receivable of approximately $60.0 million and $44.2 million, respectively, was included in accounts receivable on the Company’s consolidated balance sheets.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During the years ended December 31, 2022 and 2021, the Company charged $2.7 million and $1.7 million, respectively, of accounts receivable deemed uncollectible against the allowance for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Revenue recognized during the years ended December 31, 2022, 2021 and 2020 which was included in the deferred revenue balances at the beginning of each respective period, was $374.6 million, $206.6 million, and $126.8 million.</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As of December 31, 2022, and 2021, the aggregate transaction price allocated to remaining performance obligations was $1,057.2 million and $815.0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Deferred contract costs on the Company’s consolidated balance sheets were $88.4 million and $65.3 million as of December 31, 2022 and 2021, respectively. Amortization expense was $28.0 million, $17.9 million and $10.4 million for the years ended December 31, 2022,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79" w:name="page80"/>
    <w:bookmarkEnd w:id="79"/>
    <w:p>
      <w:pPr>
        <w:ind w:left="660"/>
        <w:spacing w:after="0"/>
        <w:rPr>
          <w:sz w:val="20"/>
          <w:szCs w:val="20"/>
          <w:color w:val="auto"/>
        </w:rPr>
      </w:pPr>
      <w:r>
        <w:rPr>
          <w:rFonts w:ascii="Arial" w:cs="Arial" w:eastAsia="Arial" w:hAnsi="Arial"/>
          <w:sz w:val="17"/>
          <w:szCs w:val="17"/>
          <w:color w:val="auto"/>
        </w:rPr>
        <w:t>During the year ended December 31, 2022, 24,517,506 shares of Class B common stock were converted into Class A common stock.</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the Company had authorized 2,000,000,000 shares of Class A common stock and 310,000,000 shares of Class B common stock, each at a par value per share of $0.00001, of which 293,573,825 shares of Class A common stock and 25,616,018 shares of Class B common stock were issued and outstanding.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As of December 31, 2022 and 2021, the Company had reserved shares of common stock for future issuance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120" w:type="dxa"/>
            <w:vAlign w:val="bottom"/>
            <w:gridSpan w:val="3"/>
          </w:tcPr>
          <w:p>
            <w:pPr>
              <w:ind w:left="11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0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and RSUs outstanding</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30,930,540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29,453,830</w:t>
            </w: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Shares available for future option and RSU grants</w:t>
            </w:r>
          </w:p>
        </w:tc>
        <w:tc>
          <w:tcPr>
            <w:tcW w:w="1520" w:type="dxa"/>
            <w:vAlign w:val="bottom"/>
          </w:tcPr>
          <w:p>
            <w:pPr>
              <w:jc w:val="right"/>
              <w:spacing w:after="0"/>
              <w:rPr>
                <w:sz w:val="20"/>
                <w:szCs w:val="20"/>
                <w:color w:val="auto"/>
              </w:rPr>
            </w:pPr>
            <w:r>
              <w:rPr>
                <w:rFonts w:ascii="Arial" w:cs="Arial" w:eastAsia="Arial" w:hAnsi="Arial"/>
                <w:sz w:val="18"/>
                <w:szCs w:val="18"/>
                <w:color w:val="auto"/>
              </w:rPr>
              <w:t>63,291,013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54,279,321</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subject to the employee stock purchase plan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14,806,591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11,989,812</w:t>
            </w:r>
          </w:p>
        </w:tc>
      </w:tr>
      <w:tr>
        <w:trPr>
          <w:trHeight w:val="223"/>
        </w:trPr>
        <w:tc>
          <w:tcPr>
            <w:tcW w:w="80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109,028,144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95,722,963</w:t>
            </w: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7"/>
          <w:szCs w:val="17"/>
          <w:color w:val="auto"/>
        </w:rPr>
        <w:t>The Company has two equity incentive plans, the 2012 Equity Incentive Plan (the “2012 Plan”) and the 2019 Equity Incentive Plan (the “2019 Plan”). In connection with the Company's initial public offering ("the IPO"), the Company ceased granting awards under the 2012 Plan, and all</w:t>
      </w:r>
    </w:p>
    <w:p>
      <w:pPr>
        <w:jc w:val="both"/>
        <w:spacing w:after="0" w:line="259" w:lineRule="auto"/>
        <w:rPr>
          <w:sz w:val="20"/>
          <w:szCs w:val="20"/>
          <w:color w:val="auto"/>
        </w:rPr>
      </w:pPr>
      <w:r>
        <w:rPr>
          <w:rFonts w:ascii="Arial" w:cs="Arial" w:eastAsia="Arial" w:hAnsi="Arial"/>
          <w:sz w:val="18"/>
          <w:szCs w:val="18"/>
          <w:color w:val="auto"/>
        </w:rPr>
        <w:t xml:space="preserve">shares that remained available for issuance under the 2012 Plan at that time were transferred to the </w:t>
      </w:r>
      <w:r>
        <w:rPr>
          <w:rFonts w:ascii="Arial" w:cs="Arial" w:eastAsia="Arial" w:hAnsi="Arial"/>
          <w:sz w:val="18"/>
          <w:szCs w:val="18"/>
          <w:color w:val="231F20"/>
        </w:rPr>
        <w:t>2019 Plan</w:t>
      </w:r>
      <w:r>
        <w:rPr>
          <w:rFonts w:ascii="Arial" w:cs="Arial" w:eastAsia="Arial" w:hAnsi="Arial"/>
          <w:sz w:val="18"/>
          <w:szCs w:val="18"/>
          <w:color w:val="auto"/>
        </w:rPr>
        <w:t xml:space="preserve">. </w:t>
      </w:r>
      <w:r>
        <w:rPr>
          <w:rFonts w:ascii="Arial" w:cs="Arial" w:eastAsia="Arial" w:hAnsi="Arial"/>
          <w:sz w:val="18"/>
          <w:szCs w:val="18"/>
          <w:color w:val="231F20"/>
        </w:rPr>
        <w:t>Additionally, as of December 31, 2022, there</w:t>
      </w:r>
      <w:r>
        <w:rPr>
          <w:rFonts w:ascii="Arial" w:cs="Arial" w:eastAsia="Arial" w:hAnsi="Arial"/>
          <w:sz w:val="18"/>
          <w:szCs w:val="18"/>
          <w:color w:val="auto"/>
        </w:rPr>
        <w:t xml:space="preserve"> </w:t>
      </w:r>
      <w:r>
        <w:rPr>
          <w:rFonts w:ascii="Arial" w:cs="Arial" w:eastAsia="Arial" w:hAnsi="Arial"/>
          <w:sz w:val="18"/>
          <w:szCs w:val="18"/>
          <w:color w:val="231F20"/>
        </w:rPr>
        <w:t xml:space="preserve">were 18,523,300 shares of Class A common stock issuable upon conversion of Class B common stock underlying options outstanding under the 2012 Plan. </w:t>
      </w:r>
      <w:r>
        <w:rPr>
          <w:rFonts w:ascii="Arial" w:cs="Arial" w:eastAsia="Arial" w:hAnsi="Arial"/>
          <w:sz w:val="18"/>
          <w:szCs w:val="18"/>
          <w:color w:val="000000"/>
        </w:rPr>
        <w:t xml:space="preserve">Under the </w:t>
      </w:r>
      <w:r>
        <w:rPr>
          <w:rFonts w:ascii="Arial" w:cs="Arial" w:eastAsia="Arial" w:hAnsi="Arial"/>
          <w:sz w:val="18"/>
          <w:szCs w:val="18"/>
          <w:color w:val="231F20"/>
        </w:rPr>
        <w:t>2019 Plan</w:t>
      </w:r>
      <w:r>
        <w:rPr>
          <w:rFonts w:ascii="Arial" w:cs="Arial" w:eastAsia="Arial" w:hAnsi="Arial"/>
          <w:sz w:val="18"/>
          <w:szCs w:val="18"/>
          <w:color w:val="000000"/>
        </w:rPr>
        <w:t xml:space="preserve">,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w:t>
      </w:r>
      <w:r>
        <w:rPr>
          <w:rFonts w:ascii="Arial" w:cs="Arial" w:eastAsia="Arial" w:hAnsi="Arial"/>
          <w:sz w:val="18"/>
          <w:szCs w:val="18"/>
          <w:color w:val="231F20"/>
        </w:rPr>
        <w:t>As of December 31, 2022, there were 63,291,013 shares</w:t>
      </w:r>
      <w:r>
        <w:rPr>
          <w:rFonts w:ascii="Arial" w:cs="Arial" w:eastAsia="Arial" w:hAnsi="Arial"/>
          <w:sz w:val="18"/>
          <w:szCs w:val="18"/>
          <w:color w:val="000000"/>
        </w:rPr>
        <w:t xml:space="preserve"> </w:t>
      </w:r>
      <w:r>
        <w:rPr>
          <w:rFonts w:ascii="Arial" w:cs="Arial" w:eastAsia="Arial" w:hAnsi="Arial"/>
          <w:sz w:val="18"/>
          <w:szCs w:val="18"/>
          <w:color w:val="231F20"/>
        </w:rPr>
        <w:t>available for grant under the 2019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following table summarizes the assumptions used during the years ended December 31, 2022,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52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640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Arial" w:cs="Arial" w:eastAsia="Arial" w:hAnsi="Arial"/>
                <w:sz w:val="14"/>
                <w:szCs w:val="14"/>
                <w:b w:val="1"/>
                <w:bCs w:val="1"/>
                <w:color w:val="auto"/>
                <w:w w:val="88"/>
              </w:rPr>
              <w:t xml:space="preserve">2022 </w:t>
            </w:r>
            <w:r>
              <w:rPr>
                <w:rFonts w:ascii="Arial" w:cs="Arial" w:eastAsia="Arial" w:hAnsi="Arial"/>
                <w:sz w:val="18"/>
                <w:szCs w:val="18"/>
                <w:b w:val="1"/>
                <w:bCs w:val="1"/>
                <w:color w:val="auto"/>
                <w:w w:val="88"/>
                <w:vertAlign w:val="superscript"/>
              </w:rPr>
              <w:t>(1)</w:t>
            </w:r>
          </w:p>
        </w:tc>
        <w:tc>
          <w:tcPr>
            <w:tcW w:w="1640" w:type="dxa"/>
            <w:vAlign w:val="bottom"/>
            <w:gridSpan w:val="2"/>
          </w:tcPr>
          <w:p>
            <w:pPr>
              <w:jc w:val="center"/>
              <w:ind w:left="28"/>
              <w:spacing w:after="0" w:line="196" w:lineRule="exact"/>
              <w:rPr>
                <w:sz w:val="20"/>
                <w:szCs w:val="20"/>
                <w:color w:val="auto"/>
              </w:rPr>
            </w:pPr>
            <w:r>
              <w:rPr>
                <w:rFonts w:ascii="Arial" w:cs="Arial" w:eastAsia="Arial" w:hAnsi="Arial"/>
                <w:sz w:val="14"/>
                <w:szCs w:val="14"/>
                <w:b w:val="1"/>
                <w:bCs w:val="1"/>
                <w:color w:val="auto"/>
                <w:w w:val="84"/>
              </w:rPr>
              <w:t xml:space="preserve">2021 </w:t>
            </w:r>
            <w:r>
              <w:rPr>
                <w:rFonts w:ascii="Arial" w:cs="Arial" w:eastAsia="Arial" w:hAnsi="Arial"/>
                <w:sz w:val="18"/>
                <w:szCs w:val="18"/>
                <w:b w:val="1"/>
                <w:bCs w:val="1"/>
                <w:color w:val="auto"/>
                <w:w w:val="84"/>
                <w:vertAlign w:val="superscript"/>
              </w:rPr>
              <w:t>(1)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38.9%</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6.1</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$41.19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There were no stock options granted during the years ended December 31, 2022 and 2021.</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231F20"/>
        </w:rPr>
        <w:t>Expected volatility</w:t>
      </w:r>
      <w:r>
        <w:rPr>
          <w:rFonts w:ascii="Arial" w:cs="Arial" w:eastAsia="Arial" w:hAnsi="Arial"/>
          <w:sz w:val="16"/>
          <w:szCs w:val="16"/>
          <w:color w:val="231F20"/>
        </w:rPr>
        <w:t>—The Company performed an analysis of its peer companies with similar expected lives to develop an expected volatility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assumption.</w:t>
      </w:r>
    </w:p>
    <w:p>
      <w:pPr>
        <w:spacing w:after="0" w:line="21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i w:val="1"/>
          <w:iCs w:val="1"/>
          <w:color w:val="231F20"/>
        </w:rPr>
        <w:t>Expected term</w:t>
      </w:r>
      <w:r>
        <w:rPr>
          <w:rFonts w:ascii="Arial" w:cs="Arial" w:eastAsia="Arial" w:hAnsi="Arial"/>
          <w:sz w:val="18"/>
          <w:szCs w:val="18"/>
          <w:color w:val="231F20"/>
        </w:rPr>
        <w:t>—Derived from the life of the options granted under the option plan and is based on the simplified method which is essentially</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weighted average of the vesting period and contractual term.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231F20"/>
        </w:rPr>
        <w:t>Risk-free interest rate</w:t>
      </w:r>
      <w:r>
        <w:rPr>
          <w:rFonts w:ascii="Arial" w:cs="Arial" w:eastAsia="Arial" w:hAnsi="Arial"/>
          <w:sz w:val="18"/>
          <w:szCs w:val="18"/>
          <w:color w:val="231F20"/>
        </w:rPr>
        <w:t>—Based upon quoted market yields for the United States Treasury debt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jc w:val="both"/>
        <w:ind w:firstLine="972"/>
        <w:spacing w:after="0" w:line="277" w:lineRule="auto"/>
        <w:rPr>
          <w:sz w:val="20"/>
          <w:szCs w:val="20"/>
          <w:color w:val="auto"/>
        </w:rPr>
      </w:pPr>
      <w:r>
        <w:rPr>
          <w:rFonts w:ascii="Arial" w:cs="Arial" w:eastAsia="Arial" w:hAnsi="Arial"/>
          <w:sz w:val="18"/>
          <w:szCs w:val="18"/>
          <w:i w:val="1"/>
          <w:iCs w:val="1"/>
          <w:color w:val="231F20"/>
        </w:rPr>
        <w:t>Expected dividend yield</w:t>
      </w:r>
      <w:r>
        <w:rPr>
          <w:rFonts w:ascii="Arial" w:cs="Arial" w:eastAsia="Arial" w:hAnsi="Arial"/>
          <w:sz w:val="18"/>
          <w:szCs w:val="18"/>
          <w:color w:val="231F20"/>
        </w:rPr>
        <w:t>—Since the Company has never paid and has no intention to pay cash dividends on common stock, the expected</w:t>
      </w:r>
      <w:r>
        <w:rPr>
          <w:rFonts w:ascii="Arial" w:cs="Arial" w:eastAsia="Arial" w:hAnsi="Arial"/>
          <w:sz w:val="18"/>
          <w:szCs w:val="18"/>
          <w:i w:val="1"/>
          <w:iCs w:val="1"/>
          <w:color w:val="231F20"/>
        </w:rPr>
        <w:t xml:space="preserve"> </w:t>
      </w:r>
      <w:r>
        <w:rPr>
          <w:rFonts w:ascii="Arial" w:cs="Arial" w:eastAsia="Arial" w:hAnsi="Arial"/>
          <w:sz w:val="18"/>
          <w:szCs w:val="18"/>
          <w:color w:val="231F20"/>
        </w:rPr>
        <w:t>dividend yield is zero.</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i w:val="1"/>
          <w:iCs w:val="1"/>
          <w:color w:val="231F20"/>
        </w:rPr>
        <w:t>Fair value of the common stock</w:t>
      </w:r>
      <w:r>
        <w:rPr>
          <w:rFonts w:ascii="Arial" w:cs="Arial" w:eastAsia="Arial" w:hAnsi="Arial"/>
          <w:sz w:val="18"/>
          <w:szCs w:val="18"/>
          <w:color w:val="231F20"/>
        </w:rPr>
        <w:t>—Since the Company’s IPO, the fair value of the underlying common stock is determined by the closing</w:t>
      </w:r>
      <w:r>
        <w:rPr>
          <w:rFonts w:ascii="Arial" w:cs="Arial" w:eastAsia="Arial" w:hAnsi="Arial"/>
          <w:sz w:val="18"/>
          <w:szCs w:val="18"/>
          <w:i w:val="1"/>
          <w:iCs w:val="1"/>
          <w:color w:val="231F20"/>
        </w:rPr>
        <w:t xml:space="preserve"> </w:t>
      </w:r>
      <w:r>
        <w:rPr>
          <w:rFonts w:ascii="Arial" w:cs="Arial" w:eastAsia="Arial" w:hAnsi="Arial"/>
          <w:sz w:val="18"/>
          <w:szCs w:val="18"/>
          <w:color w:val="231F20"/>
        </w:rPr>
        <w:t>price, on the date of grant, of the Company’s Class A common stock, which is traded publicly on The Nasdaq Global Select Market.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The following table summarizes the Company's stock option activity and weighted-average exercise prices: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1"/>
              </w:rPr>
              <w:t>Weighted-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2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231F20"/>
                <w:w w:val="94"/>
              </w:rPr>
              <w:t>Number of</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231F20"/>
                <w:w w:val="94"/>
              </w:rPr>
              <w:t>Weighted-</w:t>
            </w:r>
          </w:p>
        </w:tc>
        <w:tc>
          <w:tcPr>
            <w:tcW w:w="16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231F20"/>
                <w:w w:val="90"/>
              </w:rPr>
              <w:t>Average</w:t>
            </w:r>
          </w:p>
        </w:tc>
        <w:tc>
          <w:tcPr>
            <w:tcW w:w="200" w:type="dxa"/>
            <w:vAlign w:val="bottom"/>
          </w:tcPr>
          <w:p>
            <w:pPr>
              <w:spacing w:after="0"/>
              <w:rPr>
                <w:sz w:val="12"/>
                <w:szCs w:val="12"/>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231F20"/>
                <w:w w:val="92"/>
              </w:rPr>
              <w:t>Remaining</w:t>
            </w: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231F20"/>
                <w:w w:val="90"/>
              </w:rPr>
              <w:t>Options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231F20"/>
                <w:w w:val="90"/>
              </w:rPr>
              <w:t>Average</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231F20"/>
                <w:w w:val="95"/>
              </w:rPr>
              <w:t>Contractual Life</w:t>
            </w:r>
          </w:p>
        </w:tc>
        <w:tc>
          <w:tcPr>
            <w:tcW w:w="200" w:type="dxa"/>
            <w:vAlign w:val="bottom"/>
          </w:tcPr>
          <w:p>
            <w:pPr>
              <w:spacing w:after="0"/>
              <w:rPr>
                <w:sz w:val="12"/>
                <w:szCs w:val="12"/>
                <w:color w:val="auto"/>
              </w:rPr>
            </w:pPr>
          </w:p>
        </w:tc>
        <w:tc>
          <w:tcPr>
            <w:tcW w:w="13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2"/>
              </w:rPr>
              <w:t>Outstanding</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231F20"/>
                <w:w w:val="91"/>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0"/>
              </w:rPr>
              <w:t>(in Years)</w:t>
            </w: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21,372,561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3,735,819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forfeited or 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18,551,857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1,303,464</w:t>
            </w:r>
          </w:p>
        </w:tc>
        <w:tc>
          <w:tcPr>
            <w:tcW w:w="0" w:type="dxa"/>
            <w:vAlign w:val="bottom"/>
          </w:tcPr>
          <w:p>
            <w:pPr>
              <w:spacing w:after="0"/>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Exercisable—December 31, 2022</w:t>
            </w:r>
          </w:p>
        </w:tc>
        <w:tc>
          <w:tcPr>
            <w:tcW w:w="1520" w:type="dxa"/>
            <w:vAlign w:val="bottom"/>
          </w:tcPr>
          <w:p>
            <w:pPr>
              <w:jc w:val="right"/>
              <w:spacing w:after="0"/>
              <w:rPr>
                <w:sz w:val="20"/>
                <w:szCs w:val="20"/>
                <w:color w:val="auto"/>
              </w:rPr>
            </w:pPr>
            <w:r>
              <w:rPr>
                <w:rFonts w:ascii="Arial" w:cs="Arial" w:eastAsia="Arial" w:hAnsi="Arial"/>
                <w:sz w:val="18"/>
                <w:szCs w:val="18"/>
                <w:color w:val="auto"/>
              </w:rPr>
              <w:t>17,373,753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1,229,289</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As of December 31, 2022, there were 28,557 shares of Class A common stock and 18,523,300 shares of Class B common stock issuable upon the exercise of options outstanding. As of December 31, 2021, there were 31,671 shares of Class A common stock and 21,340,890 shares of Class B common stock issuable upon the exercise of options outstanding.</w:t>
      </w:r>
    </w:p>
    <w:p>
      <w:pPr>
        <w:spacing w:after="0" w:line="18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$10.1 million and $31.6 million as of December 31, 2022 and December 31, 2021, respectively. The weighted-average period over which this compensation cost related to unvested employee awards will be recognized is 0.6 years and 1.3 years as of December 31, 2022 and December 31, 2021, respectively.</w:t>
      </w:r>
    </w:p>
    <w:p>
      <w:pPr>
        <w:spacing w:after="0" w:line="18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231F20"/>
        </w:rPr>
        <w:t>There were no options granted during the years ended December 31, 2022 and 2021. The weighted average grant-date fair value of options granted during the year ended December 31, 2020 was $16.55. The Company received approximately $10.0 million, $14.9 million and $16.0 million in cash proceeds from options exercised during the years ended December 31, 2022, 2021 and 2020, respectively. The intrinsic value of options exercised during the years ended December 31, 2022, 2021 and 2020 was approximately $301.6 million, $579.6 million and $554.3 million, respectively. The aggregate fair value of options vested during the years ended December 31, 2022, 2021 and 2020 was $23.9 million, $28.1 million and $27.6 million, respectively.</w:t>
      </w:r>
    </w:p>
    <w:p>
      <w:pPr>
        <w:spacing w:after="0" w:line="19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no liability recorded related to early exercises of options as of December 31, 2022. As of December 31, 2021, the Company had recorded liabilities related to early exercises of options for 31,500 shares of Class B common stock.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Restricted Stock Units, Restricted Stock Awards and Performance Stock Units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activity for the Company’s unvested RSUs and PSUs: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7"/>
                <w:szCs w:val="17"/>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balance as of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8,081,269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1,439,355</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Awarded</w:t>
            </w:r>
          </w:p>
        </w:tc>
        <w:tc>
          <w:tcPr>
            <w:tcW w:w="1520" w:type="dxa"/>
            <w:vAlign w:val="bottom"/>
          </w:tcPr>
          <w:p>
            <w:pPr>
              <w:jc w:val="right"/>
              <w:spacing w:after="0"/>
              <w:rPr>
                <w:sz w:val="20"/>
                <w:szCs w:val="20"/>
                <w:color w:val="auto"/>
              </w:rPr>
            </w:pPr>
            <w:r>
              <w:rPr>
                <w:rFonts w:ascii="Arial" w:cs="Arial" w:eastAsia="Arial" w:hAnsi="Arial"/>
                <w:sz w:val="18"/>
                <w:szCs w:val="18"/>
                <w:color w:val="auto"/>
              </w:rPr>
              <w:t>7,639,262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balance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12,378,683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909,833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972"/>
        <w:spacing w:after="0" w:line="342" w:lineRule="auto"/>
        <w:rPr>
          <w:sz w:val="20"/>
          <w:szCs w:val="20"/>
          <w:color w:val="auto"/>
        </w:rPr>
      </w:pPr>
      <w:r>
        <w:rPr>
          <w:rFonts w:ascii="Arial" w:cs="Arial" w:eastAsia="Arial" w:hAnsi="Arial"/>
          <w:sz w:val="16"/>
          <w:szCs w:val="16"/>
          <w:color w:val="231F20"/>
        </w:rPr>
        <w:t>The Company granted a total of 1,130,999 restricted shares of Class A common stock in connection with acquisitions during the period of November 2019 to November 2022, which are subject to service-based vesting conditions over approximately four years from the respective grant dates.</w:t>
      </w:r>
    </w:p>
    <w:p>
      <w:pPr>
        <w:spacing w:after="0" w:line="12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Total compensation cost related to unvested RSUs and restricted shares of common stock not yet recognized was approximately $1,151.1 million and $773.6 million as of December 31, 2022 and December 31, 2021, respectively. The weighted-average period over which this compensation cost related to unvested RSUs and restricted shares of common stock will be recognized is 2.9 years and 3.1 years as of December 31, 2022 and December 31, 2021, respectively.</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 xml:space="preserve">Total compensation cost related to unvested PSUs not yet recognized was approximately </w:t>
      </w:r>
      <w:r>
        <w:rPr>
          <w:rFonts w:ascii="Arial" w:cs="Arial" w:eastAsia="Arial" w:hAnsi="Arial"/>
          <w:sz w:val="18"/>
          <w:szCs w:val="18"/>
          <w:color w:val="000000"/>
        </w:rPr>
        <w:t>$19.0 million</w:t>
      </w:r>
      <w:r>
        <w:rPr>
          <w:rFonts w:ascii="Arial" w:cs="Arial" w:eastAsia="Arial" w:hAnsi="Arial"/>
          <w:sz w:val="18"/>
          <w:szCs w:val="18"/>
          <w:color w:val="231F20"/>
        </w:rPr>
        <w:t xml:space="preserve"> as of December 31, 2022. The weighted-average period over which this compensation cost related to unvested PSUs will be recognized is </w:t>
      </w:r>
      <w:r>
        <w:rPr>
          <w:rFonts w:ascii="Arial" w:cs="Arial" w:eastAsia="Arial" w:hAnsi="Arial"/>
          <w:sz w:val="18"/>
          <w:szCs w:val="18"/>
          <w:color w:val="000000"/>
        </w:rPr>
        <w:t>1.4 years</w:t>
      </w:r>
      <w:r>
        <w:rPr>
          <w:rFonts w:ascii="Arial" w:cs="Arial" w:eastAsia="Arial" w:hAnsi="Arial"/>
          <w:sz w:val="18"/>
          <w:szCs w:val="18"/>
          <w:color w:val="231F20"/>
        </w:rPr>
        <w:t xml:space="preserve"> as of December 31, 2022. There were no PSUs outstanding during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231F20"/>
        </w:rPr>
        <w:t>Stock-based compensation expense was included in the consolidated statement of operations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w:t>
            </w: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September 2019, the Board adopted and approved the 2019 ESPP, which became effective on the date of the final prospectus for the Company’s IPO.</w:t>
      </w:r>
    </w:p>
    <w:p>
      <w:pPr>
        <w:spacing w:after="0" w:line="170" w:lineRule="exact"/>
        <w:rPr>
          <w:sz w:val="20"/>
          <w:szCs w:val="20"/>
          <w:color w:val="auto"/>
        </w:rPr>
      </w:pPr>
    </w:p>
    <w:p>
      <w:pPr>
        <w:jc w:val="both"/>
        <w:ind w:firstLine="972"/>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(1)the fair market value of the Company’s Class A common stock on the first trading day of the offering period, or (2)the fair market value of the Company’s Class A common stock on the purchase date, as defined in the ESPP.</w:t>
      </w:r>
    </w:p>
    <w:p>
      <w:pPr>
        <w:spacing w:after="0" w:line="176"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Company recognized $11.2 million, $7.6 million, and $5.0 million of stock-based compensation expense related to the ESPP during the years ended December 31, 2022, 2021, and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2" w:name="page83"/>
    <w:bookmarkEnd w:id="82"/>
    <w:p>
      <w:pPr>
        <w:jc w:val="both"/>
        <w:ind w:right="20" w:firstLine="972"/>
        <w:spacing w:after="0" w:line="277" w:lineRule="auto"/>
        <w:rPr>
          <w:sz w:val="20"/>
          <w:szCs w:val="20"/>
          <w:color w:val="auto"/>
        </w:rPr>
      </w:pPr>
      <w:r>
        <w:rPr>
          <w:rFonts w:ascii="Arial" w:cs="Arial" w:eastAsia="Arial" w:hAnsi="Arial"/>
          <w:sz w:val="18"/>
          <w:szCs w:val="18"/>
          <w:color w:val="auto"/>
        </w:rPr>
        <w:t>As of December 31, 2022, and 2021, $6.0 million and $4.2 million, respectively has been withheld on behalf of employees for a future purchase under the ESPP due to the timing of payroll deductions.</w:t>
      </w:r>
    </w:p>
    <w:p>
      <w:pPr>
        <w:spacing w:after="0" w:line="170"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During the years ended December 31, 2022, 2021, and 2020</w:t>
      </w:r>
      <w:r>
        <w:rPr>
          <w:rFonts w:ascii="Arial" w:cs="Arial" w:eastAsia="Arial" w:hAnsi="Arial"/>
          <w:sz w:val="17"/>
          <w:szCs w:val="17"/>
          <w:color w:val="231F20"/>
        </w:rPr>
        <w:t>,</w:t>
      </w:r>
      <w:r>
        <w:rPr>
          <w:rFonts w:ascii="Arial" w:cs="Arial" w:eastAsia="Arial" w:hAnsi="Arial"/>
          <w:sz w:val="17"/>
          <w:szCs w:val="17"/>
          <w:color w:val="auto"/>
        </w:rPr>
        <w:t xml:space="preserve"> the Company issued 316,875, 291,871, and 447,955 shares of Class A common stock under the ESPP. </w:t>
      </w:r>
      <w:r>
        <w:rPr>
          <w:rFonts w:ascii="Arial" w:cs="Arial" w:eastAsia="Arial" w:hAnsi="Arial"/>
          <w:sz w:val="17"/>
          <w:szCs w:val="17"/>
          <w:color w:val="231F20"/>
        </w:rPr>
        <w:t>As of December 31, 2022, 14,806,591 shares of Class A common stock remain available for grant under the ESPP.</w:t>
      </w:r>
    </w:p>
    <w:p>
      <w:pPr>
        <w:spacing w:after="0" w:line="14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Total compensation cost related to the ESPP not yet recognized was approximately $7.1 million and $3.5 million as of December 31, 2022 and 2021, respectively. The weighted average period over which this compensation cost will be recognized is 0.4 years as of December 31,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Interest Income and Other Income, Net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net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Income Taxes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231F20"/>
        </w:rPr>
        <w:t>Income Taxes</w:t>
      </w:r>
      <w:r>
        <w:rPr>
          <w:rFonts w:ascii="Arial" w:cs="Arial" w:eastAsia="Arial" w:hAnsi="Arial"/>
          <w:sz w:val="18"/>
          <w:szCs w:val="18"/>
          <w:b w:val="1"/>
          <w:bCs w:val="1"/>
          <w:color w:val="231F20"/>
        </w:rPr>
        <w:t>—</w:t>
      </w:r>
      <w:r>
        <w:rPr>
          <w:rFonts w:ascii="Arial" w:cs="Arial" w:eastAsia="Arial" w:hAnsi="Arial"/>
          <w:sz w:val="18"/>
          <w:szCs w:val="18"/>
          <w:color w:val="231F20"/>
        </w:rPr>
        <w:t>For financial reporting purposes, loss before income taxes, includes the following components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CCEEFF"/>
            </w:tcBorders>
          </w:tcPr>
          <w:p>
            <w:pPr>
              <w:spacing w:after="0"/>
              <w:rPr>
                <w:sz w:val="16"/>
                <w:szCs w:val="16"/>
                <w:color w:val="auto"/>
              </w:rPr>
            </w:pPr>
          </w:p>
        </w:tc>
        <w:tc>
          <w:tcPr>
            <w:tcW w:w="3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340" w:type="dxa"/>
            <w:vAlign w:val="bottom"/>
            <w:gridSpan w:val="9"/>
          </w:tcPr>
          <w:p>
            <w:pPr>
              <w:ind w:left="980"/>
              <w:spacing w:after="0"/>
              <w:rPr>
                <w:sz w:val="20"/>
                <w:szCs w:val="20"/>
                <w:color w:val="auto"/>
              </w:rPr>
            </w:pPr>
            <w:r>
              <w:rPr>
                <w:rFonts w:ascii="Arial" w:cs="Arial" w:eastAsia="Arial" w:hAnsi="Arial"/>
                <w:sz w:val="18"/>
                <w:szCs w:val="18"/>
                <w:color w:val="231F20"/>
                <w:w w:val="89"/>
              </w:rPr>
              <w:t>Total income taxes allocated to operations for the years ended December 31, 2022, 2021 and 2020 were as follows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center"/>
              <w:ind w:right="234"/>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Deferred</w:t>
            </w:r>
          </w:p>
        </w:tc>
        <w:tc>
          <w:tcPr>
            <w:tcW w:w="5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0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0" w:type="dxa"/>
            <w:vAlign w:val="bottom"/>
            <w:vMerge w:val="restart"/>
          </w:tcPr>
          <w:p>
            <w:pPr>
              <w:jc w:val="right"/>
              <w:ind w:right="890"/>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7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3" w:name="page84"/>
    <w:bookmarkEnd w:id="83"/>
    <w:p>
      <w:pPr>
        <w:jc w:val="both"/>
        <w:ind w:firstLine="972"/>
        <w:spacing w:after="0" w:line="263" w:lineRule="auto"/>
        <w:rPr>
          <w:sz w:val="20"/>
          <w:szCs w:val="20"/>
          <w:color w:val="auto"/>
        </w:rPr>
      </w:pPr>
      <w:r>
        <w:rPr>
          <w:rFonts w:ascii="Arial" w:cs="Arial" w:eastAsia="Arial" w:hAnsi="Arial"/>
          <w:sz w:val="18"/>
          <w:szCs w:val="18"/>
          <w:b w:val="1"/>
          <w:bCs w:val="1"/>
          <w:i w:val="1"/>
          <w:iCs w:val="1"/>
          <w:color w:val="231F20"/>
        </w:rPr>
        <w:t>Tax Rate Reconciliation</w:t>
      </w:r>
      <w:r>
        <w:rPr>
          <w:rFonts w:ascii="Arial" w:cs="Arial" w:eastAsia="Arial" w:hAnsi="Arial"/>
          <w:sz w:val="18"/>
          <w:szCs w:val="18"/>
          <w:color w:val="231F20"/>
        </w:rPr>
        <w:t>—Income tax expense was $12.1 million, $2.3 million and $2.3 million for the years ended December 31, 2022, 2021</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and 2020, respectively, and differed from the amounts computed by applying the U.S. federal statutory income tax rate of 21% for the years ended December 31, 2022, 2021 and 2020, to pretax loss from operations as a result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federal statutory rate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taxes (net of federal benefit)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change in valuation allowance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25,573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51,892</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Uncertain tax positions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US tax costs on international operations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taxes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Share based compensation deductions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(47,032)</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 to provision</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US R&amp;D tax credits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(9,467)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r>
      <w:tr>
        <w:trPr>
          <w:trHeight w:val="20"/>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231F20"/>
        </w:rPr>
        <w:t>For the year ended December 31, 2022,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231F20"/>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 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 For the twelve months ended December 31, 2022, the Company conformed to this change in tax law.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4" w:name="page85"/>
    <w:bookmarkEnd w:id="84"/>
    <w:p>
      <w:pPr>
        <w:jc w:val="both"/>
        <w:ind w:firstLine="972"/>
        <w:spacing w:after="0" w:line="282" w:lineRule="auto"/>
        <w:rPr>
          <w:sz w:val="20"/>
          <w:szCs w:val="20"/>
          <w:color w:val="auto"/>
        </w:rPr>
      </w:pPr>
      <w:r>
        <w:rPr>
          <w:rFonts w:ascii="Arial" w:cs="Arial" w:eastAsia="Arial" w:hAnsi="Arial"/>
          <w:sz w:val="18"/>
          <w:szCs w:val="18"/>
          <w:b w:val="1"/>
          <w:bCs w:val="1"/>
          <w:color w:val="231F20"/>
        </w:rPr>
        <w:t>Components of Deferred Taxes</w:t>
      </w:r>
      <w:r>
        <w:rPr>
          <w:rFonts w:ascii="Arial" w:cs="Arial" w:eastAsia="Arial" w:hAnsi="Arial"/>
          <w:sz w:val="18"/>
          <w:szCs w:val="18"/>
          <w:color w:val="231F20"/>
        </w:rPr>
        <w:t>—The tax effects of temporary differences that give rise to the deferred tax assets and deferred tax liabilities</w:t>
      </w:r>
      <w:r>
        <w:rPr>
          <w:rFonts w:ascii="Arial" w:cs="Arial" w:eastAsia="Arial" w:hAnsi="Arial"/>
          <w:sz w:val="18"/>
          <w:szCs w:val="18"/>
          <w:b w:val="1"/>
          <w:bCs w:val="1"/>
          <w:color w:val="231F20"/>
        </w:rPr>
        <w:t xml:space="preserve"> </w:t>
      </w:r>
      <w:r>
        <w:rPr>
          <w:rFonts w:ascii="Arial" w:cs="Arial" w:eastAsia="Arial" w:hAnsi="Arial"/>
          <w:sz w:val="18"/>
          <w:szCs w:val="18"/>
          <w:color w:val="231F20"/>
        </w:rPr>
        <w:t>at December 31, 2022 and 2021 are presented below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128,263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Section 174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(174,976)</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(148,648)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39,782</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231F20"/>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2022 and 2021 that it is more likely than not that the Company will realize its U.S. deferred tax assets. As a result, a valuation allowance of $175.0 million and $148.6 million has been provided at December 31, 2022 and 2021, respectively. The valuation allowance changed by $26.3 million and $114.8 million at December 31, 2022 and 2021, respectively.</w:t>
      </w:r>
    </w:p>
    <w:p>
      <w:pPr>
        <w:spacing w:after="0" w:line="16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231F20"/>
        </w:rPr>
        <w:t>At December 31, 2022 and 2021, the Company has net operating loss carryforwards for federal tax purposes of approximately $243.4 million and $505.4 million, respectively, which is available to offset federal taxable income. The federal net operating loss carryforwards generated at December 31, 2017 and prior will begin to expire in 2031, if not utilized. Net operating losses generated after December 31, 2017 have an indefinite carryforward period but are subject to an 80% of taxable income limitation after December 31, 2020. The Company has approximately $92.0 million and $342.1 million of post-apportioned net operating loss carryforwards as of December 31, 2022 and 2021, respectively for various state tax purposes. The state net operating loss carryforwards will begin to expire in 2026, if not utilized.</w:t>
      </w:r>
    </w:p>
    <w:p>
      <w:pPr>
        <w:spacing w:after="0" w:line="17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231F20"/>
        </w:rPr>
        <w:t>Generally, the utilization of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8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231F20"/>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231F20"/>
        </w:rPr>
        <w:t xml:space="preserve">Consistent with the provisions of ASC 740, </w:t>
      </w:r>
      <w:r>
        <w:rPr>
          <w:rFonts w:ascii="Arial" w:cs="Arial" w:eastAsia="Arial" w:hAnsi="Arial"/>
          <w:sz w:val="18"/>
          <w:szCs w:val="18"/>
          <w:i w:val="1"/>
          <w:iCs w:val="1"/>
          <w:color w:val="231F20"/>
        </w:rPr>
        <w:t>Income Taxes</w:t>
      </w:r>
      <w:r>
        <w:rPr>
          <w:rFonts w:ascii="Arial" w:cs="Arial" w:eastAsia="Arial" w:hAnsi="Arial"/>
          <w:sz w:val="18"/>
          <w:szCs w:val="18"/>
          <w:color w:val="231F20"/>
        </w:rPr>
        <w:t>, the Company recognizes the effect of income tax positions only if those positions are more likely than not of being sustained. Recognized income tax positions are measured 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231F20"/>
        </w:rPr>
        <w:t>the largest amount that is greater than 50% likely of being realized. Changes in recognition or measurement are reflected in the period in which the change in judgment occurs.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shows the changes in the gross amount of unrecognized tax benefits as of December 31, 2022</w:t>
      </w:r>
      <w:r>
        <w:rPr>
          <w:rFonts w:ascii="Arial" w:cs="Arial" w:eastAsia="Arial" w:hAnsi="Arial"/>
          <w:sz w:val="17"/>
          <w:szCs w:val="17"/>
          <w:color w:val="231F20"/>
        </w:rPr>
        <w:t>, 2021 and 2020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Increases based on tax positions during the current period</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based on tax positions during the current period</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231F20"/>
        </w:rPr>
        <w:t>The total amount of unrecognized tax benefits that, if recognized would impact the effective tax rate would be $0.1 million for the year ended December 31, 2022.</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231F20"/>
        </w:rPr>
        <w:t>The Company’s policy for classifying interest and penalties associated with unrecognized income tax benefits is to include such items in income tax expense. The total amount of interest and penalties associated with unrecognized income tax benefits is $0.1 million and $0.1 million for the years ended December 31, 2022 and 2021.</w:t>
      </w:r>
    </w:p>
    <w:p>
      <w:pPr>
        <w:spacing w:after="0" w:line="184"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231F20"/>
        </w:rPr>
        <w:t>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As such the Company anticipates insignificant changes to unrecognized tax benefits over the next 12 months.</w:t>
      </w:r>
    </w:p>
    <w:p>
      <w:pPr>
        <w:spacing w:after="0" w:line="14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231F20"/>
        </w:rPr>
        <w:t>The Company files income tax returns in the U.S. federal jurisdiction, various state jurisdictions and in various international jurisdictions. Tax years 2017 and forward generally remain open for examination for federal and state tax purposes. To the extent utilized in future years’ tax returns, net operating loss carryforwards at December 31, 2022 and 2021 will remain subject to examination until the respective tax year is closed.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Basic and diluted net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4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Basic and diluted net loss per share is computed using the weighted-average number of common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6" w:name="page87"/>
    <w:bookmarkEnd w:id="86"/>
    <w:p>
      <w:pPr>
        <w:ind w:left="98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Basic net loss per share:</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Class B</w:t>
            </w:r>
          </w:p>
        </w:tc>
        <w:tc>
          <w:tcPr>
            <w:tcW w:w="2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60"/>
              <w:spacing w:after="0" w:line="176" w:lineRule="exact"/>
              <w:rPr>
                <w:sz w:val="20"/>
                <w:szCs w:val="20"/>
                <w:color w:val="auto"/>
              </w:rPr>
            </w:pPr>
            <w:r>
              <w:rPr>
                <w:rFonts w:ascii="Arial" w:cs="Arial" w:eastAsia="Arial" w:hAnsi="Arial"/>
                <w:sz w:val="18"/>
                <w:szCs w:val="18"/>
                <w:color w:val="auto"/>
              </w:rPr>
              <w:t>Weighted average shares used in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calculating net loss per share, basic</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240,999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net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60"/>
              <w:spacing w:after="0" w:line="176" w:lineRule="exact"/>
              <w:rPr>
                <w:sz w:val="20"/>
                <w:szCs w:val="20"/>
                <w:color w:val="auto"/>
              </w:rPr>
            </w:pPr>
            <w:r>
              <w:rPr>
                <w:rFonts w:ascii="Arial" w:cs="Arial" w:eastAsia="Arial" w:hAnsi="Arial"/>
                <w:sz w:val="18"/>
                <w:szCs w:val="18"/>
                <w:color w:val="auto"/>
              </w:rPr>
              <w:t>Allocation of distributed loss for basic</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60"/>
              <w:spacing w:after="0"/>
              <w:rPr>
                <w:sz w:val="20"/>
                <w:szCs w:val="20"/>
                <w:color w:val="auto"/>
              </w:rPr>
            </w:pPr>
            <w:r>
              <w:rPr>
                <w:rFonts w:ascii="Arial" w:cs="Arial" w:eastAsia="Arial" w:hAnsi="Arial"/>
                <w:sz w:val="18"/>
                <w:szCs w:val="18"/>
                <w:color w:val="auto"/>
              </w:rPr>
              <w:t>computation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Reallocation of undistributed loss as a</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result of conversion of Class B to Class A</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Allocation of undistributed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360"/>
              <w:spacing w:after="0"/>
              <w:rPr>
                <w:sz w:val="20"/>
                <w:szCs w:val="20"/>
                <w:color w:val="auto"/>
              </w:rPr>
            </w:pPr>
            <w:r>
              <w:rPr>
                <w:rFonts w:ascii="Arial" w:cs="Arial" w:eastAsia="Arial" w:hAnsi="Arial"/>
                <w:sz w:val="18"/>
                <w:szCs w:val="18"/>
                <w:color w:val="auto"/>
                <w:w w:val="91"/>
              </w:rPr>
              <w:t>Number of shares used in basic calculation</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Weighted average effect of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20"/>
              <w:spacing w:after="0" w:line="176" w:lineRule="exact"/>
              <w:rPr>
                <w:sz w:val="20"/>
                <w:szCs w:val="20"/>
                <w:color w:val="auto"/>
              </w:rPr>
            </w:pPr>
            <w:r>
              <w:rPr>
                <w:rFonts w:ascii="Arial" w:cs="Arial" w:eastAsia="Arial" w:hAnsi="Arial"/>
                <w:sz w:val="18"/>
                <w:szCs w:val="18"/>
                <w:color w:val="auto"/>
              </w:rPr>
              <w:t>Conversion of Class B to Class 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520"/>
              <w:spacing w:after="0"/>
              <w:rPr>
                <w:sz w:val="20"/>
                <w:szCs w:val="20"/>
                <w:color w:val="auto"/>
              </w:rPr>
            </w:pPr>
            <w:r>
              <w:rPr>
                <w:rFonts w:ascii="Arial" w:cs="Arial" w:eastAsia="Arial" w:hAnsi="Arial"/>
                <w:sz w:val="18"/>
                <w:szCs w:val="18"/>
                <w:color w:val="auto"/>
              </w:rPr>
              <w:t>common shares outstanding</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20" w:type="dxa"/>
            <w:vAlign w:val="bottom"/>
            <w:tcBorders>
              <w:top w:val="single" w:sz="8" w:color="CCEEFF"/>
            </w:tcBorders>
            <w:shd w:val="clear" w:color="auto" w:fill="CCEEFF"/>
          </w:tcPr>
          <w:p>
            <w:pPr>
              <w:ind w:left="680"/>
              <w:spacing w:after="0" w:line="156" w:lineRule="exact"/>
              <w:rPr>
                <w:sz w:val="20"/>
                <w:szCs w:val="20"/>
                <w:color w:val="auto"/>
              </w:rPr>
            </w:pPr>
            <w:r>
              <w:rPr>
                <w:rFonts w:ascii="Arial" w:cs="Arial" w:eastAsia="Arial" w:hAnsi="Arial"/>
                <w:sz w:val="18"/>
                <w:szCs w:val="18"/>
                <w:color w:val="auto"/>
              </w:rPr>
              <w:t>Number of shares used in diluted</w:t>
            </w: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315,410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300,350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133,768</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the Company was in a loss position for the periods presented, basic net loss per share is the same as diluted net loss per share as the inclusion of all potential common shares outstanding would have been anti-dilutive. 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2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and RSUs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Unvested early exercised stock options and restricted shares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1,120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260" w:type="dxa"/>
            <w:vAlign w:val="bottom"/>
          </w:tcPr>
          <w:p>
            <w:pPr>
              <w:jc w:val="right"/>
              <w:spacing w:after="0"/>
              <w:rPr>
                <w:sz w:val="20"/>
                <w:szCs w:val="20"/>
                <w:color w:val="auto"/>
              </w:rPr>
            </w:pPr>
            <w:r>
              <w:rPr>
                <w:rFonts w:ascii="Arial" w:cs="Arial" w:eastAsia="Arial" w:hAnsi="Arial"/>
                <w:sz w:val="18"/>
                <w:szCs w:val="18"/>
                <w:color w:val="auto"/>
              </w:rPr>
              <w:t>8,098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ASU No. 2020-06 requires the application of the if-converted method to calculate the impact of convertible instruments on diluted earnings per share when the instruments may be settled in cash or shares. See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Recently Adopted </w:t>
      </w:r>
      <w:r>
        <w:rPr>
          <w:rFonts w:ascii="Arial" w:cs="Arial" w:eastAsia="Arial" w:hAnsi="Arial"/>
          <w:sz w:val="16"/>
          <w:szCs w:val="16"/>
          <w:color w:val="auto"/>
        </w:rPr>
        <w:t>for more information. During the three months ended December 31, 2022, the conditional conversion feature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2025 Notes was not triggered and the 2025 Notes are not convertible, in whole or in part, at the option of the holders between January 1, 2023 through March 31, 2023. The Company uses the if-converted method for calculating any potential dilutive effect of the conversion options embedded in the 2025 Notes on diluted net income per share; however, since the Company is in a net loss position, there was no dilutive effect during any period presented.</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2022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Based on the results of its evaluation, management concluded that our internal control over financial reporting was effective as of December 31, 2022. Our independent registered public accounting firm, Deloitte &amp; Touche LLP, has issued an auditors’ report on the effectiveness of our internal control over financial reporting, which is included in Item 8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2022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Datadog, Inc. and its subsidiaries (the “Company”)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18"/>
          <w:szCs w:val="18"/>
          <w:color w:val="auto"/>
        </w:rPr>
        <w:t>The information required by this Item (other than as set forth below) will be included in the proxy statement for our 2022 annual meeting of stockholders to be filed with the SEC within 120 days after the end of our fiscal year ended December 31, 2022, or the 2023 Proxy Statement, and is incorporated herein by reference.</w:t>
      </w:r>
    </w:p>
    <w:p>
      <w:pPr>
        <w:spacing w:after="0" w:line="18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6"/>
          </w:tcPr>
          <w:p>
            <w:pPr>
              <w:ind w:left="58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r>
      <w:tr>
        <w:trPr>
          <w:trHeight w:val="432"/>
        </w:trPr>
        <w:tc>
          <w:tcPr>
            <w:tcW w:w="1040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Arial" w:cs="Arial" w:eastAsia="Arial" w:hAnsi="Arial"/>
                <w:sz w:val="18"/>
                <w:szCs w:val="18"/>
                <w:b w:val="1"/>
                <w:bCs w:val="1"/>
                <w:color w:val="auto"/>
              </w:rPr>
              <w:t>(1) All financial statements</w:t>
            </w:r>
          </w:p>
        </w:tc>
        <w:tc>
          <w:tcPr>
            <w:tcW w:w="8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83"/>
        </w:trPr>
        <w:tc>
          <w:tcPr>
            <w:tcW w:w="20" w:type="dxa"/>
            <w:vAlign w:val="bottom"/>
            <w:tcBorders>
              <w:top w:val="single" w:sz="8" w:color="auto"/>
            </w:tcBorders>
          </w:tcPr>
          <w:p>
            <w:pPr>
              <w:spacing w:after="0"/>
              <w:rPr>
                <w:sz w:val="15"/>
                <w:szCs w:val="15"/>
                <w:color w:val="auto"/>
              </w:rPr>
            </w:pPr>
          </w:p>
        </w:tc>
        <w:tc>
          <w:tcPr>
            <w:tcW w:w="1028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0000FF"/>
              </w:rPr>
              <w:t>Report of Independent Registered Public Accounting Firm</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55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720" w:type="dxa"/>
            <w:vAlign w:val="bottom"/>
            <w:gridSpan w:val="6"/>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09"/>
        </w:trPr>
        <w:tc>
          <w:tcPr>
            <w:tcW w:w="20" w:type="dxa"/>
            <w:vAlign w:val="bottom"/>
          </w:tcPr>
          <w:p>
            <w:pPr>
              <w:spacing w:after="0"/>
              <w:rPr>
                <w:sz w:val="18"/>
                <w:szCs w:val="18"/>
                <w:color w:val="auto"/>
              </w:rPr>
            </w:pPr>
          </w:p>
        </w:tc>
        <w:tc>
          <w:tcPr>
            <w:tcW w:w="6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3520" w:type="dxa"/>
            <w:vAlign w:val="bottom"/>
            <w:gridSpan w:val="5"/>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09"/>
        </w:trPr>
        <w:tc>
          <w:tcPr>
            <w:tcW w:w="20" w:type="dxa"/>
            <w:vAlign w:val="bottom"/>
          </w:tcPr>
          <w:p>
            <w:pPr>
              <w:spacing w:after="0"/>
              <w:rPr>
                <w:sz w:val="18"/>
                <w:szCs w:val="18"/>
                <w:color w:val="auto"/>
              </w:rPr>
            </w:pPr>
          </w:p>
        </w:tc>
        <w:tc>
          <w:tcPr>
            <w:tcW w:w="1038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Loss for the years ended December 31, 2022, 2021 and 2020</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Consolidated Statements of Stockholders’ Equity (Deficit) for the years ended December 31, 2022, 2021 and 2020</w:t>
            </w:r>
          </w:p>
        </w:tc>
        <w:tc>
          <w:tcPr>
            <w:tcW w:w="2120" w:type="dxa"/>
            <w:vAlign w:val="bottom"/>
            <w:gridSpan w:val="2"/>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0"/>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3460" w:type="dxa"/>
            <w:vAlign w:val="bottom"/>
            <w:gridSpan w:val="4"/>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220" w:type="dxa"/>
            <w:vAlign w:val="bottom"/>
            <w:gridSpan w:val="8"/>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2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0" w:type="dxa"/>
            <w:vAlign w:val="bottom"/>
            <w:tcBorders>
              <w:top w:val="single" w:sz="8" w:color="auto"/>
            </w:tcBorders>
            <w:vMerge w:val="restart"/>
          </w:tcPr>
          <w:p>
            <w:pPr>
              <w:jc w:val="center"/>
              <w:ind w:left="31"/>
              <w:spacing w:after="0"/>
              <w:rPr>
                <w:sz w:val="20"/>
                <w:szCs w:val="20"/>
                <w:color w:val="auto"/>
              </w:rPr>
            </w:pPr>
            <w:r>
              <w:rPr>
                <w:rFonts w:ascii="Arial" w:cs="Arial" w:eastAsia="Arial" w:hAnsi="Arial"/>
                <w:sz w:val="14"/>
                <w:szCs w:val="14"/>
                <w:b w:val="1"/>
                <w:bCs w:val="1"/>
                <w:color w:val="auto"/>
              </w:rPr>
              <w:t>Form</w:t>
            </w:r>
          </w:p>
        </w:tc>
        <w:tc>
          <w:tcPr>
            <w:tcW w:w="1480" w:type="dxa"/>
            <w:vAlign w:val="bottom"/>
            <w:tcBorders>
              <w:top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File No.</w:t>
            </w:r>
          </w:p>
        </w:tc>
        <w:tc>
          <w:tcPr>
            <w:tcW w:w="94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tcBorders>
              <w:top w:val="single" w:sz="8" w:color="auto"/>
            </w:tcBorders>
          </w:tcPr>
          <w:p>
            <w:pPr>
              <w:jc w:val="center"/>
              <w:ind w:right="28"/>
              <w:spacing w:after="0" w:line="133" w:lineRule="exact"/>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820" w:type="dxa"/>
            <w:vAlign w:val="bottom"/>
            <w:gridSpan w:val="17"/>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8"/>
        </w:trPr>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17"/>
          </w:tcPr>
          <w:p>
            <w:pPr>
              <w:spacing w:after="0" w:line="189"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Amended and Restated Certificate of Incorporation</w:t>
              </w:r>
            </w:hyperlink>
          </w:p>
        </w:tc>
        <w:tc>
          <w:tcPr>
            <w:tcW w:w="1200" w:type="dxa"/>
            <w:vAlign w:val="bottom"/>
            <w:tcBorders>
              <w:top w:val="single" w:sz="8" w:color="auto"/>
            </w:tcBorders>
          </w:tcPr>
          <w:p>
            <w:pPr>
              <w:jc w:val="center"/>
              <w:ind w:left="31"/>
              <w:spacing w:after="0" w:line="189" w:lineRule="exact"/>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001-39051</w:t>
            </w:r>
          </w:p>
        </w:tc>
        <w:tc>
          <w:tcPr>
            <w:tcW w:w="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5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September 23,</w:t>
            </w: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of Datadog, Inc.</w:t>
              </w:r>
            </w:hyperlink>
          </w:p>
        </w:tc>
        <w:tc>
          <w:tcPr>
            <w:tcW w:w="25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0000FF"/>
            </w:tcBorders>
            <w:gridSpan w:val="9"/>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Amended and Restated Bylaws of Datadog, Inc.</w:t>
              </w:r>
            </w:hyperlink>
          </w:p>
        </w:tc>
        <w:tc>
          <w:tcPr>
            <w:tcW w:w="340" w:type="dxa"/>
            <w:vAlign w:val="bottom"/>
            <w:gridSpan w:val="8"/>
          </w:tcPr>
          <w:p>
            <w:pPr>
              <w:spacing w:after="0"/>
              <w:rPr>
                <w:sz w:val="24"/>
                <w:szCs w:val="24"/>
                <w:color w:val="auto"/>
              </w:rPr>
            </w:pPr>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20" w:type="dxa"/>
            <w:vAlign w:val="bottom"/>
            <w:gridSpan w:val="1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Class A Common Stock Certificate.</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Description of Securities.</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February 25,</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17"/>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Indenture, dated June 2, 2020, between Datadog,</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bottom w:val="single" w:sz="8" w:color="0000FF"/>
            </w:tcBorders>
            <w:gridSpan w:val="16"/>
          </w:tcPr>
          <w:p>
            <w:pPr>
              <w:spacing w:after="0" w:line="15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Inc. and U.S. Bank National Association, as Trustee.</w:t>
              </w:r>
            </w:hyperlink>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Form of Global Note representing Datadog, Inc.’s</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0.</w:t>
              </w:r>
              <w:r>
                <w:rPr>
                  <w:rFonts w:ascii="Arial" w:cs="Arial" w:eastAsia="Arial" w:hAnsi="Arial"/>
                  <w:sz w:val="18"/>
                  <w:szCs w:val="18"/>
                  <w:u w:val="single" w:color="auto"/>
                  <w:color w:val="0000FF"/>
                </w:rPr>
                <w:t>125%</w:t>
              </w:r>
              <w:r>
                <w:rPr>
                  <w:rFonts w:ascii="Arial" w:cs="Arial" w:eastAsia="Arial" w:hAnsi="Arial"/>
                  <w:sz w:val="18"/>
                  <w:szCs w:val="18"/>
                  <w:color w:val="0000FF"/>
                </w:rPr>
                <w:t xml:space="preserve"> Convertible Senior Notes due 2025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Fourth Amended and Restated Investor Rights</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Agreement, dated December 28, 2015.</w:t>
              </w:r>
            </w:hyperlink>
          </w:p>
        </w:tc>
        <w:tc>
          <w:tcPr>
            <w:tcW w:w="560" w:type="dxa"/>
            <w:vAlign w:val="bottom"/>
            <w:tcBorders>
              <w:top w:val="single" w:sz="8" w:color="0000FF"/>
            </w:tcBorders>
            <w:gridSpan w:val="3"/>
          </w:tcPr>
          <w:p>
            <w:pPr>
              <w:spacing w:after="0"/>
              <w:rPr>
                <w:sz w:val="13"/>
                <w:szCs w:val="13"/>
                <w:color w:val="auto"/>
              </w:rPr>
            </w:pPr>
          </w:p>
        </w:tc>
        <w:tc>
          <w:tcPr>
            <w:tcW w:w="3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Datadog, Inc. 2012 Equity Incentive Plan, and terms</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7"/>
              </w:rPr>
            </w:pPr>
            <w:hyperlink r:id="rId113">
              <w:r>
                <w:rPr>
                  <w:rFonts w:ascii="Arial" w:cs="Arial" w:eastAsia="Arial" w:hAnsi="Arial"/>
                  <w:sz w:val="18"/>
                  <w:szCs w:val="18"/>
                  <w:color w:val="0000FF"/>
                  <w:w w:val="87"/>
                </w:rPr>
                <w:t>of agreements thereunder.</w:t>
              </w:r>
            </w:hyperlink>
          </w:p>
        </w:tc>
        <w:tc>
          <w:tcPr>
            <w:tcW w:w="19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Datadog, Inc. 2019 Equity Incentive Plan and terms</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7"/>
              </w:rPr>
            </w:pPr>
            <w:hyperlink r:id="rId114">
              <w:r>
                <w:rPr>
                  <w:rFonts w:ascii="Arial" w:cs="Arial" w:eastAsia="Arial" w:hAnsi="Arial"/>
                  <w:sz w:val="18"/>
                  <w:szCs w:val="18"/>
                  <w:color w:val="0000FF"/>
                  <w:w w:val="87"/>
                </w:rPr>
                <w:t>of agreements thereunder.</w:t>
              </w:r>
            </w:hyperlink>
          </w:p>
        </w:tc>
        <w:tc>
          <w:tcPr>
            <w:tcW w:w="186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7"/>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Datadog, Inc. 2019 Employee Stock Purchase Plan.</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September 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17"/>
          </w:tcPr>
          <w:p>
            <w:pPr>
              <w:spacing w:after="0"/>
              <w:rPr>
                <w:rFonts w:ascii="Arial" w:cs="Arial" w:eastAsia="Arial" w:hAnsi="Arial"/>
                <w:sz w:val="18"/>
                <w:szCs w:val="18"/>
                <w:color w:val="0000FF"/>
                <w:w w:val="96"/>
              </w:rPr>
            </w:pPr>
            <w:hyperlink r:id="rId116">
              <w:r>
                <w:rPr>
                  <w:rFonts w:ascii="Arial" w:cs="Arial" w:eastAsia="Arial" w:hAnsi="Arial"/>
                  <w:sz w:val="18"/>
                  <w:szCs w:val="18"/>
                  <w:color w:val="0000FF"/>
                  <w:w w:val="96"/>
                </w:rPr>
                <w:t>Performance Stock Units (PSU) Grant Notice and</w:t>
              </w:r>
            </w:hyperlink>
          </w:p>
        </w:tc>
        <w:tc>
          <w:tcPr>
            <w:tcW w:w="1200" w:type="dxa"/>
            <w:vAlign w:val="bottom"/>
          </w:tcPr>
          <w:p>
            <w:pPr>
              <w:jc w:val="center"/>
              <w:ind w:left="31"/>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August 8, 2022</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Award Agreement</w:t>
              </w:r>
            </w:hyperlink>
          </w:p>
        </w:tc>
        <w:tc>
          <w:tcPr>
            <w:tcW w:w="220" w:type="dxa"/>
            <w:vAlign w:val="bottom"/>
            <w:gridSpan w:val="6"/>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ind w:right="431"/>
              <w:spacing w:after="0"/>
              <w:rPr>
                <w:sz w:val="20"/>
                <w:szCs w:val="20"/>
                <w:color w:val="auto"/>
              </w:rPr>
            </w:pPr>
            <w:r>
              <w:rPr>
                <w:rFonts w:ascii="Arial" w:cs="Arial" w:eastAsia="Arial" w:hAnsi="Arial"/>
                <w:sz w:val="18"/>
                <w:szCs w:val="18"/>
                <w:color w:val="auto"/>
              </w:rPr>
              <w:t>90</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2" w:name="page93"/>
    <w:bookmarkEnd w:id="92"/>
    <w:tbl>
      <w:tblPr>
        <w:tblLayout w:type="fixed"/>
        <w:tblInd w:w="6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10.6#</w:t>
            </w:r>
          </w:p>
        </w:tc>
        <w:tc>
          <w:tcPr>
            <w:tcW w:w="3960" w:type="dxa"/>
            <w:vAlign w:val="bottom"/>
            <w:gridSpan w:val="4"/>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Form of Indemnity Agreement entered into by and</w:t>
              </w:r>
            </w:hyperlink>
          </w:p>
        </w:tc>
        <w:tc>
          <w:tcPr>
            <w:tcW w:w="1060" w:type="dxa"/>
            <w:vAlign w:val="bottom"/>
          </w:tcPr>
          <w:p>
            <w:pPr>
              <w:ind w:left="300"/>
              <w:spacing w:after="0"/>
              <w:rPr>
                <w:sz w:val="20"/>
                <w:szCs w:val="20"/>
                <w:color w:val="auto"/>
              </w:rPr>
            </w:pPr>
            <w:r>
              <w:rPr>
                <w:rFonts w:ascii="Arial" w:cs="Arial" w:eastAsia="Arial" w:hAnsi="Arial"/>
                <w:sz w:val="18"/>
                <w:szCs w:val="18"/>
                <w:color w:val="auto"/>
              </w:rPr>
              <w:t>S-1/A</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333-233428</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88"/>
              </w:rPr>
              <w:t>September 9,</w:t>
            </w:r>
          </w:p>
        </w:tc>
      </w:tr>
      <w:tr>
        <w:trPr>
          <w:trHeight w:val="155"/>
        </w:trPr>
        <w:tc>
          <w:tcPr>
            <w:tcW w:w="860" w:type="dxa"/>
            <w:vAlign w:val="bottom"/>
          </w:tcPr>
          <w:p>
            <w:pPr>
              <w:spacing w:after="0"/>
              <w:rPr>
                <w:sz w:val="13"/>
                <w:szCs w:val="13"/>
                <w:color w:val="auto"/>
              </w:rPr>
            </w:pPr>
          </w:p>
        </w:tc>
        <w:tc>
          <w:tcPr>
            <w:tcW w:w="36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between Datadog, Inc. and each director and</w:t>
              </w:r>
            </w:hyperlink>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2019</w:t>
            </w:r>
          </w:p>
        </w:tc>
      </w:tr>
      <w:tr>
        <w:trPr>
          <w:trHeight w:val="156"/>
        </w:trPr>
        <w:tc>
          <w:tcPr>
            <w:tcW w:w="860" w:type="dxa"/>
            <w:vAlign w:val="bottom"/>
          </w:tcPr>
          <w:p>
            <w:pPr>
              <w:spacing w:after="0"/>
              <w:rPr>
                <w:sz w:val="13"/>
                <w:szCs w:val="13"/>
                <w:color w:val="auto"/>
              </w:rPr>
            </w:pPr>
          </w:p>
        </w:tc>
        <w:tc>
          <w:tcPr>
            <w:tcW w:w="1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executive officer.</w:t>
              </w:r>
            </w:hyperlink>
          </w:p>
        </w:tc>
        <w:tc>
          <w:tcPr>
            <w:tcW w:w="1960" w:type="dxa"/>
            <w:vAlign w:val="bottom"/>
            <w:tcBorders>
              <w:top w:val="single" w:sz="8" w:color="0000FF"/>
            </w:tcBorders>
          </w:tcPr>
          <w:p>
            <w:pPr>
              <w:spacing w:after="0"/>
              <w:rPr>
                <w:sz w:val="13"/>
                <w:szCs w:val="13"/>
                <w:color w:val="auto"/>
              </w:rPr>
            </w:pPr>
          </w:p>
        </w:tc>
        <w:tc>
          <w:tcPr>
            <w:tcW w:w="74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63" w:lineRule="exact"/>
        <w:rPr>
          <w:sz w:val="20"/>
          <w:szCs w:val="20"/>
          <w:color w:val="auto"/>
        </w:rPr>
      </w:pPr>
    </w:p>
    <w:p>
      <w:pPr>
        <w:sectPr>
          <w:pgSz w:w="11900" w:h="16838" w:orient="portrait"/>
          <w:cols w:equalWidth="0" w:num="1">
            <w:col w:w="10420"/>
          </w:cols>
          <w:pgMar w:left="620" w:top="1013" w:right="859" w:bottom="1440" w:gutter="0" w:footer="0" w:header="0"/>
        </w:sectPr>
      </w:pPr>
    </w:p>
    <w:p>
      <w:pPr>
        <w:spacing w:after="0" w:line="31" w:lineRule="exact"/>
        <w:rPr>
          <w:sz w:val="20"/>
          <w:szCs w:val="20"/>
          <w:color w:val="auto"/>
        </w:rPr>
      </w:pPr>
    </w:p>
    <w:p>
      <w:pPr>
        <w:jc w:val="center"/>
        <w:ind w:right="22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20">
        <w:r>
          <w:rPr>
            <w:rFonts w:ascii="Arial" w:cs="Arial" w:eastAsia="Arial" w:hAnsi="Arial"/>
            <w:sz w:val="18"/>
            <w:szCs w:val="18"/>
            <w:u w:val="single" w:color="auto"/>
            <w:color w:val="0000FF"/>
          </w:rPr>
          <w:t>Offer Letter, by and between Datadog, Inc. and</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Olivier Pomel, dated May 20, 2011.</w:t>
        </w:r>
      </w:hyperlink>
    </w:p>
    <w:p>
      <w:pPr>
        <w:spacing w:after="0" w:line="67" w:lineRule="exact"/>
        <w:rPr>
          <w:sz w:val="20"/>
          <w:szCs w:val="20"/>
          <w:color w:val="auto"/>
        </w:rPr>
      </w:pPr>
    </w:p>
    <w:p>
      <w:pPr>
        <w:ind w:left="920" w:right="280" w:hanging="874"/>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121">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David Obstler, dated August 28, 2018.</w:t>
        </w:r>
      </w:hyperlink>
    </w:p>
    <w:p>
      <w:pPr>
        <w:spacing w:after="0" w:line="52" w:lineRule="exact"/>
        <w:rPr>
          <w:sz w:val="20"/>
          <w:szCs w:val="20"/>
          <w:color w:val="auto"/>
        </w:rPr>
      </w:pPr>
    </w:p>
    <w:p>
      <w:pPr>
        <w:ind w:left="920" w:right="280" w:hanging="874"/>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122">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Alexis Lê-Quôc, dated May 20, 2011.</w:t>
        </w:r>
      </w:hyperlink>
    </w:p>
    <w:p>
      <w:pPr>
        <w:spacing w:after="0" w:line="37"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23">
        <w:r>
          <w:rPr>
            <w:rFonts w:ascii="Arial" w:cs="Arial" w:eastAsia="Arial" w:hAnsi="Arial"/>
            <w:sz w:val="16"/>
            <w:szCs w:val="16"/>
            <w:u w:val="single" w:color="auto"/>
            <w:color w:val="0000FF"/>
          </w:rPr>
          <w:t>Offer Letter, by and between Datadog, Inc. and</w:t>
        </w:r>
      </w:hyperlink>
    </w:p>
    <w:p>
      <w:pPr>
        <w:jc w:val="center"/>
        <w:ind w:right="240"/>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Amit Agarwal, dated May 4, 2012.</w:t>
        </w:r>
      </w:hyperlink>
    </w:p>
    <w:p>
      <w:pPr>
        <w:spacing w:after="0" w:line="74" w:lineRule="exact"/>
        <w:rPr>
          <w:sz w:val="20"/>
          <w:szCs w:val="20"/>
          <w:color w:val="auto"/>
        </w:rPr>
      </w:pPr>
    </w:p>
    <w:p>
      <w:pPr>
        <w:ind w:left="920" w:right="280" w:hanging="916"/>
        <w:spacing w:after="0" w:line="25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124">
        <w:r>
          <w:rPr>
            <w:rFonts w:ascii="Arial" w:cs="Arial" w:eastAsia="Arial" w:hAnsi="Arial"/>
            <w:sz w:val="17"/>
            <w:szCs w:val="17"/>
            <w:u w:val="single" w:color="auto"/>
            <w:color w:val="0000FF"/>
          </w:rPr>
          <w:t>Offer Letter, by and between Datadog, Inc. and</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Adam Blitzer, dated April 23, 2021.</w:t>
        </w:r>
      </w:hyperlink>
    </w:p>
    <w:p>
      <w:pPr>
        <w:spacing w:after="0" w:line="52" w:lineRule="exact"/>
        <w:rPr>
          <w:sz w:val="20"/>
          <w:szCs w:val="20"/>
          <w:color w:val="auto"/>
        </w:rPr>
      </w:pPr>
    </w:p>
    <w:p>
      <w:pPr>
        <w:ind w:left="920" w:right="160" w:hanging="919"/>
        <w:spacing w:after="0" w:line="289"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0000FF"/>
        </w:rPr>
        <w:t>Amended Offer Letter, by and between Datadog, Inc. and Sean Walters, dated January 5, 2022</w:t>
      </w:r>
    </w:p>
    <w:p>
      <w:pPr>
        <w:spacing w:after="0" w:line="29" w:lineRule="exact"/>
        <w:rPr>
          <w:sz w:val="20"/>
          <w:szCs w:val="20"/>
          <w:color w:val="auto"/>
        </w:rPr>
      </w:pPr>
    </w:p>
    <w:p>
      <w:pPr>
        <w:ind w:left="920" w:hanging="874"/>
        <w:spacing w:after="0" w:line="289"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25">
        <w:r>
          <w:rPr>
            <w:rFonts w:ascii="Arial" w:cs="Arial" w:eastAsia="Arial" w:hAnsi="Arial"/>
            <w:sz w:val="16"/>
            <w:szCs w:val="16"/>
            <w:u w:val="single" w:color="auto"/>
            <w:color w:val="0000FF"/>
          </w:rPr>
          <w:t>Agreement of Sub-Sub-Sublease, by and between</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Datadog, Inc. and Ideeli Inc., dated April 14, 2016.</w:t>
        </w:r>
      </w:hyperlink>
    </w:p>
    <w:p>
      <w:pPr>
        <w:spacing w:after="0" w:line="29" w:lineRule="exact"/>
        <w:rPr>
          <w:sz w:val="20"/>
          <w:szCs w:val="20"/>
          <w:color w:val="auto"/>
        </w:rPr>
      </w:pPr>
    </w:p>
    <w:p>
      <w:pPr>
        <w:ind w:left="920" w:right="440" w:hanging="874"/>
        <w:spacing w:after="0" w:line="22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26">
        <w:r>
          <w:rPr>
            <w:rFonts w:ascii="Arial" w:cs="Arial" w:eastAsia="Arial" w:hAnsi="Arial"/>
            <w:sz w:val="18"/>
            <w:szCs w:val="18"/>
            <w:u w:val="single" w:color="auto"/>
            <w:color w:val="0000FF"/>
          </w:rPr>
          <w:t>Agreement of Sub-Sublease, by and between</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Datadog, Inc. and BT Americas Inc., dated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September 18,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8"/>
              </w:rPr>
              <w:t>September 9,</w:t>
            </w:r>
          </w:p>
        </w:tc>
      </w:tr>
      <w:tr>
        <w:trPr>
          <w:trHeight w:val="230"/>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9"/>
              </w:rPr>
              <w:t>2019</w:t>
            </w:r>
          </w:p>
        </w:tc>
      </w:tr>
      <w:tr>
        <w:trPr>
          <w:trHeight w:val="242"/>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8"/>
              </w:rPr>
              <w:t>September 9,</w:t>
            </w:r>
          </w:p>
        </w:tc>
      </w:tr>
      <w:tr>
        <w:trPr>
          <w:trHeight w:val="230"/>
        </w:trPr>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89"/>
              </w:rPr>
              <w:t>2019</w:t>
            </w:r>
          </w:p>
        </w:tc>
      </w:tr>
      <w:tr>
        <w:trPr>
          <w:trHeight w:val="296"/>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2"/>
              </w:rPr>
              <w:t>May 7, 2021</w:t>
            </w:r>
          </w:p>
        </w:tc>
      </w:tr>
      <w:tr>
        <w:trPr>
          <w:trHeight w:val="473"/>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2"/>
              </w:rPr>
              <w:t>May 7, 2021</w:t>
            </w:r>
          </w:p>
        </w:tc>
      </w:tr>
      <w:tr>
        <w:trPr>
          <w:trHeight w:val="473"/>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2"/>
              </w:rPr>
              <w:t>May 6, 2022</w:t>
            </w:r>
          </w:p>
        </w:tc>
      </w:tr>
      <w:tr>
        <w:trPr>
          <w:trHeight w:val="473"/>
        </w:trPr>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tcPr>
          <w:p>
            <w:pPr>
              <w:ind w:left="1960"/>
              <w:spacing w:after="0"/>
              <w:rPr>
                <w:sz w:val="20"/>
                <w:szCs w:val="20"/>
                <w:color w:val="auto"/>
              </w:rPr>
            </w:pPr>
            <w:r>
              <w:rPr>
                <w:rFonts w:ascii="Arial" w:cs="Arial" w:eastAsia="Arial" w:hAnsi="Arial"/>
                <w:sz w:val="18"/>
                <w:szCs w:val="18"/>
                <w:color w:val="auto"/>
                <w:w w:val="82"/>
              </w:rPr>
              <w:t>X</w:t>
            </w:r>
          </w:p>
        </w:tc>
      </w:tr>
      <w:tr>
        <w:trPr>
          <w:trHeight w:val="473"/>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1"/>
              </w:rPr>
              <w:t>August 23, 2019</w:t>
            </w:r>
          </w:p>
        </w:tc>
      </w:tr>
      <w:tr>
        <w:trPr>
          <w:trHeight w:val="473"/>
        </w:trPr>
        <w:tc>
          <w:tcPr>
            <w:tcW w:w="760" w:type="dxa"/>
            <w:vAlign w:val="bottom"/>
          </w:tcPr>
          <w:p>
            <w:pPr>
              <w:jc w:val="center"/>
              <w:ind w:right="23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080" w:type="dxa"/>
            <w:vAlign w:val="bottom"/>
          </w:tcPr>
          <w:p>
            <w:pPr>
              <w:jc w:val="center"/>
              <w:ind w:right="390"/>
              <w:spacing w:after="0"/>
              <w:rPr>
                <w:sz w:val="20"/>
                <w:szCs w:val="20"/>
                <w:color w:val="auto"/>
              </w:rPr>
            </w:pPr>
            <w:r>
              <w:rPr>
                <w:rFonts w:ascii="Arial" w:cs="Arial" w:eastAsia="Arial" w:hAnsi="Arial"/>
                <w:sz w:val="18"/>
                <w:szCs w:val="18"/>
                <w:color w:val="auto"/>
                <w:w w:val="91"/>
              </w:rPr>
              <w:t>August 23, 2019</w:t>
            </w:r>
          </w:p>
        </w:tc>
      </w:tr>
    </w:tbl>
    <w:p>
      <w:pPr>
        <w:spacing w:after="0" w:line="400" w:lineRule="exact"/>
        <w:rPr>
          <w:rFonts w:ascii="Arial" w:cs="Arial" w:eastAsia="Arial" w:hAnsi="Arial"/>
          <w:sz w:val="18"/>
          <w:szCs w:val="18"/>
          <w:u w:val="single" w:color="auto"/>
          <w:color w:val="0000FF"/>
        </w:rPr>
      </w:pPr>
    </w:p>
    <w:p>
      <w:pPr>
        <w:sectPr>
          <w:pgSz w:w="11900" w:h="16838" w:orient="portrait"/>
          <w:cols w:equalWidth="0" w:num="2">
            <w:col w:w="4600" w:space="580"/>
            <w:col w:w="5240"/>
          </w:cols>
          <w:pgMar w:left="620" w:top="1013" w:right="8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10.15#</w:t>
            </w:r>
          </w:p>
        </w:tc>
        <w:tc>
          <w:tcPr>
            <w:tcW w:w="4040" w:type="dxa"/>
            <w:vAlign w:val="bottom"/>
            <w:gridSpan w:val="19"/>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Amended and Restated Non-Employee Director</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60" w:type="dxa"/>
            <w:vAlign w:val="bottom"/>
          </w:tcPr>
          <w:p>
            <w:pPr>
              <w:jc w:val="center"/>
              <w:ind w:right="390"/>
              <w:spacing w:after="0"/>
              <w:rPr>
                <w:sz w:val="20"/>
                <w:szCs w:val="20"/>
                <w:color w:val="auto"/>
              </w:rPr>
            </w:pPr>
            <w:r>
              <w:rPr>
                <w:rFonts w:ascii="Arial" w:cs="Arial" w:eastAsia="Arial" w:hAnsi="Arial"/>
                <w:sz w:val="18"/>
                <w:szCs w:val="18"/>
                <w:color w:val="auto"/>
                <w:w w:val="91"/>
              </w:rPr>
              <w:t>November 5,</w:t>
            </w:r>
          </w:p>
        </w:tc>
      </w:tr>
      <w:tr>
        <w:trPr>
          <w:trHeight w:val="156"/>
        </w:trPr>
        <w:tc>
          <w:tcPr>
            <w:tcW w:w="920" w:type="dxa"/>
            <w:vAlign w:val="bottom"/>
          </w:tcPr>
          <w:p>
            <w:pPr>
              <w:spacing w:after="0"/>
              <w:rPr>
                <w:sz w:val="13"/>
                <w:szCs w:val="13"/>
                <w:color w:val="auto"/>
              </w:rPr>
            </w:pPr>
          </w:p>
        </w:tc>
        <w:tc>
          <w:tcPr>
            <w:tcW w:w="34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Compensation Policy.</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410"/>
              <w:spacing w:after="0" w:line="156" w:lineRule="exact"/>
              <w:rPr>
                <w:sz w:val="20"/>
                <w:szCs w:val="20"/>
                <w:color w:val="auto"/>
              </w:rPr>
            </w:pPr>
            <w:r>
              <w:rPr>
                <w:rFonts w:ascii="Arial" w:cs="Arial" w:eastAsia="Arial" w:hAnsi="Arial"/>
                <w:sz w:val="18"/>
                <w:szCs w:val="18"/>
                <w:color w:val="auto"/>
                <w:w w:val="89"/>
              </w:rPr>
              <w:t>2021</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10.16#</w:t>
            </w:r>
          </w:p>
        </w:tc>
        <w:tc>
          <w:tcPr>
            <w:tcW w:w="4040" w:type="dxa"/>
            <w:vAlign w:val="bottom"/>
            <w:gridSpan w:val="19"/>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Change of Control and Severance</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2060" w:type="dxa"/>
            <w:vAlign w:val="bottom"/>
          </w:tcPr>
          <w:p>
            <w:pPr>
              <w:jc w:val="center"/>
              <w:ind w:right="410"/>
              <w:spacing w:after="0"/>
              <w:rPr>
                <w:sz w:val="20"/>
                <w:szCs w:val="20"/>
                <w:color w:val="auto"/>
              </w:rPr>
            </w:pPr>
            <w:r>
              <w:rPr>
                <w:rFonts w:ascii="Arial" w:cs="Arial" w:eastAsia="Arial" w:hAnsi="Arial"/>
                <w:sz w:val="18"/>
                <w:szCs w:val="18"/>
                <w:color w:val="auto"/>
                <w:w w:val="88"/>
              </w:rPr>
              <w:t>September 9,</w:t>
            </w:r>
          </w:p>
        </w:tc>
      </w:tr>
      <w:tr>
        <w:trPr>
          <w:trHeight w:val="156"/>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Agreement.</w:t>
              </w:r>
            </w:hyperlink>
          </w:p>
        </w:tc>
        <w:tc>
          <w:tcPr>
            <w:tcW w:w="220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jc w:val="center"/>
              <w:ind w:right="410"/>
              <w:spacing w:after="0" w:line="156" w:lineRule="exact"/>
              <w:rPr>
                <w:sz w:val="20"/>
                <w:szCs w:val="20"/>
                <w:color w:val="auto"/>
              </w:rPr>
            </w:pPr>
            <w:r>
              <w:rPr>
                <w:rFonts w:ascii="Arial" w:cs="Arial" w:eastAsia="Arial" w:hAnsi="Arial"/>
                <w:sz w:val="18"/>
                <w:szCs w:val="18"/>
                <w:color w:val="auto"/>
                <w:w w:val="89"/>
              </w:rPr>
              <w:t>2019</w:t>
            </w:r>
          </w:p>
        </w:tc>
      </w:tr>
      <w:tr>
        <w:trPr>
          <w:trHeight w:val="27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10.17</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Form of Confirmation for Capped Call Transaction.</w:t>
              </w:r>
            </w:hyperlink>
          </w:p>
        </w:tc>
        <w:tc>
          <w:tcPr>
            <w:tcW w:w="300" w:type="dxa"/>
            <w:vAlign w:val="bottom"/>
            <w:gridSpan w:val="3"/>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060" w:type="dxa"/>
            <w:vAlign w:val="bottom"/>
          </w:tcPr>
          <w:p>
            <w:pPr>
              <w:jc w:val="center"/>
              <w:ind w:right="410"/>
              <w:spacing w:after="0"/>
              <w:rPr>
                <w:sz w:val="20"/>
                <w:szCs w:val="20"/>
                <w:color w:val="auto"/>
              </w:rPr>
            </w:pPr>
            <w:r>
              <w:rPr>
                <w:rFonts w:ascii="Arial" w:cs="Arial" w:eastAsia="Arial" w:hAnsi="Arial"/>
                <w:sz w:val="18"/>
                <w:szCs w:val="18"/>
                <w:color w:val="auto"/>
                <w:w w:val="88"/>
              </w:rPr>
              <w:t>June 2, 2020</w:t>
            </w:r>
          </w:p>
        </w:tc>
      </w:tr>
      <w:tr>
        <w:trPr>
          <w:trHeight w:val="263"/>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10.18</w:t>
            </w:r>
          </w:p>
        </w:tc>
        <w:tc>
          <w:tcPr>
            <w:tcW w:w="4040" w:type="dxa"/>
            <w:vAlign w:val="bottom"/>
            <w:gridSpan w:val="19"/>
          </w:tcPr>
          <w:p>
            <w:pPr>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Agreement of Sublease, by and between Datadog,</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2060" w:type="dxa"/>
            <w:vAlign w:val="bottom"/>
          </w:tcPr>
          <w:p>
            <w:pPr>
              <w:jc w:val="center"/>
              <w:ind w:right="390"/>
              <w:spacing w:after="0"/>
              <w:rPr>
                <w:sz w:val="20"/>
                <w:szCs w:val="20"/>
                <w:color w:val="auto"/>
              </w:rPr>
            </w:pPr>
            <w:r>
              <w:rPr>
                <w:rFonts w:ascii="Arial" w:cs="Arial" w:eastAsia="Arial" w:hAnsi="Arial"/>
                <w:sz w:val="18"/>
                <w:szCs w:val="18"/>
                <w:color w:val="auto"/>
                <w:w w:val="92"/>
              </w:rPr>
              <w:t>March 1, 2021</w:t>
            </w:r>
          </w:p>
        </w:tc>
      </w:tr>
      <w:tr>
        <w:trPr>
          <w:trHeight w:val="156"/>
        </w:trPr>
        <w:tc>
          <w:tcPr>
            <w:tcW w:w="9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Inc. and Clearbridge Investments, LLC, dated July</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54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130">
              <w:r>
                <w:rPr>
                  <w:rFonts w:ascii="Arial" w:cs="Arial" w:eastAsia="Arial" w:hAnsi="Arial"/>
                  <w:sz w:val="18"/>
                  <w:szCs w:val="18"/>
                  <w:color w:val="0000FF"/>
                  <w:w w:val="86"/>
                </w:rPr>
                <w:t>9, 2020</w:t>
              </w:r>
            </w:hyperlink>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88"/>
              </w:rPr>
              <w:t>10.19</w:t>
            </w:r>
          </w:p>
        </w:tc>
        <w:tc>
          <w:tcPr>
            <w:tcW w:w="4040" w:type="dxa"/>
            <w:vAlign w:val="bottom"/>
            <w:gridSpan w:val="19"/>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Lease, by and between Datadog, Inc. and FC Eighth</w:t>
              </w:r>
            </w:hyperlink>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060" w:type="dxa"/>
            <w:vAlign w:val="bottom"/>
          </w:tcPr>
          <w:p>
            <w:pPr>
              <w:jc w:val="center"/>
              <w:ind w:right="390"/>
              <w:spacing w:after="0"/>
              <w:rPr>
                <w:sz w:val="20"/>
                <w:szCs w:val="20"/>
                <w:color w:val="auto"/>
              </w:rPr>
            </w:pPr>
            <w:r>
              <w:rPr>
                <w:rFonts w:ascii="Arial" w:cs="Arial" w:eastAsia="Arial" w:hAnsi="Arial"/>
                <w:sz w:val="18"/>
                <w:szCs w:val="18"/>
                <w:color w:val="auto"/>
                <w:w w:val="90"/>
              </w:rPr>
              <w:t>August 8, 2022</w:t>
            </w:r>
          </w:p>
        </w:tc>
      </w:tr>
      <w:tr>
        <w:trPr>
          <w:trHeight w:val="156"/>
        </w:trPr>
        <w:tc>
          <w:tcPr>
            <w:tcW w:w="92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Ave., LLC, dated July 28,2022.</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21.1</w:t>
            </w:r>
          </w:p>
        </w:tc>
        <w:tc>
          <w:tcPr>
            <w:tcW w:w="4040" w:type="dxa"/>
            <w:vAlign w:val="bottom"/>
            <w:gridSpan w:val="19"/>
          </w:tcPr>
          <w:p>
            <w:pPr>
              <w:spacing w:after="0"/>
              <w:rPr>
                <w:sz w:val="20"/>
                <w:szCs w:val="20"/>
                <w:color w:val="auto"/>
              </w:rPr>
            </w:pPr>
            <w:r>
              <w:rPr>
                <w:rFonts w:ascii="Arial" w:cs="Arial" w:eastAsia="Arial" w:hAnsi="Arial"/>
                <w:sz w:val="18"/>
                <w:szCs w:val="18"/>
                <w:color w:val="0000FF"/>
              </w:rPr>
              <w:t>List of Subsidiaries of Datadog, Inc.</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23.1</w:t>
            </w:r>
          </w:p>
        </w:tc>
        <w:tc>
          <w:tcPr>
            <w:tcW w:w="4040" w:type="dxa"/>
            <w:vAlign w:val="bottom"/>
            <w:gridSpan w:val="19"/>
          </w:tcPr>
          <w:p>
            <w:pPr>
              <w:spacing w:after="0"/>
              <w:rPr>
                <w:sz w:val="20"/>
                <w:szCs w:val="20"/>
                <w:color w:val="auto"/>
              </w:rPr>
            </w:pPr>
            <w:r>
              <w:rPr>
                <w:rFonts w:ascii="Arial" w:cs="Arial" w:eastAsia="Arial" w:hAnsi="Arial"/>
                <w:sz w:val="18"/>
                <w:szCs w:val="18"/>
                <w:color w:val="0000FF"/>
              </w:rPr>
              <w:t>Consent of Deloitte &amp; Touche LLP, independent</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155"/>
        </w:trPr>
        <w:tc>
          <w:tcPr>
            <w:tcW w:w="920" w:type="dxa"/>
            <w:vAlign w:val="bottom"/>
          </w:tcPr>
          <w:p>
            <w:pPr>
              <w:spacing w:after="0"/>
              <w:rPr>
                <w:sz w:val="13"/>
                <w:szCs w:val="13"/>
                <w:color w:val="auto"/>
              </w:rPr>
            </w:pPr>
          </w:p>
        </w:tc>
        <w:tc>
          <w:tcPr>
            <w:tcW w:w="34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registered public accounting firm.</w:t>
            </w: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24.1</w:t>
            </w:r>
          </w:p>
        </w:tc>
        <w:tc>
          <w:tcPr>
            <w:tcW w:w="4040" w:type="dxa"/>
            <w:vAlign w:val="bottom"/>
            <w:gridSpan w:val="19"/>
          </w:tcPr>
          <w:p>
            <w:pPr>
              <w:spacing w:after="0"/>
              <w:rPr>
                <w:sz w:val="20"/>
                <w:szCs w:val="20"/>
                <w:color w:val="auto"/>
              </w:rPr>
            </w:pPr>
            <w:r>
              <w:rPr>
                <w:rFonts w:ascii="Arial" w:cs="Arial" w:eastAsia="Arial" w:hAnsi="Arial"/>
                <w:sz w:val="18"/>
                <w:szCs w:val="18"/>
                <w:color w:val="0000FF"/>
                <w:w w:val="98"/>
              </w:rPr>
              <w:t>Power of Attorney (incorporated by reference to the</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155"/>
        </w:trPr>
        <w:tc>
          <w:tcPr>
            <w:tcW w:w="920" w:type="dxa"/>
            <w:vAlign w:val="bottom"/>
          </w:tcPr>
          <w:p>
            <w:pPr>
              <w:spacing w:after="0"/>
              <w:rPr>
                <w:sz w:val="13"/>
                <w:szCs w:val="13"/>
                <w:color w:val="auto"/>
              </w:rPr>
            </w:pPr>
          </w:p>
        </w:tc>
        <w:tc>
          <w:tcPr>
            <w:tcW w:w="374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92"/>
              </w:rPr>
              <w:t>signature pages of this Annual Report on Form 10-</w:t>
            </w: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68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K).</w:t>
            </w:r>
          </w:p>
        </w:tc>
        <w:tc>
          <w:tcPr>
            <w:tcW w:w="1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4040" w:type="dxa"/>
            <w:vAlign w:val="bottom"/>
            <w:gridSpan w:val="19"/>
          </w:tcPr>
          <w:p>
            <w:pPr>
              <w:spacing w:after="0"/>
              <w:rPr>
                <w:sz w:val="20"/>
                <w:szCs w:val="20"/>
                <w:color w:val="auto"/>
              </w:rPr>
            </w:pPr>
            <w:r>
              <w:rPr>
                <w:rFonts w:ascii="Arial" w:cs="Arial" w:eastAsia="Arial" w:hAnsi="Arial"/>
                <w:sz w:val="18"/>
                <w:szCs w:val="18"/>
                <w:color w:val="0000FF"/>
              </w:rPr>
              <w:t>Certification of Principal Executive Officer</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tcPr>
          <w:p>
            <w:pPr>
              <w:ind w:left="1940"/>
              <w:spacing w:after="0"/>
              <w:rPr>
                <w:sz w:val="20"/>
                <w:szCs w:val="20"/>
                <w:color w:val="auto"/>
              </w:rPr>
            </w:pPr>
            <w:r>
              <w:rPr>
                <w:rFonts w:ascii="Arial" w:cs="Arial" w:eastAsia="Arial" w:hAnsi="Arial"/>
                <w:sz w:val="18"/>
                <w:szCs w:val="18"/>
                <w:color w:val="auto"/>
                <w:w w:val="82"/>
              </w:rPr>
              <w:t>X</w:t>
            </w:r>
          </w:p>
        </w:tc>
      </w:tr>
      <w:tr>
        <w:trPr>
          <w:trHeight w:val="155"/>
        </w:trPr>
        <w:tc>
          <w:tcPr>
            <w:tcW w:w="920" w:type="dxa"/>
            <w:vAlign w:val="bottom"/>
          </w:tcPr>
          <w:p>
            <w:pPr>
              <w:spacing w:after="0"/>
              <w:rPr>
                <w:sz w:val="13"/>
                <w:szCs w:val="13"/>
                <w:color w:val="auto"/>
              </w:rPr>
            </w:pPr>
          </w:p>
        </w:tc>
        <w:tc>
          <w:tcPr>
            <w:tcW w:w="31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0"/>
              </w:rPr>
              <w:t>Pursuant to Rules 13a-14(a) and 15d-14(a)</w:t>
            </w:r>
          </w:p>
        </w:tc>
        <w:tc>
          <w:tcPr>
            <w:tcW w:w="900" w:type="dxa"/>
            <w:vAlign w:val="bottom"/>
            <w:gridSpan w:val="10"/>
          </w:tcPr>
          <w:p>
            <w:pPr>
              <w:spacing w:after="0" w:line="156" w:lineRule="exact"/>
              <w:rPr>
                <w:sz w:val="20"/>
                <w:szCs w:val="20"/>
                <w:color w:val="auto"/>
              </w:rPr>
            </w:pPr>
            <w:r>
              <w:rPr>
                <w:rFonts w:ascii="Arial" w:cs="Arial" w:eastAsia="Arial" w:hAnsi="Arial"/>
                <w:sz w:val="18"/>
                <w:szCs w:val="18"/>
                <w:color w:val="0000FF"/>
              </w:rPr>
              <w:t>under the</w:t>
            </w: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380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Securities Exchange Act of 1934, as Adopted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ind w:left="920"/>
        <w:spacing w:after="0" w:line="205" w:lineRule="auto"/>
        <w:rPr>
          <w:sz w:val="20"/>
          <w:szCs w:val="20"/>
          <w:color w:val="auto"/>
        </w:rPr>
      </w:pPr>
      <w:r>
        <w:rPr>
          <w:rFonts w:ascii="Arial" w:cs="Arial" w:eastAsia="Arial" w:hAnsi="Arial"/>
          <w:sz w:val="18"/>
          <w:szCs w:val="18"/>
          <w:u w:val="single" w:color="auto"/>
          <w:color w:val="0000FF"/>
        </w:rPr>
        <w:t>Pursuant to Section 302 of the Sarbanes-Oxley Act</w:t>
      </w:r>
    </w:p>
    <w:p>
      <w:pPr>
        <w:ind w:left="920"/>
        <w:spacing w:after="0"/>
        <w:rPr>
          <w:sz w:val="20"/>
          <w:szCs w:val="20"/>
          <w:color w:val="auto"/>
        </w:rPr>
      </w:pPr>
      <w:r>
        <w:rPr>
          <w:rFonts w:ascii="Arial" w:cs="Arial" w:eastAsia="Arial" w:hAnsi="Arial"/>
          <w:sz w:val="18"/>
          <w:szCs w:val="18"/>
          <w:u w:val="single" w:color="auto"/>
          <w:color w:val="0000FF"/>
        </w:rPr>
        <w:t>of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620" w:top="1013" w:right="859" w:bottom="1440" w:gutter="0" w:footer="0" w:header="0"/>
          <w:type w:val="continuous"/>
        </w:sectPr>
      </w:pPr>
    </w:p>
    <w:bookmarkStart w:id="93" w:name="page94"/>
    <w:bookmarkEnd w:id="93"/>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1"/>
              </w:rPr>
              <w:t>31.2</w:t>
            </w:r>
          </w:p>
        </w:tc>
        <w:tc>
          <w:tcPr>
            <w:tcW w:w="3800" w:type="dxa"/>
            <w:vAlign w:val="bottom"/>
            <w:gridSpan w:val="15"/>
          </w:tcPr>
          <w:p>
            <w:pPr>
              <w:spacing w:after="0"/>
              <w:rPr>
                <w:sz w:val="20"/>
                <w:szCs w:val="20"/>
                <w:color w:val="auto"/>
              </w:rPr>
            </w:pPr>
            <w:r>
              <w:rPr>
                <w:rFonts w:ascii="Arial" w:cs="Arial" w:eastAsia="Arial" w:hAnsi="Arial"/>
                <w:sz w:val="18"/>
                <w:szCs w:val="18"/>
                <w:color w:val="0000FF"/>
                <w:w w:val="94"/>
              </w:rPr>
              <w:t>Certification of Principal Financial Officer Pursuant</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to Rules 13a-14(a) and 15d-14(a) under the</w:t>
            </w:r>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3800" w:type="dxa"/>
            <w:vAlign w:val="bottom"/>
            <w:gridSpan w:val="15"/>
          </w:tcPr>
          <w:p>
            <w:pPr>
              <w:spacing w:after="0" w:line="156" w:lineRule="exact"/>
              <w:rPr>
                <w:sz w:val="20"/>
                <w:szCs w:val="20"/>
                <w:color w:val="auto"/>
              </w:rPr>
            </w:pPr>
            <w:r>
              <w:rPr>
                <w:rFonts w:ascii="Arial" w:cs="Arial" w:eastAsia="Arial" w:hAnsi="Arial"/>
                <w:sz w:val="18"/>
                <w:szCs w:val="18"/>
                <w:color w:val="0000FF"/>
              </w:rPr>
              <w:t>Securities Exchange Act of 1934, as Adopted</w:t>
            </w:r>
          </w:p>
        </w:tc>
        <w:tc>
          <w:tcPr>
            <w:tcW w:w="570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32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6"/>
              </w:rPr>
              <w:t>Pursuant to Section 302 of the Sarbanes-Oxley</w:t>
            </w:r>
          </w:p>
        </w:tc>
        <w:tc>
          <w:tcPr>
            <w:tcW w:w="520" w:type="dxa"/>
            <w:vAlign w:val="bottom"/>
            <w:gridSpan w:val="9"/>
          </w:tcPr>
          <w:p>
            <w:pPr>
              <w:ind w:left="140"/>
              <w:spacing w:after="0" w:line="169" w:lineRule="exact"/>
              <w:rPr>
                <w:sz w:val="20"/>
                <w:szCs w:val="20"/>
                <w:color w:val="auto"/>
              </w:rPr>
            </w:pPr>
            <w:r>
              <w:rPr>
                <w:rFonts w:ascii="Arial" w:cs="Arial" w:eastAsia="Arial" w:hAnsi="Arial"/>
                <w:sz w:val="18"/>
                <w:szCs w:val="18"/>
                <w:color w:val="0000FF"/>
              </w:rPr>
              <w:t>Act</w:t>
            </w:r>
          </w:p>
        </w:tc>
        <w:tc>
          <w:tcPr>
            <w:tcW w:w="570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368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32.1*</w:t>
            </w:r>
          </w:p>
        </w:tc>
        <w:tc>
          <w:tcPr>
            <w:tcW w:w="3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2"/>
              </w:rPr>
              <w:t>Certification of Principal Executive Officer Pursuant</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3800" w:type="dxa"/>
            <w:vAlign w:val="bottom"/>
            <w:gridSpan w:val="15"/>
          </w:tcPr>
          <w:p>
            <w:pPr>
              <w:spacing w:after="0" w:line="156" w:lineRule="exact"/>
              <w:rPr>
                <w:sz w:val="20"/>
                <w:szCs w:val="20"/>
                <w:color w:val="auto"/>
              </w:rPr>
            </w:pPr>
            <w:r>
              <w:rPr>
                <w:rFonts w:ascii="Arial" w:cs="Arial" w:eastAsia="Arial" w:hAnsi="Arial"/>
                <w:sz w:val="18"/>
                <w:szCs w:val="18"/>
                <w:color w:val="0000FF"/>
                <w:w w:val="93"/>
              </w:rPr>
              <w:t>to 18 U.S.C. Section 1350, as Adopted Pursuant to</w:t>
            </w:r>
          </w:p>
        </w:tc>
        <w:tc>
          <w:tcPr>
            <w:tcW w:w="570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0"/>
              </w:rPr>
              <w:t>Section 906 of the Sarbanes-Oxley Act of 2002.</w:t>
            </w:r>
          </w:p>
        </w:tc>
        <w:tc>
          <w:tcPr>
            <w:tcW w:w="18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5"/>
              </w:rPr>
              <w:t>32.2*</w:t>
            </w:r>
          </w:p>
        </w:tc>
        <w:tc>
          <w:tcPr>
            <w:tcW w:w="3800" w:type="dxa"/>
            <w:vAlign w:val="bottom"/>
            <w:gridSpan w:val="15"/>
          </w:tcPr>
          <w:p>
            <w:pPr>
              <w:spacing w:after="0"/>
              <w:rPr>
                <w:sz w:val="20"/>
                <w:szCs w:val="20"/>
                <w:color w:val="auto"/>
              </w:rPr>
            </w:pPr>
            <w:r>
              <w:rPr>
                <w:rFonts w:ascii="Arial" w:cs="Arial" w:eastAsia="Arial" w:hAnsi="Arial"/>
                <w:sz w:val="18"/>
                <w:szCs w:val="18"/>
                <w:color w:val="0000FF"/>
                <w:w w:val="94"/>
              </w:rPr>
              <w:t>Certification of Principal Financial Officer Pursuant</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37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2"/>
              </w:rPr>
              <w:t>to 18 U.S.C. Section 1350, as Adopted Pursuant to</w:t>
            </w:r>
          </w:p>
        </w:tc>
        <w:tc>
          <w:tcPr>
            <w:tcW w:w="40" w:type="dxa"/>
            <w:vAlign w:val="bottom"/>
          </w:tcPr>
          <w:p>
            <w:pPr>
              <w:spacing w:after="0"/>
              <w:rPr>
                <w:sz w:val="13"/>
                <w:szCs w:val="13"/>
                <w:color w:val="auto"/>
              </w:rPr>
            </w:pPr>
          </w:p>
        </w:tc>
        <w:tc>
          <w:tcPr>
            <w:tcW w:w="570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366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5"/>
              </w:rPr>
              <w:t>Section 906 of the Sarbanes-Oxley Act of 2002.</w:t>
            </w: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34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gridSpan w:val="8"/>
          </w:tcPr>
          <w:p>
            <w:pPr>
              <w:spacing w:after="0"/>
              <w:rPr>
                <w:sz w:val="24"/>
                <w:szCs w:val="24"/>
                <w:color w:val="auto"/>
              </w:rPr>
            </w:pP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63"/>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34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XBRL Taxonomy Extension Schema Document</w:t>
            </w:r>
          </w:p>
        </w:tc>
        <w:tc>
          <w:tcPr>
            <w:tcW w:w="320" w:type="dxa"/>
            <w:vAlign w:val="bottom"/>
            <w:gridSpan w:val="7"/>
          </w:tcPr>
          <w:p>
            <w:pPr>
              <w:spacing w:after="0"/>
              <w:rPr>
                <w:sz w:val="22"/>
                <w:szCs w:val="22"/>
                <w:color w:val="auto"/>
              </w:rPr>
            </w:pP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263"/>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3800" w:type="dxa"/>
            <w:vAlign w:val="bottom"/>
            <w:gridSpan w:val="15"/>
          </w:tcPr>
          <w:p>
            <w:pPr>
              <w:spacing w:after="0"/>
              <w:rPr>
                <w:sz w:val="20"/>
                <w:szCs w:val="20"/>
                <w:color w:val="auto"/>
              </w:rPr>
            </w:pPr>
            <w:r>
              <w:rPr>
                <w:rFonts w:ascii="Arial" w:cs="Arial" w:eastAsia="Arial" w:hAnsi="Arial"/>
                <w:sz w:val="18"/>
                <w:szCs w:val="18"/>
                <w:color w:val="auto"/>
                <w:w w:val="96"/>
              </w:rPr>
              <w:t>XBRL Taxonomy Extension Calculation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90"/>
              </w:rPr>
              <w:t>Document</w:t>
            </w:r>
          </w:p>
        </w:tc>
        <w:tc>
          <w:tcPr>
            <w:tcW w:w="2880" w:type="dxa"/>
            <w:vAlign w:val="bottom"/>
            <w:tcBorders>
              <w:top w:val="single" w:sz="8" w:color="auto"/>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38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90"/>
              </w:rPr>
              <w:t>Document</w:t>
            </w:r>
          </w:p>
        </w:tc>
        <w:tc>
          <w:tcPr>
            <w:tcW w:w="2800" w:type="dxa"/>
            <w:vAlign w:val="bottom"/>
            <w:tcBorders>
              <w:top w:val="single" w:sz="8" w:color="auto"/>
            </w:tcBorders>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38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90"/>
              </w:rPr>
              <w:t>Document</w:t>
            </w:r>
          </w:p>
        </w:tc>
        <w:tc>
          <w:tcPr>
            <w:tcW w:w="2460" w:type="dxa"/>
            <w:vAlign w:val="bottom"/>
            <w:tcBorders>
              <w:top w:val="single" w:sz="8" w:color="auto"/>
            </w:tcBorders>
            <w:gridSpan w:val="3"/>
          </w:tcPr>
          <w:p>
            <w:pPr>
              <w:spacing w:after="0"/>
              <w:rPr>
                <w:sz w:val="13"/>
                <w:szCs w:val="13"/>
                <w:color w:val="auto"/>
              </w:rPr>
            </w:pPr>
          </w:p>
        </w:tc>
        <w:tc>
          <w:tcPr>
            <w:tcW w:w="48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3800" w:type="dxa"/>
            <w:vAlign w:val="bottom"/>
            <w:gridSpan w:val="15"/>
          </w:tcPr>
          <w:p>
            <w:pPr>
              <w:spacing w:after="0"/>
              <w:rPr>
                <w:sz w:val="20"/>
                <w:szCs w:val="20"/>
                <w:color w:val="auto"/>
              </w:rPr>
            </w:pPr>
            <w:r>
              <w:rPr>
                <w:rFonts w:ascii="Arial" w:cs="Arial" w:eastAsia="Arial" w:hAnsi="Arial"/>
                <w:sz w:val="18"/>
                <w:szCs w:val="18"/>
                <w:color w:val="auto"/>
                <w:w w:val="93"/>
              </w:rPr>
              <w:t>XBRL Taxonomy Extension Presentation Linkbase</w:t>
            </w:r>
          </w:p>
        </w:tc>
        <w:tc>
          <w:tcPr>
            <w:tcW w:w="5700" w:type="dxa"/>
            <w:vAlign w:val="bottom"/>
          </w:tcPr>
          <w:p>
            <w:pPr>
              <w:ind w:left="558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90"/>
              </w:rPr>
              <w:t>Document</w:t>
            </w:r>
          </w:p>
        </w:tc>
        <w:tc>
          <w:tcPr>
            <w:tcW w:w="2940" w:type="dxa"/>
            <w:vAlign w:val="bottom"/>
            <w:tcBorders>
              <w:top w:val="single" w:sz="8" w:color="auto"/>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r>
    </w:tbl>
    <w:p>
      <w:pPr>
        <w:spacing w:after="0" w:line="3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3" w:lineRule="exact"/>
        <w:rPr>
          <w:sz w:val="20"/>
          <w:szCs w:val="20"/>
          <w:color w:val="auto"/>
        </w:rPr>
      </w:pPr>
    </w:p>
    <w:p>
      <w:pPr>
        <w:ind w:left="820" w:hanging="812"/>
        <w:spacing w:after="0" w:line="255" w:lineRule="auto"/>
        <w:tabs>
          <w:tab w:leader="none" w:pos="3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6"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Item 16. Form 10-K Summary</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DATADOG, INC.</w:t>
            </w:r>
          </w:p>
        </w:tc>
      </w:tr>
      <w:tr>
        <w:trPr>
          <w:trHeight w:val="499"/>
        </w:trPr>
        <w:tc>
          <w:tcPr>
            <w:tcW w:w="3660" w:type="dxa"/>
            <w:vAlign w:val="bottom"/>
          </w:tcPr>
          <w:p>
            <w:pPr>
              <w:spacing w:after="0"/>
              <w:rPr>
                <w:sz w:val="20"/>
                <w:szCs w:val="20"/>
                <w:color w:val="auto"/>
              </w:rPr>
            </w:pPr>
            <w:r>
              <w:rPr>
                <w:rFonts w:ascii="Arial" w:cs="Arial" w:eastAsia="Arial" w:hAnsi="Arial"/>
                <w:sz w:val="18"/>
                <w:szCs w:val="18"/>
                <w:color w:val="auto"/>
              </w:rPr>
              <w:t>Date: February 24, 2023</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Olivier Pomel</w:t>
            </w:r>
          </w:p>
        </w:tc>
      </w:tr>
      <w:tr>
        <w:trPr>
          <w:trHeight w:val="222"/>
        </w:trPr>
        <w:tc>
          <w:tcPr>
            <w:tcW w:w="3660" w:type="dxa"/>
            <w:vAlign w:val="bottom"/>
          </w:tcPr>
          <w:p>
            <w:pPr>
              <w:spacing w:after="0"/>
              <w:rPr>
                <w:sz w:val="19"/>
                <w:szCs w:val="19"/>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230"/>
        </w:trPr>
        <w:tc>
          <w:tcPr>
            <w:tcW w:w="366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5" w:name="page96"/>
    <w:bookmarkEnd w:id="95"/>
    <w:p>
      <w:pP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32385</wp:posOffset>
            </wp:positionV>
            <wp:extent cx="2040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Olivier Pomel</w:t>
      </w: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David Obstler</w:t>
      </w: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Alexis Le-Qu</w:t>
      </w:r>
      <w:r>
        <w:rPr>
          <w:rFonts w:ascii="Arial" w:cs="Arial" w:eastAsia="Arial" w:hAnsi="Arial"/>
          <w:sz w:val="18"/>
          <w:szCs w:val="18"/>
          <w:color w:val="auto"/>
        </w:rPr>
        <w:t>ô</w:t>
      </w:r>
      <w:r>
        <w:rPr>
          <w:rFonts w:ascii="Arial" w:cs="Arial" w:eastAsia="Arial" w:hAnsi="Arial"/>
          <w:sz w:val="18"/>
          <w:szCs w:val="18"/>
          <w:i w:val="1"/>
          <w:i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Alexis Le-Quôc</w:t>
      </w:r>
    </w:p>
    <w:p>
      <w:pPr>
        <w:spacing w:after="0" w:line="320"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/s/ Michael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22225</wp:posOffset>
            </wp:positionV>
            <wp:extent cx="2040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Michael Callahan</w:t>
      </w:r>
    </w:p>
    <w:p>
      <w:pPr>
        <w:spacing w:after="0" w:line="333" w:lineRule="exact"/>
        <w:rPr>
          <w:sz w:val="20"/>
          <w:szCs w:val="20"/>
          <w:color w:val="auto"/>
        </w:rPr>
      </w:pPr>
    </w:p>
    <w:p>
      <w:pPr>
        <w:jc w:val="center"/>
        <w:ind w:right="200"/>
        <w:spacing w:after="0"/>
        <w:rPr>
          <w:sz w:val="20"/>
          <w:szCs w:val="20"/>
          <w:color w:val="auto"/>
        </w:rPr>
      </w:pPr>
      <w:r>
        <w:rPr>
          <w:rFonts w:ascii="Arial" w:cs="Arial" w:eastAsia="Arial" w:hAnsi="Arial"/>
          <w:sz w:val="16"/>
          <w:szCs w:val="16"/>
          <w:i w:val="1"/>
          <w:iCs w:val="1"/>
          <w:color w:val="auto"/>
        </w:rPr>
        <w:t>/s/ Matthew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29210</wp:posOffset>
            </wp:positionV>
            <wp:extent cx="2040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6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Matthew Jacobson</w:t>
      </w: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Dev Ittycheria</w:t>
      </w:r>
    </w:p>
    <w:p>
      <w:pPr>
        <w:spacing w:after="0" w:line="333"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/s/ Julie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Julie Richardson</w:t>
      </w: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Shardul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Shardul Shah</w:t>
      </w:r>
    </w:p>
    <w:p>
      <w:pPr>
        <w:spacing w:after="0" w:line="33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 Titi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14605</wp:posOffset>
            </wp:positionV>
            <wp:extent cx="2040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Titi Cole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ind w:left="2540"/>
              <w:spacing w:after="0"/>
              <w:rPr>
                <w:sz w:val="20"/>
                <w:szCs w:val="20"/>
                <w:color w:val="auto"/>
              </w:rPr>
            </w:pPr>
            <w:r>
              <w:rPr>
                <w:rFonts w:ascii="Arial" w:cs="Arial" w:eastAsia="Arial" w:hAnsi="Arial"/>
                <w:sz w:val="14"/>
                <w:szCs w:val="14"/>
                <w:b w:val="1"/>
                <w:bCs w:val="1"/>
                <w:color w:val="auto"/>
              </w:rPr>
              <w:t>Title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52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440" w:type="dxa"/>
            <w:vAlign w:val="bottom"/>
          </w:tcPr>
          <w:p>
            <w:pPr>
              <w:spacing w:after="0"/>
              <w:rPr>
                <w:sz w:val="20"/>
                <w:szCs w:val="20"/>
                <w:color w:val="auto"/>
              </w:rPr>
            </w:pPr>
          </w:p>
        </w:tc>
      </w:tr>
      <w:tr>
        <w:trPr>
          <w:trHeight w:val="58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440" w:type="dxa"/>
            <w:vAlign w:val="bottom"/>
          </w:tcPr>
          <w:p>
            <w:pPr>
              <w:spacing w:after="0"/>
              <w:rPr>
                <w:sz w:val="20"/>
                <w:szCs w:val="20"/>
                <w:color w:val="auto"/>
              </w:rPr>
            </w:pPr>
          </w:p>
        </w:tc>
      </w:tr>
      <w:tr>
        <w:trPr>
          <w:trHeight w:val="634"/>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President, Chief Technology Officer and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797"/>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81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81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81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81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r>
        <w:trPr>
          <w:trHeight w:val="81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February 24,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1780" w:space="720"/>
            <w:col w:w="7880"/>
          </w:cols>
          <w:pgMar w:left="1140" w:top="1021" w:right="37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Datadog, Inc.</w:t>
      </w:r>
    </w:p>
    <w:p>
      <w:pPr>
        <w:jc w:val="right"/>
        <w:spacing w:after="0" w:line="203" w:lineRule="auto"/>
        <w:rPr>
          <w:sz w:val="20"/>
          <w:szCs w:val="20"/>
          <w:color w:val="auto"/>
        </w:rPr>
      </w:pPr>
      <w:r>
        <w:rPr>
          <w:rFonts w:ascii="Arial" w:cs="Arial" w:eastAsia="Arial" w:hAnsi="Arial"/>
          <w:sz w:val="18"/>
          <w:szCs w:val="18"/>
          <w:color w:val="auto"/>
        </w:rPr>
        <w:t>620 8th Avenue, 45th Floor</w:t>
      </w:r>
    </w:p>
    <w:p>
      <w:pPr>
        <w:jc w:val="right"/>
        <w:spacing w:after="0" w:line="219" w:lineRule="auto"/>
        <w:rPr>
          <w:sz w:val="20"/>
          <w:szCs w:val="20"/>
          <w:color w:val="auto"/>
        </w:rPr>
      </w:pPr>
      <w:r>
        <w:rPr>
          <w:rFonts w:ascii="Arial" w:cs="Arial" w:eastAsia="Arial" w:hAnsi="Arial"/>
          <w:sz w:val="18"/>
          <w:szCs w:val="18"/>
          <w:color w:val="auto"/>
        </w:rPr>
        <w:t>New York, NY 10018</w:t>
      </w:r>
    </w:p>
    <w:p>
      <w:pPr>
        <w:ind w:left="10120"/>
        <w:spacing w:after="0" w:line="229" w:lineRule="auto"/>
        <w:rPr>
          <w:sz w:val="20"/>
          <w:szCs w:val="20"/>
          <w:color w:val="auto"/>
        </w:rPr>
      </w:pPr>
      <w:r>
        <w:rPr>
          <w:rFonts w:ascii="Arial" w:cs="Arial" w:eastAsia="Arial" w:hAnsi="Arial"/>
          <w:sz w:val="16"/>
          <w:szCs w:val="16"/>
          <w:color w:val="auto"/>
        </w:rPr>
        <w:t>(866) 329-4466</w:t>
      </w:r>
    </w:p>
    <w:p>
      <w:pPr>
        <w:ind w:left="9720"/>
        <w:spacing w:after="0"/>
        <w:rPr>
          <w:sz w:val="20"/>
          <w:szCs w:val="20"/>
          <w:color w:val="auto"/>
        </w:rPr>
      </w:pPr>
      <w:r>
        <w:rPr>
          <w:rFonts w:ascii="Arial" w:cs="Arial" w:eastAsia="Arial" w:hAnsi="Arial"/>
          <w:sz w:val="16"/>
          <w:szCs w:val="16"/>
          <w:color w:val="auto"/>
        </w:rPr>
        <w:t>www.datadoghq.com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105535" cy="1148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11055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Sean Walters</w:t>
      </w:r>
    </w:p>
    <w:p>
      <w:pPr>
        <w:spacing w:after="0"/>
        <w:rPr>
          <w:sz w:val="20"/>
          <w:szCs w:val="20"/>
          <w:color w:val="auto"/>
        </w:rPr>
      </w:pPr>
      <w:r>
        <w:rPr>
          <w:rFonts w:ascii="Arial" w:cs="Arial" w:eastAsia="Arial" w:hAnsi="Arial"/>
          <w:sz w:val="18"/>
          <w:szCs w:val="18"/>
          <w:color w:val="auto"/>
        </w:rPr>
        <w:t>Sean1w@aol.com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Sean,</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Datadog, Inc. (the “Company”) is pleased to update the original terms of your employment set forth in the letter agreement dated February 9, 2018 (the “Original Offer Letter”) as follows:</w:t>
      </w:r>
    </w:p>
    <w:p>
      <w:pPr>
        <w:spacing w:after="0" w:line="171" w:lineRule="exact"/>
        <w:rPr>
          <w:sz w:val="20"/>
          <w:szCs w:val="20"/>
          <w:color w:val="auto"/>
        </w:rPr>
      </w:pPr>
    </w:p>
    <w:p>
      <w:pPr>
        <w:jc w:val="both"/>
        <w:ind w:left="340" w:hanging="332"/>
        <w:spacing w:after="0" w:line="22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title will be</w:t>
      </w:r>
      <w:r>
        <w:rPr>
          <w:rFonts w:ascii="Arial" w:cs="Arial" w:eastAsia="Arial" w:hAnsi="Arial"/>
          <w:sz w:val="18"/>
          <w:szCs w:val="18"/>
          <w:b w:val="1"/>
          <w:bCs w:val="1"/>
          <w:color w:val="auto"/>
        </w:rPr>
        <w:t xml:space="preserve"> Chief Revenue Officer </w:t>
      </w:r>
      <w:r>
        <w:rPr>
          <w:rFonts w:ascii="Arial" w:cs="Arial" w:eastAsia="Arial" w:hAnsi="Arial"/>
          <w:sz w:val="18"/>
          <w:szCs w:val="18"/>
          <w:color w:val="auto"/>
        </w:rPr>
        <w:t>and in this role you will initially report to the Company’s Chief Executive Officer. This remains a</w:t>
      </w:r>
      <w:r>
        <w:rPr>
          <w:rFonts w:ascii="Arial" w:cs="Arial" w:eastAsia="Arial" w:hAnsi="Arial"/>
          <w:sz w:val="18"/>
          <w:szCs w:val="18"/>
          <w:b w:val="1"/>
          <w:bCs w:val="1"/>
          <w:color w:val="auto"/>
        </w:rPr>
        <w:t xml:space="preserve"> </w:t>
      </w:r>
      <w:r>
        <w:rPr>
          <w:rFonts w:ascii="Arial" w:cs="Arial" w:eastAsia="Arial" w:hAnsi="Arial"/>
          <w:sz w:val="18"/>
          <w:szCs w:val="18"/>
          <w:color w:val="auto"/>
        </w:rPr>
        <w:t>full time, exempt position. Your principal workplace will be New York, New York.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58" w:lineRule="exact"/>
        <w:rPr>
          <w:rFonts w:ascii="Arial" w:cs="Arial" w:eastAsia="Arial" w:hAnsi="Arial"/>
          <w:sz w:val="18"/>
          <w:szCs w:val="18"/>
          <w:color w:val="auto"/>
        </w:rPr>
      </w:pPr>
    </w:p>
    <w:p>
      <w:pPr>
        <w:jc w:val="both"/>
        <w:ind w:left="340" w:hanging="332"/>
        <w:spacing w:after="0" w:line="231"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In this role, and effective as of January 1, 2022, the Company will pay you a starting salary of $15,000.00 per pay period (equivalent to</w:t>
      </w:r>
      <w:r>
        <w:rPr>
          <w:rFonts w:ascii="Arial" w:cs="Arial" w:eastAsia="Arial" w:hAnsi="Arial"/>
          <w:sz w:val="18"/>
          <w:szCs w:val="18"/>
          <w:b w:val="1"/>
          <w:bCs w:val="1"/>
          <w:color w:val="auto"/>
        </w:rPr>
        <w:t xml:space="preserve"> $360,000.00 </w:t>
      </w:r>
      <w:r>
        <w:rPr>
          <w:rFonts w:ascii="Arial" w:cs="Arial" w:eastAsia="Arial" w:hAnsi="Arial"/>
          <w:sz w:val="18"/>
          <w:szCs w:val="18"/>
          <w:color w:val="auto"/>
        </w:rPr>
        <w:t>annually), payable in accordance with the Company’s standard payroll schedule. This salary may be subject to adjustment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compensation policies in effect from time to time.</w:t>
      </w:r>
    </w:p>
    <w:p>
      <w:pPr>
        <w:spacing w:after="0" w:line="158" w:lineRule="exact"/>
        <w:rPr>
          <w:rFonts w:ascii="Arial" w:cs="Arial" w:eastAsia="Arial" w:hAnsi="Arial"/>
          <w:sz w:val="18"/>
          <w:szCs w:val="18"/>
          <w:color w:val="auto"/>
        </w:rPr>
      </w:pPr>
    </w:p>
    <w:p>
      <w:pPr>
        <w:jc w:val="both"/>
        <w:ind w:left="340" w:hanging="332"/>
        <w:spacing w:after="0" w:line="22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Bonus</w:t>
      </w:r>
      <w:r>
        <w:rPr>
          <w:rFonts w:ascii="Arial" w:cs="Arial" w:eastAsia="Arial" w:hAnsi="Arial"/>
          <w:sz w:val="18"/>
          <w:szCs w:val="18"/>
          <w:color w:val="auto"/>
        </w:rPr>
        <w:t>. Subject to the approval of the Compensation Committee of the Company’s Board of Directors (the “Compensation Committee”) your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bonus target will be </w:t>
      </w:r>
      <w:r>
        <w:rPr>
          <w:rFonts w:ascii="Arial" w:cs="Arial" w:eastAsia="Arial" w:hAnsi="Arial"/>
          <w:sz w:val="18"/>
          <w:szCs w:val="18"/>
          <w:b w:val="1"/>
          <w:bCs w:val="1"/>
          <w:color w:val="auto"/>
        </w:rPr>
        <w:t>$360,000.00</w:t>
      </w:r>
      <w:r>
        <w:rPr>
          <w:rFonts w:ascii="Arial" w:cs="Arial" w:eastAsia="Arial" w:hAnsi="Arial"/>
          <w:sz w:val="18"/>
          <w:szCs w:val="18"/>
          <w:color w:val="auto"/>
        </w:rPr>
        <w:t>. The bonus will be determined and paid following the completion of the calendar year in the sole discretion of the Compensation Committee based on a review of your performance and the performance of the Company in accordance with a bonus plan to be established by the Compensation Committee. You must be actively employed on December 31 of the pertinent year and on the payment date in order to be eligible for the bonus.</w:t>
      </w:r>
    </w:p>
    <w:p>
      <w:pPr>
        <w:spacing w:after="0" w:line="158" w:lineRule="exact"/>
        <w:rPr>
          <w:rFonts w:ascii="Arial" w:cs="Arial" w:eastAsia="Arial" w:hAnsi="Arial"/>
          <w:sz w:val="18"/>
          <w:szCs w:val="18"/>
          <w:color w:val="auto"/>
        </w:rPr>
      </w:pPr>
    </w:p>
    <w:p>
      <w:pPr>
        <w:ind w:left="340" w:hanging="332"/>
        <w:spacing w:after="0" w:line="23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color w:val="auto"/>
        </w:rPr>
        <w:t>As a regular employee of the Company, you will continue to be eligible to participate in a number of Company-sponsored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outlined in the benefits guide.</w:t>
      </w:r>
    </w:p>
    <w:p>
      <w:pPr>
        <w:spacing w:after="0" w:line="171" w:lineRule="exact"/>
        <w:rPr>
          <w:rFonts w:ascii="Arial" w:cs="Arial" w:eastAsia="Arial" w:hAnsi="Arial"/>
          <w:sz w:val="18"/>
          <w:szCs w:val="18"/>
          <w:color w:val="auto"/>
        </w:rPr>
      </w:pPr>
    </w:p>
    <w:p>
      <w:pPr>
        <w:jc w:val="both"/>
        <w:ind w:left="340" w:hanging="332"/>
        <w:spacing w:after="0" w:line="249"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212121"/>
        </w:rPr>
        <w:t xml:space="preserve">Equity Award. </w:t>
      </w:r>
      <w:r>
        <w:rPr>
          <w:rFonts w:ascii="Arial" w:cs="Arial" w:eastAsia="Arial" w:hAnsi="Arial"/>
          <w:sz w:val="16"/>
          <w:szCs w:val="16"/>
          <w:color w:val="212121"/>
        </w:rPr>
        <w:t>Subject to the approval of the Compensation Committee (the “Administrator”), you will be granted a restricted stock unit award with</w:t>
      </w:r>
      <w:r>
        <w:rPr>
          <w:rFonts w:ascii="Arial" w:cs="Arial" w:eastAsia="Arial" w:hAnsi="Arial"/>
          <w:sz w:val="16"/>
          <w:szCs w:val="16"/>
          <w:b w:val="1"/>
          <w:bCs w:val="1"/>
          <w:color w:val="212121"/>
        </w:rPr>
        <w:t xml:space="preserve"> </w:t>
      </w:r>
      <w:r>
        <w:rPr>
          <w:rFonts w:ascii="Arial" w:cs="Arial" w:eastAsia="Arial" w:hAnsi="Arial"/>
          <w:sz w:val="16"/>
          <w:szCs w:val="16"/>
          <w:color w:val="212121"/>
        </w:rPr>
        <w:t xml:space="preserve">respect to shares of the Company’s Class A Common Stock with a value of </w:t>
      </w:r>
      <w:r>
        <w:rPr>
          <w:rFonts w:ascii="Arial" w:cs="Arial" w:eastAsia="Arial" w:hAnsi="Arial"/>
          <w:sz w:val="16"/>
          <w:szCs w:val="16"/>
          <w:b w:val="1"/>
          <w:bCs w:val="1"/>
          <w:color w:val="212121"/>
        </w:rPr>
        <w:t>$12 million</w:t>
      </w:r>
      <w:r>
        <w:rPr>
          <w:rFonts w:ascii="Arial" w:cs="Arial" w:eastAsia="Arial" w:hAnsi="Arial"/>
          <w:sz w:val="16"/>
          <w:szCs w:val="16"/>
          <w:color w:val="212121"/>
        </w:rPr>
        <w:t xml:space="preserve"> as determined by the Administrator based on the volume weighted average price during the month of January (the “RSU”). The RSU will be subject to the terms and conditions applicable to RSUs granted under the Company’s 2019 Equity Incentive Plan (the “2019 Plan”), as described in the 2019 Plan and the applicable RSU Agreement. The RSUs will vest over a four-year schedule in accordance with the Company’s standard policy and the applicable RSU Agreement.</w:t>
      </w:r>
    </w:p>
    <w:p>
      <w:pPr>
        <w:spacing w:after="0" w:line="15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Proprietary Information and Inventions Agreement. </w:t>
      </w:r>
      <w:r>
        <w:rPr>
          <w:rFonts w:ascii="Arial" w:cs="Arial" w:eastAsia="Arial" w:hAnsi="Arial"/>
          <w:sz w:val="18"/>
          <w:szCs w:val="18"/>
          <w:color w:val="auto"/>
        </w:rPr>
        <w:t>You remain subject to the Proprietary Information and Inventions Agreement you executed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9, 2018.</w:t>
      </w:r>
    </w:p>
    <w:p>
      <w:pPr>
        <w:spacing w:after="0" w:line="14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Severance Benefits. </w:t>
      </w:r>
      <w:r>
        <w:rPr>
          <w:rFonts w:ascii="Arial" w:cs="Arial" w:eastAsia="Arial" w:hAnsi="Arial"/>
          <w:sz w:val="17"/>
          <w:szCs w:val="17"/>
          <w:color w:val="auto"/>
        </w:rPr>
        <w:t>You will be eligible for severance benefits in accordance with the Severance Agreement attached hereto as</w:t>
      </w:r>
      <w:r>
        <w:rPr>
          <w:rFonts w:ascii="Arial" w:cs="Arial" w:eastAsia="Arial" w:hAnsi="Arial"/>
          <w:sz w:val="17"/>
          <w:szCs w:val="17"/>
          <w:b w:val="1"/>
          <w:bCs w:val="1"/>
          <w:color w:val="auto"/>
        </w:rPr>
        <w:t xml:space="preserve"> Exhibit A.</w:t>
      </w:r>
    </w:p>
    <w:p>
      <w:pPr>
        <w:sectPr>
          <w:pgSz w:w="11900" w:h="16838" w:orient="portrait"/>
          <w:cols w:equalWidth="0" w:num="1">
            <w:col w:w="11240"/>
          </w:cols>
          <w:pgMar w:left="320" w:top="135" w:right="339" w:bottom="1440" w:gutter="0" w:footer="0" w:header="0"/>
        </w:sectPr>
      </w:pPr>
    </w:p>
    <w:bookmarkStart w:id="97" w:name="page98"/>
    <w:bookmarkEnd w:id="97"/>
    <w:p>
      <w:pPr>
        <w:jc w:val="both"/>
        <w:ind w:left="340" w:hanging="332"/>
        <w:spacing w:after="0" w:line="249"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Employment Relationship. </w:t>
      </w:r>
      <w:r>
        <w:rPr>
          <w:rFonts w:ascii="Arial" w:cs="Arial" w:eastAsia="Arial" w:hAnsi="Arial"/>
          <w:sz w:val="16"/>
          <w:szCs w:val="16"/>
          <w:color w:val="auto"/>
        </w:rPr>
        <w:t>Your employment with the Company continues to be for no specific period of time. Your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remains “at will,” meaning that either you or the Company may terminate your employment at any time and for any reason, with or without cause, subject to the severance benefits described in paragraph 7 above. Any contrary representations that may have been made to you are superseded by this letter agreement. This is the full and complete agreement between you and the Company on this term. Although your job duties, title, compensation and benefits, as well as the Company’s employment policies and procedures, may change from time to time, the “at will” nature of your employment may only be changed in an express written agreement signed by you and a duly authorized officer of the Company (other than you).</w:t>
      </w:r>
    </w:p>
    <w:p>
      <w:pPr>
        <w:spacing w:after="0" w:line="150" w:lineRule="exact"/>
        <w:rPr>
          <w:rFonts w:ascii="Arial" w:cs="Arial" w:eastAsia="Arial" w:hAnsi="Arial"/>
          <w:sz w:val="16"/>
          <w:szCs w:val="16"/>
          <w:color w:val="auto"/>
        </w:rPr>
      </w:pPr>
    </w:p>
    <w:p>
      <w:pPr>
        <w:ind w:left="340" w:hanging="332"/>
        <w:spacing w:after="0" w:line="23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Other Required Conditions. </w:t>
      </w:r>
      <w:r>
        <w:rPr>
          <w:rFonts w:ascii="Arial" w:cs="Arial" w:eastAsia="Arial" w:hAnsi="Arial"/>
          <w:sz w:val="18"/>
          <w:szCs w:val="18"/>
          <w:color w:val="auto"/>
        </w:rPr>
        <w:t>This offer of employment is contingent on satisfactory completion of a D&amp;O questionnaire to be provided to you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184" w:lineRule="exact"/>
        <w:rPr>
          <w:rFonts w:ascii="Arial" w:cs="Arial" w:eastAsia="Arial" w:hAnsi="Arial"/>
          <w:sz w:val="18"/>
          <w:szCs w:val="18"/>
          <w:color w:val="auto"/>
        </w:rPr>
      </w:pPr>
    </w:p>
    <w:p>
      <w:pPr>
        <w:ind w:left="980" w:hanging="324"/>
        <w:spacing w:after="0" w:line="237"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forms of compensation referred to in this letter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as required by law.</w:t>
      </w:r>
    </w:p>
    <w:p>
      <w:pPr>
        <w:spacing w:after="0" w:line="171" w:lineRule="exact"/>
        <w:rPr>
          <w:rFonts w:ascii="Arial" w:cs="Arial" w:eastAsia="Arial" w:hAnsi="Arial"/>
          <w:sz w:val="18"/>
          <w:szCs w:val="18"/>
          <w:color w:val="auto"/>
        </w:rPr>
      </w:pPr>
    </w:p>
    <w:p>
      <w:pPr>
        <w:jc w:val="both"/>
        <w:ind w:left="980" w:hanging="324"/>
        <w:spacing w:after="0" w:line="226"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Tax Advice. </w:t>
      </w:r>
      <w:r>
        <w:rPr>
          <w:rFonts w:ascii="Arial" w:cs="Arial" w:eastAsia="Arial" w:hAnsi="Arial"/>
          <w:sz w:val="18"/>
          <w:szCs w:val="18"/>
          <w:color w:val="auto"/>
        </w:rPr>
        <w:t>You are encouraged to obtain your own tax advice regarding your compensation from the Company. You agree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1" w:lineRule="exact"/>
        <w:rPr>
          <w:rFonts w:ascii="Arial" w:cs="Arial" w:eastAsia="Arial" w:hAnsi="Arial"/>
          <w:sz w:val="18"/>
          <w:szCs w:val="18"/>
          <w:color w:val="auto"/>
        </w:rPr>
      </w:pPr>
    </w:p>
    <w:p>
      <w:pPr>
        <w:jc w:val="both"/>
        <w:ind w:left="340" w:hanging="332"/>
        <w:spacing w:after="0" w:line="217" w:lineRule="auto"/>
        <w:tabs>
          <w:tab w:leader="none" w:pos="329"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Interpretation, Amendment and Enforcement. </w:t>
      </w:r>
      <w:r>
        <w:rPr>
          <w:rFonts w:ascii="Arial" w:cs="Arial" w:eastAsia="Arial" w:hAnsi="Arial"/>
          <w:sz w:val="18"/>
          <w:szCs w:val="18"/>
          <w:color w:val="auto"/>
        </w:rPr>
        <w:t>This letter agreement, the PIAA, and the Severance Agreement constitute the 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you and the Company, contain all of the terms of your employment with the Company and supersede any prior agreements, representations or understandings (whether written, oral or implied) between you and the Company. The terms of this letter agreement and the resolution of any disputes as to the meaning, effect, performance or validity of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4" w:right="3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color w:val="auto"/>
        </w:rPr>
        <w:t>You may indicate your agreement with these terms and accept this offer by signing and dating this letter agreement and returning it to 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ind w:left="4540"/>
        <w:spacing w:after="0"/>
        <w:rPr>
          <w:sz w:val="20"/>
          <w:szCs w:val="20"/>
          <w:color w:val="auto"/>
        </w:rPr>
      </w:pPr>
      <w:r>
        <w:rPr>
          <w:rFonts w:ascii="Arial" w:cs="Arial" w:eastAsia="Arial" w:hAnsi="Arial"/>
          <w:sz w:val="18"/>
          <w:szCs w:val="18"/>
          <w:color w:val="auto"/>
        </w:rPr>
        <w:t>DATADOG, INC.</w:t>
      </w: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-635</wp:posOffset>
            </wp:positionV>
            <wp:extent cx="923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ind w:left="4540"/>
        <w:spacing w:after="0" w:line="219" w:lineRule="auto"/>
        <w:rPr>
          <w:sz w:val="20"/>
          <w:szCs w:val="20"/>
          <w:color w:val="auto"/>
        </w:rPr>
      </w:pPr>
      <w:r>
        <w:rPr>
          <w:rFonts w:ascii="Arial" w:cs="Arial" w:eastAsia="Arial" w:hAnsi="Arial"/>
          <w:sz w:val="18"/>
          <w:szCs w:val="18"/>
          <w:color w:val="auto"/>
        </w:rPr>
        <w:t>Name: Olivier Pomel</w:t>
      </w:r>
    </w:p>
    <w:p>
      <w:pPr>
        <w:jc w:val="cente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22" w:lineRule="auto"/>
        <w:rPr>
          <w:sz w:val="20"/>
          <w:szCs w:val="20"/>
          <w:color w:val="auto"/>
        </w:rPr>
      </w:pPr>
      <w:r>
        <w:rPr>
          <w:rFonts w:ascii="Arial" w:cs="Arial" w:eastAsia="Arial" w:hAnsi="Arial"/>
          <w:sz w:val="18"/>
          <w:szCs w:val="18"/>
          <w:b w:val="1"/>
          <w:bCs w:val="1"/>
          <w:color w:val="auto"/>
        </w:rPr>
        <w:t>I ACKNOWLEDGE RECEIPT OF, AND AGREE TO THE TERMS OF, THIS LETTER AGREEMENT (INCLUDING SALARY, PAY RATE AND PAYDAY INFORMATION). I ADVISED DATADOG THAT MY PRIMARY LANGUAGE IS ENGLISH, AND WAS GIVEN THIS</w:t>
      </w:r>
    </w:p>
    <w:p>
      <w:pPr>
        <w:spacing w:after="0" w:line="205" w:lineRule="auto"/>
        <w:rPr>
          <w:sz w:val="20"/>
          <w:szCs w:val="20"/>
          <w:color w:val="auto"/>
        </w:rPr>
      </w:pPr>
      <w:r>
        <w:rPr>
          <w:rFonts w:ascii="Arial" w:cs="Arial" w:eastAsia="Arial" w:hAnsi="Arial"/>
          <w:sz w:val="18"/>
          <w:szCs w:val="18"/>
          <w:b w:val="1"/>
          <w:bCs w:val="1"/>
          <w:color w:val="auto"/>
        </w:rPr>
        <w:t>LETTER AGREEMENT IN ENGLISH BECAUSE IT IS MY PRIMARY LANGUAGE.</w:t>
      </w:r>
    </w:p>
    <w:p>
      <w:pPr>
        <w:spacing w:after="0"/>
        <w:tabs>
          <w:tab w:leader="none" w:pos="180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Sean Walters</w:t>
      </w:r>
      <w:r>
        <w:rPr>
          <w:sz w:val="20"/>
          <w:szCs w:val="20"/>
          <w:color w:val="auto"/>
        </w:rPr>
        <w:tab/>
      </w:r>
      <w:r>
        <w:rPr>
          <w:rFonts w:ascii="Arial" w:cs="Arial" w:eastAsia="Arial" w:hAnsi="Arial"/>
          <w:sz w:val="16"/>
          <w:szCs w:val="16"/>
          <w:color w:val="auto"/>
        </w:rPr>
        <w:t>Date: January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-20320</wp:posOffset>
            </wp:positionV>
            <wp:extent cx="2105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540" w:type="dxa"/>
            <w:vAlign w:val="bottom"/>
            <w:gridSpan w:val="3"/>
          </w:tcPr>
          <w:p>
            <w:pPr>
              <w:ind w:left="780"/>
              <w:spacing w:after="0"/>
              <w:rPr>
                <w:sz w:val="20"/>
                <w:szCs w:val="20"/>
                <w:color w:val="auto"/>
              </w:rPr>
            </w:pPr>
            <w:r>
              <w:rPr>
                <w:rFonts w:ascii="Arial" w:cs="Arial" w:eastAsia="Arial" w:hAnsi="Arial"/>
                <w:sz w:val="18"/>
                <w:szCs w:val="18"/>
                <w:b w:val="1"/>
                <w:bCs w:val="1"/>
                <w:color w:val="auto"/>
                <w:w w:val="89"/>
              </w:rPr>
              <w:t>List of Subsidiaries of Datadog, Inc.</w:t>
            </w: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9"/>
        </w:trPr>
        <w:tc>
          <w:tcPr>
            <w:tcW w:w="3440" w:type="dxa"/>
            <w:vAlign w:val="bottom"/>
            <w:gridSpan w:val="2"/>
          </w:tcPr>
          <w:p>
            <w:pPr>
              <w:spacing w:after="0"/>
              <w:rPr>
                <w:sz w:val="20"/>
                <w:szCs w:val="20"/>
                <w:color w:val="auto"/>
              </w:rPr>
            </w:pPr>
            <w:r>
              <w:rPr>
                <w:rFonts w:ascii="Arial" w:cs="Arial" w:eastAsia="Arial" w:hAnsi="Arial"/>
                <w:sz w:val="18"/>
                <w:szCs w:val="18"/>
                <w:color w:val="auto"/>
              </w:rPr>
              <w:t>Datadog France SAS</w:t>
            </w:r>
          </w:p>
        </w:tc>
        <w:tc>
          <w:tcPr>
            <w:tcW w:w="218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auto"/>
              </w:rPr>
              <w:t>Datadog Ireland Limited</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Datadog Cloud Spain SL</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auto"/>
              </w:rPr>
              <w:t>Datadog Ireland Limited UK Branch</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Datadog Netherlands BV</w:t>
            </w:r>
          </w:p>
        </w:tc>
        <w:tc>
          <w:tcPr>
            <w:tcW w:w="21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220"/>
          </w:cols>
          <w:pgMar w:left="34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Registration Statement Nos. 333-233903, 333-237176 and 333-254229 on Form S-8 of our reports dated</w:t>
      </w:r>
    </w:p>
    <w:p>
      <w:pPr>
        <w:ind w:right="760"/>
        <w:spacing w:after="0" w:line="232" w:lineRule="auto"/>
        <w:rPr>
          <w:sz w:val="20"/>
          <w:szCs w:val="20"/>
          <w:color w:val="auto"/>
        </w:rPr>
      </w:pPr>
      <w:r>
        <w:rPr>
          <w:rFonts w:ascii="Arial" w:cs="Arial" w:eastAsia="Arial" w:hAnsi="Arial"/>
          <w:sz w:val="16"/>
          <w:szCs w:val="16"/>
          <w:color w:val="auto"/>
        </w:rPr>
        <w:t>February 24, 2023 relating to the consolidated financial statements of Datadog, Inc. and subsidiaries (the “Company”), and the effectiveness of the Company's internal control over financial reporting, appearing in this Annual Report on Form 10-K for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2022;</w:t>
      </w:r>
    </w:p>
    <w:p>
      <w:pPr>
        <w:spacing w:after="0" w:line="236" w:lineRule="exact"/>
        <w:rPr>
          <w:rFonts w:ascii="Arial" w:cs="Arial" w:eastAsia="Arial" w:hAnsi="Arial"/>
          <w:sz w:val="17"/>
          <w:szCs w:val="17"/>
          <w:color w:val="auto"/>
        </w:rPr>
      </w:pPr>
    </w:p>
    <w:p>
      <w:pPr>
        <w:ind w:left="1300" w:right="160" w:hanging="644"/>
        <w:spacing w:after="0" w:line="26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51"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48"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60" w:hanging="656"/>
        <w:spacing w:after="0" w:line="311" w:lineRule="auto"/>
        <w:tabs>
          <w:tab w:leader="none" w:pos="19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80" w:hanging="656"/>
        <w:spacing w:after="0" w:line="263" w:lineRule="auto"/>
        <w:tabs>
          <w:tab w:leader="none" w:pos="19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360" w:hanging="656"/>
        <w:spacing w:after="0" w:line="277" w:lineRule="auto"/>
        <w:tabs>
          <w:tab w:leader="none" w:pos="19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February 24, 2023</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Olivier Pomel</w:t>
            </w:r>
          </w:p>
        </w:tc>
      </w:tr>
      <w:tr>
        <w:trPr>
          <w:trHeight w:val="218"/>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Olivier Pomel</w:t>
            </w:r>
          </w:p>
        </w:tc>
      </w:tr>
      <w:tr>
        <w:trPr>
          <w:trHeight w:val="180"/>
        </w:trPr>
        <w:tc>
          <w:tcPr>
            <w:tcW w:w="3500" w:type="dxa"/>
            <w:vAlign w:val="bottom"/>
          </w:tcPr>
          <w:p>
            <w:pPr>
              <w:spacing w:after="0"/>
              <w:rPr>
                <w:sz w:val="15"/>
                <w:szCs w:val="15"/>
                <w:color w:val="auto"/>
              </w:rPr>
            </w:pPr>
          </w:p>
        </w:tc>
        <w:tc>
          <w:tcPr>
            <w:tcW w:w="2480" w:type="dxa"/>
            <w:vAlign w:val="bottom"/>
          </w:tcPr>
          <w:p>
            <w:pPr>
              <w:ind w:left="174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Datadog, Inc. (the “registrant”) for the fiscal year ended December 31, 2022;</w:t>
      </w:r>
    </w:p>
    <w:p>
      <w:pPr>
        <w:spacing w:after="0" w:line="236" w:lineRule="exact"/>
        <w:rPr>
          <w:rFonts w:ascii="Arial" w:cs="Arial" w:eastAsia="Arial" w:hAnsi="Arial"/>
          <w:sz w:val="17"/>
          <w:szCs w:val="17"/>
          <w:color w:val="auto"/>
        </w:rPr>
      </w:pPr>
    </w:p>
    <w:p>
      <w:pPr>
        <w:ind w:left="1300" w:right="16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4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60" w:hanging="656"/>
        <w:spacing w:after="0" w:line="311" w:lineRule="auto"/>
        <w:tabs>
          <w:tab w:leader="none" w:pos="19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80" w:hanging="656"/>
        <w:spacing w:after="0" w:line="263" w:lineRule="auto"/>
        <w:tabs>
          <w:tab w:leader="none" w:pos="19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360" w:hanging="656"/>
        <w:spacing w:after="0" w:line="277" w:lineRule="auto"/>
        <w:tabs>
          <w:tab w:leader="none" w:pos="19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February 24, 2023</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Obstler</w:t>
            </w:r>
          </w:p>
        </w:tc>
      </w:tr>
      <w:tr>
        <w:trPr>
          <w:trHeight w:val="218"/>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David Obstler</w:t>
            </w:r>
          </w:p>
        </w:tc>
      </w:tr>
      <w:tr>
        <w:trPr>
          <w:trHeight w:val="180"/>
        </w:trPr>
        <w:tc>
          <w:tcPr>
            <w:tcW w:w="3480" w:type="dxa"/>
            <w:vAlign w:val="bottom"/>
          </w:tcPr>
          <w:p>
            <w:pPr>
              <w:spacing w:after="0"/>
              <w:rPr>
                <w:sz w:val="15"/>
                <w:szCs w:val="15"/>
                <w:color w:val="auto"/>
              </w:rPr>
            </w:pPr>
          </w:p>
        </w:tc>
        <w:tc>
          <w:tcPr>
            <w:tcW w:w="2480" w:type="dxa"/>
            <w:vAlign w:val="bottom"/>
          </w:tcPr>
          <w:p>
            <w:pPr>
              <w:ind w:left="172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bl>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Annual Report on Form 10-K of Datadog, Inc. for the fiscal year ended December 31, 2022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February 24, 2023</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Olivier Pomel</w:t>
            </w:r>
          </w:p>
        </w:tc>
      </w:tr>
      <w:tr>
        <w:trPr>
          <w:trHeight w:val="218"/>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Arial" w:cs="Arial" w:eastAsia="Arial" w:hAnsi="Arial"/>
                <w:sz w:val="18"/>
                <w:szCs w:val="18"/>
                <w:b w:val="1"/>
                <w:bCs w:val="1"/>
                <w:color w:val="auto"/>
              </w:rPr>
              <w:t>Name:</w:t>
            </w: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Olivier Pomel</w:t>
            </w:r>
          </w:p>
        </w:tc>
      </w:tr>
      <w:tr>
        <w:trPr>
          <w:trHeight w:val="180"/>
        </w:trPr>
        <w:tc>
          <w:tcPr>
            <w:tcW w:w="3500" w:type="dxa"/>
            <w:vAlign w:val="bottom"/>
          </w:tcPr>
          <w:p>
            <w:pPr>
              <w:spacing w:after="0"/>
              <w:rPr>
                <w:sz w:val="15"/>
                <w:szCs w:val="15"/>
                <w:color w:val="auto"/>
              </w:rPr>
            </w:pPr>
          </w:p>
        </w:tc>
        <w:tc>
          <w:tcPr>
            <w:tcW w:w="2480" w:type="dxa"/>
            <w:vAlign w:val="bottom"/>
          </w:tcPr>
          <w:p>
            <w:pPr>
              <w:ind w:left="1740"/>
              <w:spacing w:after="0" w:line="181" w:lineRule="exact"/>
              <w:rPr>
                <w:sz w:val="20"/>
                <w:szCs w:val="20"/>
                <w:color w:val="auto"/>
              </w:rPr>
            </w:pPr>
            <w:r>
              <w:rPr>
                <w:rFonts w:ascii="Arial" w:cs="Arial" w:eastAsia="Arial" w:hAnsi="Arial"/>
                <w:sz w:val="18"/>
                <w:szCs w:val="18"/>
                <w:b w:val="1"/>
                <w:bCs w:val="1"/>
                <w:color w:val="auto"/>
              </w:rPr>
              <w:t>Title:</w:t>
            </w:r>
          </w:p>
        </w:tc>
        <w:tc>
          <w:tcPr>
            <w:tcW w:w="5220" w:type="dxa"/>
            <w:vAlign w:val="bottom"/>
          </w:tcPr>
          <w:p>
            <w:pPr>
              <w:jc w:val="center"/>
              <w:spacing w:after="0" w:line="181" w:lineRule="exact"/>
              <w:rPr>
                <w:sz w:val="20"/>
                <w:szCs w:val="20"/>
                <w:color w:val="auto"/>
              </w:rPr>
            </w:pPr>
            <w:r>
              <w:rPr>
                <w:rFonts w:ascii="Arial" w:cs="Arial" w:eastAsia="Arial" w:hAnsi="Arial"/>
                <w:sz w:val="18"/>
                <w:szCs w:val="18"/>
                <w:color w:val="auto"/>
                <w:w w:val="92"/>
              </w:rPr>
              <w:t>Chief Executive Officer and Director</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Annual Report on Form 10-K of Datadog, Inc. for the fiscal year ended December 31, 2022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February 24, 2023</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Obstler</w:t>
            </w:r>
          </w:p>
        </w:tc>
      </w:tr>
      <w:tr>
        <w:trPr>
          <w:trHeight w:val="218"/>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David Obstler</w:t>
            </w:r>
          </w:p>
        </w:tc>
      </w:tr>
      <w:tr>
        <w:trPr>
          <w:trHeight w:val="180"/>
        </w:trPr>
        <w:tc>
          <w:tcPr>
            <w:tcW w:w="3480" w:type="dxa"/>
            <w:vAlign w:val="bottom"/>
          </w:tcPr>
          <w:p>
            <w:pPr>
              <w:spacing w:after="0"/>
              <w:rPr>
                <w:sz w:val="15"/>
                <w:szCs w:val="15"/>
                <w:color w:val="auto"/>
              </w:rPr>
            </w:pPr>
          </w:p>
        </w:tc>
        <w:tc>
          <w:tcPr>
            <w:tcW w:w="2480" w:type="dxa"/>
            <w:vAlign w:val="bottom"/>
          </w:tcPr>
          <w:p>
            <w:pPr>
              <w:ind w:left="1720"/>
              <w:spacing w:after="0" w:line="181" w:lineRule="exact"/>
              <w:rPr>
                <w:sz w:val="20"/>
                <w:szCs w:val="20"/>
                <w:color w:val="auto"/>
              </w:rPr>
            </w:pPr>
            <w:r>
              <w:rPr>
                <w:rFonts w:ascii="Arial" w:cs="Arial" w:eastAsia="Arial" w:hAnsi="Arial"/>
                <w:sz w:val="18"/>
                <w:szCs w:val="18"/>
                <w:b w:val="1"/>
                <w:bCs w:val="1"/>
                <w:color w:val="auto"/>
              </w:rPr>
              <w:t>Title:</w:t>
            </w:r>
          </w:p>
        </w:tc>
        <w:tc>
          <w:tcPr>
            <w:tcW w:w="5240" w:type="dxa"/>
            <w:vAlign w:val="bottom"/>
          </w:tcPr>
          <w:p>
            <w:pPr>
              <w:jc w:val="center"/>
              <w:spacing w:after="0" w:line="181"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3"/>
    </w:lvl>
  </w:abstractNum>
  <w:abstractNum w:abstractNumId="30">
    <w:nsid w:val="7724C67E"/>
    <w:multiLevelType w:val="hybridMultilevel"/>
    <w:lvl w:ilvl="0">
      <w:lvlJc w:val="left"/>
      <w:lvlText w:val="(%1)"/>
      <w:numFmt w:val="decimal"/>
      <w:start w:val="4"/>
    </w:lvl>
  </w:abstractNum>
  <w:abstractNum w:abstractNumId="31">
    <w:nsid w:val="5C482A97"/>
    <w:multiLevelType w:val="hybridMultilevel"/>
    <w:lvl w:ilvl="0">
      <w:lvlJc w:val="left"/>
      <w:lvlText w:val="(%1)"/>
      <w:numFmt w:val="decimal"/>
      <w:start w:val="5"/>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6"/>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8"/>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jpeg"/><Relationship Id="rId146" Type="http://schemas.openxmlformats.org/officeDocument/2006/relationships/image" Target="media/image116.png"/><Relationship Id="rId147" Type="http://schemas.openxmlformats.org/officeDocument/2006/relationships/image" Target="media/image117.png"/><Relationship Id="rId107" Type="http://schemas.openxmlformats.org/officeDocument/2006/relationships/hyperlink" Target="https://www.sec.gov/Archives/edgar/data/1561550/000119312519252279/d803834dex31.htm" TargetMode="External"/><Relationship Id="rId108" Type="http://schemas.openxmlformats.org/officeDocument/2006/relationships/hyperlink" Target="https://www.sec.gov/Archives/edgar/data/1561550/000119312519227783/d745413dex34.htm" TargetMode="External"/><Relationship Id="rId109" Type="http://schemas.openxmlformats.org/officeDocument/2006/relationships/hyperlink" Target="https://www.sec.gov/Archives/edgar/data/1561550/000119312519240411/d745413dex41.htm" TargetMode="External"/><Relationship Id="rId110" Type="http://schemas.openxmlformats.org/officeDocument/2006/relationships/hyperlink" Target="https://www.sec.gov/Archives/edgar/data/1561550/000156459020006422/ddog-ex42_225.htm" TargetMode="External"/><Relationship Id="rId111" Type="http://schemas.openxmlformats.org/officeDocument/2006/relationships/hyperlink" Target="https://www.sec.gov/Archives/edgar/data/1561550/000119312520158639/d202955dex41.htm" TargetMode="External"/><Relationship Id="rId112" Type="http://schemas.openxmlformats.org/officeDocument/2006/relationships/hyperlink" Target="https://www.sec.gov/Archives/edgar/data/1561550/000119312519227783/d745413dex101.htm" TargetMode="External"/><Relationship Id="rId113" Type="http://schemas.openxmlformats.org/officeDocument/2006/relationships/hyperlink" Target="https://www.sec.gov/Archives/edgar/data/1561550/000119312519227783/d745413dex102.htm" TargetMode="External"/><Relationship Id="rId114" Type="http://schemas.openxmlformats.org/officeDocument/2006/relationships/hyperlink" Target="https://www.sec.gov/Archives/edgar/data/1561550/000119312519240411/d745413dex103.htm" TargetMode="External"/><Relationship Id="rId115" Type="http://schemas.openxmlformats.org/officeDocument/2006/relationships/hyperlink" Target="https://www.sec.gov/Archives/edgar/data/1561550/000119312519240411/d745413dex104.htm" TargetMode="External"/><Relationship Id="rId116" Type="http://schemas.openxmlformats.org/officeDocument/2006/relationships/hyperlink" Target="https://www.sec.gov/Archives/edgar/data/1561550/000156155022000038/datadog-performancestockun.htm" TargetMode="External"/><Relationship Id="rId119" Type="http://schemas.openxmlformats.org/officeDocument/2006/relationships/hyperlink" Target="https://www.sec.gov/Archives/edgar/data/1561550/000119312519240411/d745413dex105.htm" TargetMode="External"/><Relationship Id="rId120" Type="http://schemas.openxmlformats.org/officeDocument/2006/relationships/hyperlink" Target="https://www.sec.gov/Archives/edgar/data/1561550/000119312519240411/d745413dex106.htm" TargetMode="External"/><Relationship Id="rId121" Type="http://schemas.openxmlformats.org/officeDocument/2006/relationships/hyperlink" Target="https://www.sec.gov/Archives/edgar/data/1561550/000119312519240411/d745413dex107.htm" TargetMode="External"/><Relationship Id="rId122" Type="http://schemas.openxmlformats.org/officeDocument/2006/relationships/hyperlink" Target="https://www.sec.gov/Archives/edgar/data/1561550/000156155021000007/ex-101x20210331x10q.htm" TargetMode="External"/><Relationship Id="rId123" Type="http://schemas.openxmlformats.org/officeDocument/2006/relationships/hyperlink" Target="https://www.sec.gov/Archives/edgar/data/1561550/000156155021000007/ex-102x20210331x10q.htm" TargetMode="External"/><Relationship Id="rId124" Type="http://schemas.openxmlformats.org/officeDocument/2006/relationships/hyperlink" Target="https://www.sec.gov/Archives/edgar/data/1561550/000156155022000026/ex-101x20220331x10q.htm" TargetMode="External"/><Relationship Id="rId125" Type="http://schemas.openxmlformats.org/officeDocument/2006/relationships/hyperlink" Target="https://www.sec.gov/Archives/edgar/data/0001561550/000119312519227783/d745413dex109.htm" TargetMode="External"/><Relationship Id="rId126" Type="http://schemas.openxmlformats.org/officeDocument/2006/relationships/hyperlink" Target="https://www.sec.gov/Archives/edgar/data/0001561550/000119312519227783/d745413dex1010.htm" TargetMode="External"/><Relationship Id="rId127" Type="http://schemas.openxmlformats.org/officeDocument/2006/relationships/hyperlink" Target="https://www.sec.gov/Archives/edgar/data/1561550/000156155021000026/ex-101x20210930x10q.htm" TargetMode="External"/><Relationship Id="rId128" Type="http://schemas.openxmlformats.org/officeDocument/2006/relationships/hyperlink" Target="https://www.sec.gov/Archives/edgar/data/0001561550/000119312519240411/d745413dex1013.htm" TargetMode="External"/><Relationship Id="rId129" Type="http://schemas.openxmlformats.org/officeDocument/2006/relationships/hyperlink" Target="https://www.sec.gov/Archives/edgar/data/1561550/000119312520158639/d202955dex101.htm" TargetMode="External"/><Relationship Id="rId130" Type="http://schemas.openxmlformats.org/officeDocument/2006/relationships/hyperlink" Target="https://www.sec.gov/Archives/edgar/data/1561550/000156459021009770/ddog-ex1014_433.htm" TargetMode="External"/><Relationship Id="rId131" Type="http://schemas.openxmlformats.org/officeDocument/2006/relationships/hyperlink" Target="https://www.sec.gov/Archives/edgar/data/1561550/000156155022000038/datadog-leaseatnewyorkti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2023-02-24T16:07:03Z</dcterms:created>
  <dcterms:modified xsi:type="dcterms:W3CDTF">2023-02-24T16:07:03Z</dcterms:modified>
</cp:coreProperties>
</file>