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392"/>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UNITED STATES</w:t>
            </w:r>
          </w:p>
        </w:tc>
      </w:tr>
      <w:tr>
        <w:trPr>
          <w:trHeight w:val="407"/>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r>
      <w:tr>
        <w:trPr>
          <w:trHeight w:val="261"/>
        </w:trPr>
        <w:tc>
          <w:tcPr>
            <w:tcW w:w="2040" w:type="dxa"/>
            <w:vAlign w:val="bottom"/>
          </w:tcPr>
          <w:p>
            <w:pPr>
              <w:spacing w:after="0"/>
              <w:rPr>
                <w:sz w:val="22"/>
                <w:szCs w:val="22"/>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r>
      <w:tr>
        <w:trPr>
          <w:trHeight w:val="282"/>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_______________________</w:t>
            </w:r>
          </w:p>
        </w:tc>
      </w:tr>
      <w:tr>
        <w:trPr>
          <w:trHeight w:val="447"/>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31"/>
                <w:szCs w:val="31"/>
                <w:b w:val="1"/>
                <w:bCs w:val="1"/>
                <w:color w:val="auto"/>
                <w:w w:val="98"/>
              </w:rPr>
              <w:t>SCHEDULE 14A INFORMATION</w:t>
            </w:r>
          </w:p>
        </w:tc>
      </w:tr>
      <w:tr>
        <w:trPr>
          <w:trHeight w:val="282"/>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_______________________</w:t>
            </w:r>
          </w:p>
        </w:tc>
      </w:tr>
      <w:tr>
        <w:trPr>
          <w:trHeight w:val="348"/>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r>
      <w:tr>
        <w:trPr>
          <w:trHeight w:val="257"/>
        </w:trPr>
        <w:tc>
          <w:tcPr>
            <w:tcW w:w="2040" w:type="dxa"/>
            <w:vAlign w:val="bottom"/>
          </w:tcPr>
          <w:p>
            <w:pPr>
              <w:spacing w:after="0"/>
              <w:rPr>
                <w:sz w:val="22"/>
                <w:szCs w:val="22"/>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261"/>
        </w:trPr>
        <w:tc>
          <w:tcPr>
            <w:tcW w:w="2040" w:type="dxa"/>
            <w:vAlign w:val="bottom"/>
          </w:tcPr>
          <w:p>
            <w:pPr>
              <w:spacing w:after="0"/>
              <w:rPr>
                <w:sz w:val="22"/>
                <w:szCs w:val="22"/>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w:t>
            </w:r>
          </w:p>
        </w:tc>
      </w:tr>
      <w:tr>
        <w:trPr>
          <w:trHeight w:val="282"/>
        </w:trPr>
        <w:tc>
          <w:tcPr>
            <w:tcW w:w="204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_______________________</w:t>
            </w:r>
          </w:p>
        </w:tc>
      </w:tr>
      <w:tr>
        <w:trPr>
          <w:trHeight w:val="31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tc>
        <w:tc>
          <w:tcPr>
            <w:tcW w:w="7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tc>
      </w:tr>
      <w:tr>
        <w:trPr>
          <w:trHeight w:val="32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7080" w:type="dxa"/>
            <w:vAlign w:val="bottom"/>
          </w:tcPr>
          <w:p>
            <w:pPr>
              <w:spacing w:after="0"/>
              <w:rPr>
                <w:sz w:val="24"/>
                <w:szCs w:val="24"/>
                <w:color w:val="auto"/>
              </w:rPr>
            </w:pPr>
          </w:p>
        </w:tc>
      </w:tr>
    </w:tbl>
    <w:p>
      <w:pPr>
        <w:spacing w:after="0" w:line="130"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80" w:hanging="454"/>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 240.14a-12</w:t>
      </w:r>
    </w:p>
    <w:p>
      <w:pPr>
        <w:spacing w:after="0" w:line="19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DATADOG, INC.</w:t>
      </w:r>
    </w:p>
    <w:p>
      <w:pPr>
        <w:spacing w:after="0" w:line="1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1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80" w:hanging="454"/>
        <w:spacing w:after="0"/>
        <w:tabs>
          <w:tab w:leader="none" w:pos="4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551180</wp:posOffset>
            </wp:positionV>
            <wp:extent cx="694055" cy="676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05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Datadog, Inc.</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620 8th Avenue, 45th Floor</w:t>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15,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Datadog, Inc.:</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behalf of our board of directors, it is our pleasure to cordially invite you to attend the Annual Meeting of Stockholders of Datadog, Inc., a Nevada corporation. The Annual Meeting will be held virtually, via live webcast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originating from New York, New York, on Monday, June 15, 2026 at 2:30 p.m., Eastern Time.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2:30 p.m., Eastern Time, on June 15, 2026 to ensure you are logged in when the Annual Meeting starts.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63" w:lineRule="exact"/>
        <w:rPr>
          <w:sz w:val="20"/>
          <w:szCs w:val="20"/>
          <w:color w:val="auto"/>
        </w:rPr>
      </w:pPr>
    </w:p>
    <w:p>
      <w:pPr>
        <w:jc w:val="both"/>
        <w:ind w:left="740" w:hanging="732"/>
        <w:spacing w:after="0" w:line="266" w:lineRule="auto"/>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four Class I directors, Olivier Pomel, Dev Ittycheria, Shardul Shah and Ami Vora, each to serve for a term expiring at our Annual Meeting of Stockholders in 2029 and to hold office until their successors are duly elected or appointed and qualified, or until his or her earlier death, resignation, retirement, disqualification or removal;</w:t>
      </w:r>
    </w:p>
    <w:p>
      <w:pPr>
        <w:spacing w:after="0" w:line="13" w:lineRule="exact"/>
        <w:rPr>
          <w:rFonts w:ascii="Times New Roman" w:cs="Times New Roman" w:eastAsia="Times New Roman" w:hAnsi="Times New Roman"/>
          <w:sz w:val="18"/>
          <w:szCs w:val="18"/>
          <w:b w:val="1"/>
          <w:bCs w:val="1"/>
          <w:color w:val="auto"/>
        </w:rPr>
      </w:pPr>
    </w:p>
    <w:p>
      <w:pPr>
        <w:ind w:left="740" w:hanging="732"/>
        <w:spacing w:after="0"/>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on an advisory basis, the compensation of our named executive officers, as disclosed in this proxy statement;</w:t>
      </w:r>
    </w:p>
    <w:p>
      <w:pPr>
        <w:spacing w:after="0" w:line="63" w:lineRule="exact"/>
        <w:rPr>
          <w:rFonts w:ascii="Times New Roman" w:cs="Times New Roman" w:eastAsia="Times New Roman" w:hAnsi="Times New Roman"/>
          <w:sz w:val="18"/>
          <w:szCs w:val="18"/>
          <w:b w:val="1"/>
          <w:bCs w:val="1"/>
          <w:color w:val="auto"/>
        </w:rPr>
      </w:pPr>
    </w:p>
    <w:p>
      <w:pPr>
        <w:ind w:left="740" w:hanging="732"/>
        <w:spacing w:after="0" w:line="279" w:lineRule="auto"/>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our board of directors of Deloitte &amp; Touche LLP as our independent registered public accounting firm for the fiscal year ending December 31, 2026;</w:t>
      </w:r>
    </w:p>
    <w:p>
      <w:pPr>
        <w:spacing w:after="0" w:line="4" w:lineRule="exact"/>
        <w:rPr>
          <w:rFonts w:ascii="Times New Roman" w:cs="Times New Roman" w:eastAsia="Times New Roman" w:hAnsi="Times New Roman"/>
          <w:sz w:val="18"/>
          <w:szCs w:val="18"/>
          <w:b w:val="1"/>
          <w:bCs w:val="1"/>
          <w:color w:val="auto"/>
        </w:rPr>
      </w:pPr>
    </w:p>
    <w:p>
      <w:pPr>
        <w:ind w:left="740" w:hanging="732"/>
        <w:spacing w:after="0"/>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vote on a stockholder proposal, if properly presented at the Annual Meeting; and</w:t>
      </w:r>
    </w:p>
    <w:p>
      <w:pPr>
        <w:spacing w:after="0" w:line="63" w:lineRule="exact"/>
        <w:rPr>
          <w:rFonts w:ascii="Times New Roman" w:cs="Times New Roman" w:eastAsia="Times New Roman" w:hAnsi="Times New Roman"/>
          <w:sz w:val="18"/>
          <w:szCs w:val="18"/>
          <w:b w:val="1"/>
          <w:bCs w:val="1"/>
          <w:color w:val="auto"/>
        </w:rPr>
      </w:pPr>
    </w:p>
    <w:p>
      <w:pPr>
        <w:ind w:left="740" w:hanging="732"/>
        <w:spacing w:after="0"/>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Annual Meeting by or at the direction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and any adjournment or postponement thereof, is April 22, 2026. Only stockholders of record at the close of business on that date may vote at the Annual Meeting or any adjournment thereof.</w:t>
      </w:r>
    </w:p>
    <w:p>
      <w:pPr>
        <w:spacing w:after="0" w:line="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154305</wp:posOffset>
            </wp:positionV>
            <wp:extent cx="188595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Kerry Acocella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Monday, June 15, 2026 at 2:30 p.m.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Eastern Time. The proxy statement and annual report to shareholders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414020</wp:posOffset>
            </wp:positionV>
            <wp:extent cx="6814820" cy="128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482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Whether or not you expect to attend the Annual Meeting, PLEASE VOTE YOUR SHARES. As an alternative to voting online at the Annual Meeting, you may vote your shares in advance of the Annual Meeting through the internet, by telephone or, if you receive a paper proxy card in the mail, by mailing the completed proxy card. Voting instructions are provided in the Notice of Internet Availability of Proxy Materials or, if you receive a paper proxy card by mail, the instructions are printed on your proxy card.</w:t>
      </w:r>
    </w:p>
    <w:p>
      <w:pPr>
        <w:spacing w:after="0" w:line="179"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8"/>
          <w:szCs w:val="18"/>
          <w:b w:val="1"/>
          <w:bCs w:val="1"/>
          <w:color w:val="auto"/>
        </w:rPr>
        <w:t>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 and will need to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441" w:right="9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6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3940" w:type="dxa"/>
            <w:vAlign w:val="bottom"/>
            <w:gridSpan w:val="6"/>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4"/>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INFORMATION REGARDING DIRECTOR NOMINEES AND CURRENT DIRECTORS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INFORMATION REGARDING THE BOARD OF DIRECTORS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2 APPROVAL, ON A NON-BINDING, ADVISORY BASIS, OF THE COMPENSATION OF OUR NAMED EXECUTIVE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56"/>
        </w:trPr>
        <w:tc>
          <w:tcPr>
            <w:tcW w:w="998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OFFICERS</w:t>
            </w:r>
          </w:p>
        </w:tc>
        <w:tc>
          <w:tcPr>
            <w:tcW w:w="4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80" w:type="dxa"/>
            <w:vAlign w:val="bottom"/>
            <w:gridSpan w:val="13"/>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CEO PAY RATIO</w:t>
            </w:r>
          </w:p>
        </w:tc>
        <w:tc>
          <w:tcPr>
            <w:tcW w:w="1120" w:type="dxa"/>
            <w:vAlign w:val="bottom"/>
            <w:tcBorders>
              <w:top w:val="single" w:sz="8" w:color="0000FF"/>
            </w:tcBorders>
            <w:gridSpan w:val="3"/>
          </w:tcPr>
          <w:p>
            <w:pPr>
              <w:spacing w:after="0"/>
              <w:rPr>
                <w:sz w:val="22"/>
                <w:szCs w:val="22"/>
                <w:color w:val="auto"/>
              </w:rPr>
            </w:pPr>
          </w:p>
        </w:tc>
        <w:tc>
          <w:tcPr>
            <w:tcW w:w="8000" w:type="dxa"/>
            <w:vAlign w:val="bottom"/>
            <w:gridSpan w:val="14"/>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w:t>
            </w:r>
          </w:p>
        </w:tc>
        <w:tc>
          <w:tcPr>
            <w:tcW w:w="6640" w:type="dxa"/>
            <w:vAlign w:val="bottom"/>
            <w:gridSpan w:val="9"/>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3"/>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3 RATIFICATION OF DELOITTE &amp; TOUCHE LLP AS OUR INDEPENDENT REGISTERED PUBLIC ACCOUNTING</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55"/>
        </w:trPr>
        <w:tc>
          <w:tcPr>
            <w:tcW w:w="990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FIRM</w:t>
            </w:r>
          </w:p>
        </w:tc>
        <w:tc>
          <w:tcPr>
            <w:tcW w:w="540" w:type="dxa"/>
            <w:vAlign w:val="bottom"/>
            <w:gridSpan w:val="2"/>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4 STOCKHOLDER PROPOSAL, IF PROPERLY PRESENTED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480" w:type="dxa"/>
            <w:vAlign w:val="bottom"/>
            <w:gridSpan w:val="4"/>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700" w:type="dxa"/>
            <w:vAlign w:val="bottom"/>
            <w:gridSpan w:val="4"/>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4"/>
        </w:trPr>
        <w:tc>
          <w:tcPr>
            <w:tcW w:w="35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6880" w:type="dxa"/>
            <w:vAlign w:val="bottom"/>
            <w:gridSpan w:val="10"/>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3"/>
        </w:trPr>
        <w:tc>
          <w:tcPr>
            <w:tcW w:w="1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1920" w:type="dxa"/>
            <w:vAlign w:val="bottom"/>
            <w:tcBorders>
              <w:top w:val="single" w:sz="8" w:color="0000FF"/>
            </w:tcBorders>
            <w:gridSpan w:val="5"/>
          </w:tcPr>
          <w:p>
            <w:pPr>
              <w:spacing w:after="0"/>
              <w:rPr>
                <w:sz w:val="22"/>
                <w:szCs w:val="22"/>
                <w:color w:val="auto"/>
              </w:rPr>
            </w:pPr>
          </w:p>
        </w:tc>
        <w:tc>
          <w:tcPr>
            <w:tcW w:w="7040" w:type="dxa"/>
            <w:vAlign w:val="bottom"/>
            <w:gridSpan w:val="11"/>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6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APPENDIX A - RECONCILIATION OF NON-GAAP FINANCIAL MEASURES</w:t>
            </w:r>
          </w:p>
        </w:tc>
        <w:tc>
          <w:tcPr>
            <w:tcW w:w="4440" w:type="dxa"/>
            <w:vAlign w:val="bottom"/>
            <w:gridSpan w:val="7"/>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396875</wp:posOffset>
            </wp:positionV>
            <wp:extent cx="69405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Datadog, Inc.</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620 8th Avenue, 45th Floor</w:t>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15, 2026 at 2:30 p.m., Eastern Time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to vote at the 2026 Annual Meeting of Stockholders (the “Annual Meeting”) of Datadog, Inc., a Nevada corporation, to be held virtually, via live webcast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originating from New York, New York, on Monday, June 15, 2026 at 2:30 p.m., Eastern Time, and any adjournment or postponement thereof.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Annual Meeting, we have elected to furnish our proxy materials, including this proxy statement and our Annual Report on Form 10-K for the fiscal year ended December 31, 2025 (the “Annual Report”), to our stockholders primarily via the internet. On or about April 29, 2026, we expect to mail to our 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Annual Meeting and instructions on how to access our proxy materials on the internet, how to vote at the Annual Meeting, and how to request printed copies of the proxy materials. Stockholders may request to receive all future materials in printed form by mail or by email by following the instructions contained in the Notice. A stockholder’s election to receive proxy materials by mail or email will remain in effect until revoked. We encourage stockholders to take advantage of the availability of the proxy materials on the internet to help reduce the environmental impact and cost of our Annual Meeting.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Only stockholders of record at the close of business on April 22, 2026 (the “Record Date”) will be entitled to vote at the Annual Meeting. On the Record Date, there were 330,775,832 shares of Class A common stock and 25,166,391 shares of Class B common stock outstanding and entitled to vote (together, the “common stock”). </w:t>
      </w:r>
      <w:r>
        <w:rPr>
          <w:rFonts w:ascii="Times New Roman" w:cs="Times New Roman" w:eastAsia="Times New Roman" w:hAnsi="Times New Roman"/>
          <w:sz w:val="18"/>
          <w:szCs w:val="18"/>
          <w:b w:val="1"/>
          <w:bCs w:val="1"/>
          <w:color w:val="auto"/>
        </w:rPr>
        <w:t>Each holder of Class A common stock will have the right to one vote per share of Class A common stock and each holder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B common stock will have the right to ten votes per share of Class B common stock</w:t>
      </w:r>
      <w:r>
        <w:rPr>
          <w:rFonts w:ascii="Times New Roman" w:cs="Times New Roman" w:eastAsia="Times New Roman" w:hAnsi="Times New Roman"/>
          <w:sz w:val="18"/>
          <w:szCs w:val="18"/>
          <w:color w:val="auto"/>
        </w:rPr>
        <w:t>. The holders of shares of common stock will vote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a single class on all matters submitted to a vote at the Annual Meeting. For instructions on how to attend the Annual Meeting, please see the instructions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xml:space="preserve"> and on page 2 of this proxy statement.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this proxy statement, we refer to Datadog, Inc. as “Datadog,” “we” or “us” and the board of directors of Datadog as “our board of directors.” The Annual Report, which contains consolidated financial statements as of and for the fiscal year ended December 31, 2025, accompanies this proxy statement. You also may obtain a copy of the Annual Report without charge by emailing </w:t>
      </w:r>
      <w:r>
        <w:rPr>
          <w:rFonts w:ascii="Times New Roman" w:cs="Times New Roman" w:eastAsia="Times New Roman" w:hAnsi="Times New Roman"/>
          <w:sz w:val="18"/>
          <w:szCs w:val="18"/>
          <w:i w:val="1"/>
          <w:iCs w:val="1"/>
          <w:color w:val="auto"/>
        </w:rPr>
        <w:t>IR@datadoghq.com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40" w:firstLine="2235"/>
        <w:spacing w:after="0" w:line="378" w:lineRule="auto"/>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Why did I receive a notice regarding the availability of proxy materials on the internet?</w:t>
      </w: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the Notice because our board of directors is soliciting your proxy to vote at the 2026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mail the Notice on or about April 29, 2026 to stockholders of record entitled to vote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ten calendar days after our first mailing of the Notice or thereafter.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Annual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will be hosting the Annual Meeting via live webcast only. Any stockholder as of the Record Date can attend the Annual Meeting live online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The meeting will start at 2:30 p.m., Eastern Time, on Monday, June 15, 2026. Stockholders attending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will be afforded the same rights and opportunities to participate as they would at an in-person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order to enter the Annual Meeting, you will need the control number, which is included in the Notice or on your proxy card if you are a stockholder of record, or included with your voting instruction card and voting instructions received from your broker, bank or other agent if you hold your shares in “street name.” Instructions on how to attend and participate are available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We recommend that you log in a few minutes before 2:30 p.m., Eastern Time to ensure you are logged in when the Annual Meeting starts. The webcast will open 15 minutes before the start of the Annual Meeting.</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If you would like to submit a question during the Annual Meeting, you may log in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xml:space="preserve"> using your control number, type your question into the “Ask a Question” field, and click “Submit.”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54" w:lineRule="exact"/>
        <w:rPr>
          <w:sz w:val="20"/>
          <w:szCs w:val="20"/>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during the Annual Meeting.</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Olivier Pomel, our Chief Executive Officer.</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Annual Meeting.</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the business of the Annual Meeting, related to pending or threatened litigation, disorderly, repetitious of statements already made,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Annual Meeting participants.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Annual Meeting?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If you encounter any difficulties accessing the Annual Meeting during the check-in or meeting time, please call the technical</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support number that will be posted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Technical support will be available starting at 1:30 p.m., Eastern Time on June 15,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April 22, 2026, and their valid proxyholders will be entitled to vote at the Annual Meeting. On the Record Date, there were 330,775,832 shares of Class A common stock and 25,166,391 shares of Class B common stock outstanding and entitled to vote.</w:t>
      </w:r>
    </w:p>
    <w:p>
      <w:pPr>
        <w:spacing w:after="0" w:line="64" w:lineRule="exact"/>
        <w:rPr>
          <w:sz w:val="20"/>
          <w:szCs w:val="20"/>
          <w:color w:val="auto"/>
        </w:rPr>
      </w:pPr>
    </w:p>
    <w:p>
      <w:pPr>
        <w:jc w:val="both"/>
        <w:ind w:left="500" w:hanging="330"/>
        <w:spacing w:after="0" w:line="259"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on the Record Date, your shares were registered directly in your name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 agent, Equiniti Trust Company, LLC,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 that you may request or that we may elect to deliver at a later time to ensure your vote is counted.</w:t>
      </w:r>
    </w:p>
    <w:p>
      <w:pPr>
        <w:spacing w:after="0" w:line="71" w:lineRule="exact"/>
        <w:rPr>
          <w:rFonts w:ascii="Times New Roman" w:cs="Times New Roman" w:eastAsia="Times New Roman" w:hAnsi="Times New Roman"/>
          <w:sz w:val="18"/>
          <w:szCs w:val="18"/>
          <w:color w:val="auto"/>
        </w:rPr>
      </w:pPr>
    </w:p>
    <w:p>
      <w:pPr>
        <w:jc w:val="both"/>
        <w:ind w:left="500" w:hanging="330"/>
        <w:spacing w:after="0" w:line="256"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a Broker or Bank. </w:t>
      </w:r>
      <w:r>
        <w:rPr>
          <w:rFonts w:ascii="Times New Roman" w:cs="Times New Roman" w:eastAsia="Times New Roman" w:hAnsi="Times New Roman"/>
          <w:sz w:val="18"/>
          <w:szCs w:val="18"/>
          <w:color w:val="auto"/>
        </w:rPr>
        <w:t>If, on the Record Date, your shares were held not in your name, but rather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vote your shares online during the Annual Meeting only by following the instructions from such organization and after obtaining a valid proxy from your broker, bank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shares of our Class A common stock will have one vote per share of Class A common stock held as of the Record Date, and each holder of shares of our Class B common stock will have ten votes per share of Class B common stock held as of the Record Date. The holders of the shares of our Class A common stock and Class B common stock will vote as a single class on all matters described in this proxy statement for which your vote is being solicited.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13" w:lineRule="exact"/>
        <w:rPr>
          <w:sz w:val="20"/>
          <w:szCs w:val="20"/>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four Class I directors, each to hold office until our annual meeting of stockholders in 2029;</w:t>
      </w:r>
    </w:p>
    <w:p>
      <w:pPr>
        <w:spacing w:after="0" w:line="117" w:lineRule="exact"/>
        <w:rPr>
          <w:rFonts w:ascii="Times New Roman" w:cs="Times New Roman" w:eastAsia="Times New Roman" w:hAnsi="Times New Roman"/>
          <w:sz w:val="18"/>
          <w:szCs w:val="18"/>
          <w:color w:val="auto"/>
        </w:rPr>
      </w:pPr>
    </w:p>
    <w:p>
      <w:pPr>
        <w:ind w:left="500" w:hanging="330"/>
        <w:spacing w:after="0" w:line="286"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Advisory approval of the compensation of our named executive officers, as disclosed in this proxy statement in accordance with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w:t>
      </w:r>
    </w:p>
    <w:p>
      <w:pPr>
        <w:spacing w:after="0" w:line="46" w:lineRule="exact"/>
        <w:rPr>
          <w:rFonts w:ascii="Times New Roman" w:cs="Times New Roman" w:eastAsia="Times New Roman" w:hAnsi="Times New Roman"/>
          <w:sz w:val="18"/>
          <w:szCs w:val="18"/>
          <w:color w:val="auto"/>
        </w:rPr>
      </w:pPr>
    </w:p>
    <w:p>
      <w:pPr>
        <w:ind w:left="500" w:hanging="330"/>
        <w:spacing w:after="0" w:line="263"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Ratification of the selection by the audit committee of our board of directors of Deloitte &amp; Touche LLP as our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December 31, 2026; and</w:t>
      </w: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Stockholder proposal, if properly presented, requesting the adoption of a simple majority voting provision.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7" w:lineRule="exact"/>
        <w:rPr>
          <w:sz w:val="20"/>
          <w:szCs w:val="20"/>
          <w:color w:val="auto"/>
        </w:rPr>
      </w:pPr>
    </w:p>
    <w:p>
      <w:pPr>
        <w:ind w:left="480" w:hanging="310"/>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you are a stockholder of record, you may vote (1) online during the Annual Meeting or</w:t>
      </w:r>
    </w:p>
    <w:p>
      <w:pPr>
        <w:spacing w:after="0" w:line="31" w:lineRule="exact"/>
        <w:rPr>
          <w:rFonts w:ascii="Times New Roman" w:cs="Times New Roman" w:eastAsia="Times New Roman" w:hAnsi="Times New Roman"/>
          <w:sz w:val="18"/>
          <w:szCs w:val="18"/>
          <w:color w:val="auto"/>
        </w:rPr>
      </w:pPr>
    </w:p>
    <w:p>
      <w:pPr>
        <w:jc w:val="both"/>
        <w:ind w:left="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140" w:hanging="484"/>
        <w:spacing w:after="0" w:line="266" w:lineRule="auto"/>
        <w:tabs>
          <w:tab w:leader="none" w:pos="11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Annual Meeting, follow the provided instructions to join the Annual Meeting at </w:t>
      </w:r>
      <w:r>
        <w:rPr>
          <w:rFonts w:ascii="Times New Roman" w:cs="Times New Roman" w:eastAsia="Times New Roman" w:hAnsi="Times New Roman"/>
          <w:sz w:val="18"/>
          <w:szCs w:val="18"/>
          <w:i w:val="1"/>
          <w:iCs w:val="1"/>
          <w:color w:val="auto"/>
        </w:rPr>
        <w:t>www.virtualshareholdermeeting.com/DDOG2026</w:t>
      </w:r>
      <w:r>
        <w:rPr>
          <w:rFonts w:ascii="Times New Roman" w:cs="Times New Roman" w:eastAsia="Times New Roman" w:hAnsi="Times New Roman"/>
          <w:sz w:val="18"/>
          <w:szCs w:val="18"/>
          <w:color w:val="auto"/>
        </w:rPr>
        <w:t>, starting at 2:30 p.m., Eastern Time on Monday, June 15, 2026. The webcast will open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minutes before the start of the Annual Meeting.</w:t>
      </w:r>
    </w:p>
    <w:p>
      <w:pPr>
        <w:spacing w:after="0" w:line="65" w:lineRule="exact"/>
        <w:rPr>
          <w:rFonts w:ascii="Times New Roman" w:cs="Times New Roman" w:eastAsia="Times New Roman" w:hAnsi="Times New Roman"/>
          <w:sz w:val="18"/>
          <w:szCs w:val="18"/>
          <w:color w:val="auto"/>
        </w:rPr>
      </w:pPr>
    </w:p>
    <w:p>
      <w:pPr>
        <w:jc w:val="both"/>
        <w:ind w:left="1140" w:hanging="484"/>
        <w:spacing w:after="0" w:line="267" w:lineRule="auto"/>
        <w:tabs>
          <w:tab w:leader="none" w:pos="11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in advance of the Annual Meeting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control number from the Notice or the printed proxy card. Your internet vote must be received by 11:59 p.m., Eastern Time on Sunday, June 14, 2026 to be counted.</w:t>
      </w:r>
    </w:p>
    <w:p>
      <w:pPr>
        <w:spacing w:after="0" w:line="6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advance of the Annual Meeting by telephone, dial 1-800-690-6903 using a touch-tone phone and follow the recorded instructions. You will be asked to provide the control number from the Notice or the printed proxy card. Your telephone vote must be received by 11:59 p.m., Eastern Time on Sunday, June 14, 2026 to be counted.</w:t>
      </w:r>
    </w:p>
    <w:p>
      <w:pPr>
        <w:spacing w:after="0" w:line="6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advance of the Annual Meeting using a printed proxy card that may be delivered to you, simply complete, sign and date the proxy card and return it promptly in the envelope provided. If you return your signed proxy card to us before the Annual Meeting, we will vote your shares as you direct.</w:t>
      </w:r>
    </w:p>
    <w:p>
      <w:pPr>
        <w:spacing w:after="0" w:line="63" w:lineRule="exact"/>
        <w:rPr>
          <w:rFonts w:ascii="Times New Roman" w:cs="Times New Roman" w:eastAsia="Times New Roman" w:hAnsi="Times New Roman"/>
          <w:sz w:val="18"/>
          <w:szCs w:val="18"/>
          <w:color w:val="auto"/>
        </w:rPr>
      </w:pPr>
    </w:p>
    <w:p>
      <w:pPr>
        <w:jc w:val="both"/>
        <w:ind w:left="500" w:hanging="330"/>
        <w:spacing w:after="0" w:line="26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Broker or Bank. </w:t>
      </w:r>
      <w:r>
        <w:rPr>
          <w:rFonts w:ascii="Times New Roman" w:cs="Times New Roman" w:eastAsia="Times New Roman" w:hAnsi="Times New Roman"/>
          <w:sz w:val="18"/>
          <w:szCs w:val="18"/>
          <w:color w:val="auto"/>
        </w:rPr>
        <w:t>If you are a beneficial owner of shares registered in the name of your broker,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or other agent, you should have received a Notice containing voting instructions from that organization rather than from us. To vote prior to the Annual Meeting, simply follow the voting instructions in the Notice to ensure that your vote is counted. To vote online during the Annual Meeting, you must follow the instructions from your broker, bank or other agent and will need to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4057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332" w:lineRule="exact"/>
        <w:rPr>
          <w:sz w:val="20"/>
          <w:szCs w:val="20"/>
          <w:color w:val="auto"/>
        </w:rPr>
      </w:pPr>
    </w:p>
    <w:p>
      <w:pPr>
        <w:jc w:val="both"/>
        <w:ind w:left="200" w:right="180"/>
        <w:spacing w:after="0" w:line="268" w:lineRule="auto"/>
        <w:rPr>
          <w:sz w:val="20"/>
          <w:szCs w:val="20"/>
          <w:color w:val="auto"/>
        </w:rPr>
      </w:pPr>
      <w:r>
        <w:rPr>
          <w:rFonts w:ascii="Times New Roman" w:cs="Times New Roman" w:eastAsia="Times New Roman" w:hAnsi="Times New Roman"/>
          <w:sz w:val="18"/>
          <w:szCs w:val="18"/>
          <w:b w:val="1"/>
          <w:bCs w:val="1"/>
          <w:color w:val="auto"/>
        </w:rPr>
        <w:t>Internet voting during the Annual Meeting and/or internet proxy voting in advance of the Annual Meeting allows you to vote your shares online, with procedures designed to ensure the authenticity and correctness of your vote instructions. Please be aware that you must bear any costs associated with your internet access.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 provides instructions on how to vote by proxy in advance of the Annual Meeting through the internet, by telephone, using a printed proxy card or online during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7" w:lineRule="exact"/>
        <w:rPr>
          <w:sz w:val="20"/>
          <w:szCs w:val="20"/>
          <w:color w:val="auto"/>
        </w:rPr>
      </w:pPr>
    </w:p>
    <w:p>
      <w:pPr>
        <w:ind w:left="500" w:hanging="330"/>
        <w:spacing w:after="0" w:line="286"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you are a stockholder of record, then yes, you can revoke your proxy at any time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final vote at the Annual Meeting. You may revoke your proxy in any one of the following ways:</w:t>
      </w:r>
    </w:p>
    <w:p>
      <w:pPr>
        <w:spacing w:after="0" w:line="5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1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 a timely written notice that you are revoking your proxy via email at </w:t>
      </w:r>
      <w:r>
        <w:rPr>
          <w:rFonts w:ascii="Times New Roman" w:cs="Times New Roman" w:eastAsia="Times New Roman" w:hAnsi="Times New Roman"/>
          <w:sz w:val="18"/>
          <w:szCs w:val="18"/>
          <w:i w:val="1"/>
          <w:iCs w:val="1"/>
          <w:color w:val="auto"/>
        </w:rPr>
        <w:t>IR@datadoghq.com</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during the meeting. Simply attending the Annual Meeting will not, by itself,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113" w:lineRule="exact"/>
        <w:rPr>
          <w:sz w:val="20"/>
          <w:szCs w:val="20"/>
          <w:color w:val="auto"/>
        </w:rPr>
      </w:pPr>
    </w:p>
    <w:p>
      <w:pPr>
        <w:ind w:left="500" w:hanging="330"/>
        <w:spacing w:after="0" w:line="286"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Broker or Bank. </w:t>
      </w:r>
      <w:r>
        <w:rPr>
          <w:rFonts w:ascii="Times New Roman" w:cs="Times New Roman" w:eastAsia="Times New Roman" w:hAnsi="Times New Roman"/>
          <w:sz w:val="18"/>
          <w:szCs w:val="18"/>
          <w:color w:val="auto"/>
        </w:rPr>
        <w:t>If you are a beneficial owner and your shares are held in “street name”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broker, bank or other agent, you should follow the instructions provided by your broker, bank or other agent.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proxy card that may be delivered to you or online during the Annual Meeting, your shares will not be voted.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in accordance with the recommendations of our board of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four nominees for director;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executive compensation;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Deloitte &amp; Touche LLP as our independent registered public accounting firm for the fiscal year ending December 31, 2026;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stockholder proposal requesting the adoption of a simple majority voting provision, if properly presented. If any other matter is properly presented at the Annual Meeting, your proxyholder (one of the individuals named on your proxy card) will vote your shares using his best judgment.</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bank or other agent with voting instructions, what happens?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Accordingly, your broker or nominee may vote your shares on Proposal 3. Your broker or nominee, however, may not vote your shares on Proposals 1, 2 and 4 without your instructions. Please instruct your bank, broker or other agent to ensure that your vote will be counted.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with respect to “non-routine” matters are counted as “broker non-votes.”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such organization.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(1) with respect to Proposal 1, votes “FOR,” “WITHHOLD” and broker non-votes, (2) with respect to Proposal 2, votes “FOR,” “AGAINST,” abstentions and broker non-votes, (3) with respect to Proposal 3, votes “FOR,” “AGAINST,” and abstentions and (4) with respect to Proposal 4, votes “FOR,” “AGAINST,” abstentions and broker non-votes.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minimum vote needed to approve each proposal and the effect of abstentions, withhold votes and broker non-votes:</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988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left="200" w:hanging="174"/>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373" w:lineRule="exact"/>
        <w:rPr>
          <w:rFonts w:ascii="Times New Roman" w:cs="Times New Roman" w:eastAsia="Times New Roman" w:hAnsi="Times New Roman"/>
          <w:sz w:val="18"/>
          <w:szCs w:val="18"/>
          <w:color w:val="auto"/>
        </w:rPr>
      </w:pPr>
    </w:p>
    <w:p>
      <w:pPr>
        <w:ind w:left="20" w:right="20" w:firstLine="6"/>
        <w:spacing w:after="0" w:line="237" w:lineRule="auto"/>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firstLine="6"/>
        <w:spacing w:after="0" w:line="220" w:lineRule="auto"/>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Deloitte &amp; Touche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5"/>
        </w:trPr>
        <w:tc>
          <w:tcPr>
            <w:tcW w:w="404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Vote</w:t>
            </w:r>
          </w:p>
        </w:tc>
        <w:tc>
          <w:tcPr>
            <w:tcW w:w="146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74"/>
        </w:trPr>
        <w:tc>
          <w:tcPr>
            <w:tcW w:w="394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The four nominees receiving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w:t>
            </w:r>
          </w:p>
        </w:tc>
        <w:tc>
          <w:tcPr>
            <w:tcW w:w="100" w:type="dxa"/>
            <w:vAlign w:val="bottom"/>
          </w:tcPr>
          <w:p>
            <w:pPr>
              <w:spacing w:after="0"/>
              <w:rPr>
                <w:sz w:val="15"/>
                <w:szCs w:val="15"/>
                <w:color w:val="auto"/>
              </w:rPr>
            </w:pPr>
          </w:p>
        </w:tc>
        <w:tc>
          <w:tcPr>
            <w:tcW w:w="116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No effect</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Not</w:t>
            </w:r>
          </w:p>
        </w:tc>
        <w:tc>
          <w:tcPr>
            <w:tcW w:w="1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 be elected.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applicable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This proposal, commonly referred to as the “say-on-</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Not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 effect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184"/>
        </w:trPr>
        <w:tc>
          <w:tcPr>
            <w:tcW w:w="4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pay” vote, must receive more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than</w:t>
            </w:r>
          </w:p>
        </w:tc>
        <w:tc>
          <w:tcPr>
            <w:tcW w:w="12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applicable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“AGAINST” votes to be approved. Since this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proposal is an advisory vote, the result will not be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binding on our board of directors. However, our board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of directors values our stockholders’ opinions, and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our board of directors and the compensation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committee will take into account the outcome of the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advisory vote when considering future executive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decisions.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Must receive more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than “AGAINST”</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Not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 effect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0" w:type="dxa"/>
            <w:vAlign w:val="bottom"/>
          </w:tcPr>
          <w:p>
            <w:pPr>
              <w:spacing w:after="0"/>
              <w:rPr>
                <w:sz w:val="1"/>
                <w:szCs w:val="1"/>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votes to be approved.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applicable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applicable</w:t>
            </w:r>
          </w:p>
        </w:tc>
        <w:tc>
          <w:tcPr>
            <w:tcW w:w="0" w:type="dxa"/>
            <w:vAlign w:val="bottom"/>
          </w:tcPr>
          <w:p>
            <w:pPr>
              <w:spacing w:after="0"/>
              <w:rPr>
                <w:sz w:val="1"/>
                <w:szCs w:val="1"/>
                <w:color w:val="auto"/>
              </w:rPr>
            </w:pPr>
          </w:p>
        </w:tc>
      </w:tr>
    </w:tbl>
    <w:p>
      <w:pPr>
        <w:spacing w:after="0" w:line="689" w:lineRule="exact"/>
        <w:rPr>
          <w:sz w:val="20"/>
          <w:szCs w:val="20"/>
          <w:color w:val="auto"/>
        </w:rPr>
      </w:pPr>
    </w:p>
    <w:p>
      <w:pPr>
        <w:sectPr>
          <w:pgSz w:w="11900" w:h="16838" w:orient="portrait"/>
          <w:cols w:equalWidth="0" w:num="2">
            <w:col w:w="2980" w:space="260"/>
            <w:col w:w="8000"/>
          </w:cols>
          <w:pgMar w:left="320" w:top="441" w:right="339" w:bottom="1440" w:gutter="0" w:footer="0" w:header="0"/>
          <w:type w:val="continuous"/>
        </w:sectPr>
      </w:pPr>
    </w:p>
    <w:p>
      <w:pPr>
        <w:ind w:left="20"/>
        <w:spacing w:after="0"/>
        <w:tabs>
          <w:tab w:leader="none" w:pos="3240" w:val="left"/>
          <w:tab w:leader="none" w:pos="7720" w:val="left"/>
          <w:tab w:leader="none" w:pos="8860" w:val="left"/>
          <w:tab w:leader="none" w:pos="10260" w:val="left"/>
        </w:tabs>
        <w:rPr>
          <w:sz w:val="20"/>
          <w:szCs w:val="20"/>
          <w:color w:val="auto"/>
        </w:rPr>
      </w:pPr>
      <w:r>
        <w:rPr>
          <w:rFonts w:ascii="Times New Roman" w:cs="Times New Roman" w:eastAsia="Times New Roman" w:hAnsi="Times New Roman"/>
          <w:sz w:val="18"/>
          <w:szCs w:val="18"/>
          <w:color w:val="auto"/>
        </w:rPr>
        <w:t>4. Stockholder proposal requesting the</w:t>
      </w:r>
      <w:r>
        <w:rPr>
          <w:sz w:val="20"/>
          <w:szCs w:val="20"/>
          <w:color w:val="auto"/>
        </w:rPr>
        <w:tab/>
      </w:r>
      <w:r>
        <w:rPr>
          <w:rFonts w:ascii="Times New Roman" w:cs="Times New Roman" w:eastAsia="Times New Roman" w:hAnsi="Times New Roman"/>
          <w:sz w:val="18"/>
          <w:szCs w:val="18"/>
          <w:color w:val="auto"/>
        </w:rPr>
        <w:t>Must receive more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than “AGAINST”</w:t>
      </w:r>
      <w:r>
        <w:rPr>
          <w:sz w:val="20"/>
          <w:szCs w:val="20"/>
          <w:color w:val="auto"/>
        </w:rPr>
        <w:tab/>
      </w:r>
      <w:r>
        <w:rPr>
          <w:rFonts w:ascii="Times New Roman" w:cs="Times New Roman" w:eastAsia="Times New Roman" w:hAnsi="Times New Roman"/>
          <w:sz w:val="18"/>
          <w:szCs w:val="18"/>
          <w:color w:val="auto"/>
        </w:rPr>
        <w:t>Not</w:t>
      </w:r>
      <w:r>
        <w:rPr>
          <w:sz w:val="20"/>
          <w:szCs w:val="20"/>
          <w:color w:val="auto"/>
        </w:rPr>
        <w:tab/>
      </w: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8"/>
          <w:szCs w:val="18"/>
          <w:color w:val="auto"/>
        </w:rPr>
        <w:t>No effect</w:t>
      </w:r>
    </w:p>
    <w:p>
      <w:pPr>
        <w:ind w:left="20"/>
        <w:spacing w:after="0" w:line="219" w:lineRule="auto"/>
        <w:tabs>
          <w:tab w:leader="none" w:pos="3240" w:val="left"/>
          <w:tab w:leader="none" w:pos="7480" w:val="left"/>
        </w:tabs>
        <w:rPr>
          <w:sz w:val="20"/>
          <w:szCs w:val="20"/>
          <w:color w:val="auto"/>
        </w:rPr>
      </w:pPr>
      <w:r>
        <w:rPr>
          <w:rFonts w:ascii="Times New Roman" w:cs="Times New Roman" w:eastAsia="Times New Roman" w:hAnsi="Times New Roman"/>
          <w:sz w:val="18"/>
          <w:szCs w:val="18"/>
          <w:color w:val="auto"/>
        </w:rPr>
        <w:t>adoption of a simple majority voting</w:t>
      </w:r>
      <w:r>
        <w:rPr>
          <w:sz w:val="20"/>
          <w:szCs w:val="20"/>
          <w:color w:val="auto"/>
        </w:rPr>
        <w:tab/>
      </w:r>
      <w:r>
        <w:rPr>
          <w:rFonts w:ascii="Times New Roman" w:cs="Times New Roman" w:eastAsia="Times New Roman" w:hAnsi="Times New Roman"/>
          <w:sz w:val="18"/>
          <w:szCs w:val="18"/>
          <w:color w:val="auto"/>
        </w:rPr>
        <w:t>votes to be approved.</w:t>
      </w:r>
      <w:r>
        <w:rPr>
          <w:sz w:val="20"/>
          <w:szCs w:val="20"/>
          <w:color w:val="auto"/>
        </w:rPr>
        <w:tab/>
      </w:r>
      <w:r>
        <w:rPr>
          <w:rFonts w:ascii="Times New Roman" w:cs="Times New Roman" w:eastAsia="Times New Roman" w:hAnsi="Times New Roman"/>
          <w:sz w:val="18"/>
          <w:szCs w:val="18"/>
          <w:color w:val="auto"/>
        </w:rPr>
        <w:t>applicable</w:t>
      </w:r>
    </w:p>
    <w:p>
      <w:pPr>
        <w:ind w:left="20"/>
        <w:spacing w:after="0"/>
        <w:rPr>
          <w:sz w:val="20"/>
          <w:szCs w:val="20"/>
          <w:color w:val="auto"/>
        </w:rPr>
      </w:pPr>
      <w:r>
        <w:rPr>
          <w:rFonts w:ascii="Times New Roman" w:cs="Times New Roman" w:eastAsia="Times New Roman" w:hAnsi="Times New Roman"/>
          <w:sz w:val="18"/>
          <w:szCs w:val="18"/>
          <w:color w:val="auto"/>
        </w:rPr>
        <w:t>provision, if properly presented.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at the meeting are present at the Annual Meeting by virtual attendance or represented by proxy (regardless of whether the proxy has authority to vote on any matter). On the Record Date, there were 330,775,832 shares of Class A common stock and 25,166,391 shares of Class B common stock outstanding and entitled to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withhold votes and broker non-votes will be counted towards the quorum requirement. If there is no quorum, the person who called the meeting, the Chairperson of the meeting, or the holders of a majority of the voting power of the shares present at the Annual Meeting by virtual attendance or represented by proxy may adjourn the Annual Meeting to another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30, 2026, to our Secretary at 620 8th Avenue, 45th Floor, New York, New York 10018, Attention: Secretary.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bylaws, if you wish to submit a proposal (including a director nomination) at the annual meeting of stockholders to be held in 2027 that is not to be included in the proxy materials, you must do so not later than the close of business on March 17, 2027 nor earlier than the close of business on February 15, 2027. However, if the date of such annual meeting is not held between May 16, 2027 and July 15, 2027, to be timely, notice by the stockholder must be received (A) not earlier than the close of business on the 120th day prior to such annual meeting and (B) not later than the close of business on the later of the 90th day prior to such annual meeting or, if later than the 90th day prior to such annual meeting, the 10th day following the day on which public announcement of the date of such annual meeting is first made. You are also advised to review our bylaws, which contain additional requirements about advance notice of stockholder proposals and director nominations.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nine members and is divided into three classes. Each class consists, as nearly as possible, of one-third of the total number of directors, and each class has a three-year term. At each annual meeting of stockholders, the successors to directors whose terms then expire will be elected to serve from the time of election until the third annual meeting following the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are divided into the three classes as follows:</w:t>
      </w:r>
    </w:p>
    <w:p>
      <w:pPr>
        <w:spacing w:after="0" w:line="27" w:lineRule="exact"/>
        <w:rPr>
          <w:sz w:val="20"/>
          <w:szCs w:val="20"/>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Olivier Pomel, Dev Ittycheria, Shardul Shah and Ami Vora, whose terms will expire at the upcoming Annual Meeting,</w:t>
      </w:r>
    </w:p>
    <w:p>
      <w:pPr>
        <w:spacing w:after="0" w:line="9" w:lineRule="exact"/>
        <w:rPr>
          <w:rFonts w:ascii="Times New Roman" w:cs="Times New Roman" w:eastAsia="Times New Roman" w:hAnsi="Times New Roman"/>
          <w:sz w:val="18"/>
          <w:szCs w:val="18"/>
          <w:color w:val="auto"/>
        </w:rPr>
      </w:pPr>
    </w:p>
    <w:p>
      <w:pPr>
        <w:ind w:left="500" w:hanging="330"/>
        <w:spacing w:after="0" w:line="250"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Amit Agarwal, Alexis Lê-Quôc, Michael Callahan and Dominic Phillips, whose terms will expire at the annual meeting of stockholders to be held in 2027; and</w:t>
      </w:r>
    </w:p>
    <w:p>
      <w:pPr>
        <w:ind w:left="500" w:hanging="330"/>
        <w:spacing w:after="0" w:line="260"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Titi Cole, Matthew Jacobson and Julie Richardson, whose terms will expire at the annual meeting of stockholders to be held in 2028.</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Any additional directorships resulting from an increase in the number of directors will be distributed among the three classes so that, as nearly as possible, each class will consist of one-third of the directors. Vacancies on the board of directors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or appointed and qualified. The division of our board of directors into three classes with staggered three-year terms may delay or prevent a change of our management or a change in control of Datadog.</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Mr. Pomel, Mr. Ittycheria, Mr. Shah and Ms. Vora is currently a member of our board of directors and has been nominated for reelection to serve as a Class I director. Ms. Vora, who was identified by Spencer Stuart, joined our board of directors in September 2025 after having been considered and recommended by our nominating and corporate governance committee, whereas Mr. Pomel, Mr. Ittycheria and Mr. Shah were previously elected by the stockholders. Each of these nominees has agreed to stand for reelection at the Annual Meeting. Our management has no reason to believe that any nominee will be unable to serve. If elected at the Annual Meeting, each of these nominees would serve until the annual meeting of stockholders to be held in 2029 and until her or his successor has been duly elected or appointed and qualified, or if sooner, until the director’s death, resignation, retirement, disqualification or removal.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nominee becomes unavailable for election as a result of an unexpected occurrence, shares that would have been voted for that nominee will instead be voted for the election of a substitute nominee proposed by us or alternatively, our board of directors may leave a vacancy on the board of directors or reduce the size of the board of directors.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seeks to assemble a board that, as a whole, possesses the appropriate balance of professional and industry knowledge, financial expertise, diversity and high-level management experience necessary to oversee and direct our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effective functioning of the board. To provide a mix of experience and perspective on the board, the committee also takes into account diversity. The biographies below include information, as of the date of this proxy statement, regarding the specific and particular experience, qualifications, attributes or skills of each director or director nominee that led the committee to believe that that nominee should continue to serve on the board. However, each of the members of the committee may have a variety of reasons why a particular person would be an appropriate nominee for the board, and these views may differ from the views of other members.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UR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ECOMMENDS</w:t>
      </w:r>
      <w:r>
        <w:rPr>
          <w:rFonts w:ascii="Times New Roman" w:cs="Times New Roman" w:eastAsia="Times New Roman" w:hAnsi="Times New Roman"/>
          <w:sz w:val="18"/>
          <w:szCs w:val="18"/>
          <w:b w:val="1"/>
          <w:bCs w:val="1"/>
          <w:color w:val="auto"/>
        </w:rPr>
        <w:t xml:space="preserve"> A V</w:t>
      </w:r>
      <w:r>
        <w:rPr>
          <w:rFonts w:ascii="Times New Roman" w:cs="Times New Roman" w:eastAsia="Times New Roman" w:hAnsi="Times New Roman"/>
          <w:sz w:val="13"/>
          <w:szCs w:val="13"/>
          <w:b w:val="1"/>
          <w:bCs w:val="1"/>
          <w:color w:val="auto"/>
        </w:rPr>
        <w:t>OTE</w:t>
      </w:r>
      <w:r>
        <w:rPr>
          <w:rFonts w:ascii="Times New Roman" w:cs="Times New Roman" w:eastAsia="Times New Roman" w:hAnsi="Times New Roman"/>
          <w:sz w:val="18"/>
          <w:szCs w:val="18"/>
          <w:b w:val="1"/>
          <w:bCs w:val="1"/>
          <w:color w:val="auto"/>
        </w:rPr>
        <w:t xml:space="preserve"> FOR E</w:t>
      </w:r>
      <w:r>
        <w:rPr>
          <w:rFonts w:ascii="Times New Roman" w:cs="Times New Roman" w:eastAsia="Times New Roman" w:hAnsi="Times New Roman"/>
          <w:sz w:val="13"/>
          <w:szCs w:val="13"/>
          <w:b w:val="1"/>
          <w:bCs w:val="1"/>
          <w:color w:val="auto"/>
        </w:rPr>
        <w:t>ACH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LASS</w:t>
      </w:r>
      <w:r>
        <w:rPr>
          <w:rFonts w:ascii="Times New Roman" w:cs="Times New Roman" w:eastAsia="Times New Roman" w:hAnsi="Times New Roman"/>
          <w:sz w:val="18"/>
          <w:szCs w:val="18"/>
          <w:b w:val="1"/>
          <w:bCs w:val="1"/>
          <w:color w:val="auto"/>
        </w:rPr>
        <w:t xml:space="preserve"> I D</w:t>
      </w:r>
      <w:r>
        <w:rPr>
          <w:rFonts w:ascii="Times New Roman" w:cs="Times New Roman" w:eastAsia="Times New Roman" w:hAnsi="Times New Roman"/>
          <w:sz w:val="13"/>
          <w:szCs w:val="13"/>
          <w:b w:val="1"/>
          <w:bCs w:val="1"/>
          <w:color w:val="auto"/>
        </w:rPr>
        <w:t>IRECTOR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OMINEE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AMED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BOVE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 AND CURRENT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 nominees and our other directors who will continue in office after the Annual Meeting, their ages and positions or offices held with us as of the date of this proxy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rPr>
              <w:t>Age</w:t>
            </w:r>
          </w:p>
        </w:tc>
        <w:tc>
          <w:tcPr>
            <w:tcW w:w="6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Principal Occupation/Position</w:t>
            </w:r>
          </w:p>
        </w:tc>
      </w:tr>
      <w:tr>
        <w:trPr>
          <w:trHeight w:val="23"/>
        </w:trPr>
        <w:tc>
          <w:tcPr>
            <w:tcW w:w="11220" w:type="dxa"/>
            <w:vAlign w:val="bottom"/>
            <w:tcBorders>
              <w:bottom w:val="single" w:sz="8" w:color="auto"/>
            </w:tcBorders>
            <w:gridSpan w:val="3"/>
          </w:tcPr>
          <w:p>
            <w:pPr>
              <w:spacing w:after="0"/>
              <w:rPr>
                <w:sz w:val="2"/>
                <w:szCs w:val="2"/>
                <w:color w:val="auto"/>
              </w:rPr>
            </w:pPr>
          </w:p>
        </w:tc>
      </w:tr>
      <w:tr>
        <w:trPr>
          <w:trHeight w:val="218"/>
        </w:trPr>
        <w:tc>
          <w:tcPr>
            <w:tcW w:w="11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Class I director nominees for election at the Annual Meeting of Stockholders</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49</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59</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Shardul Shah</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43</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 Vora</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43</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11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Class II directors continuing in office until the annual meeting of stockholders to be held in 2027</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Amit Agarwal</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52</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51</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Technology Officer, Co-Founder and Director</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Callahan</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56</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Dominic Phillips</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44</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495"/>
        </w:trPr>
        <w:tc>
          <w:tcPr>
            <w:tcW w:w="11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Class III directors continuing in office until the annual meeting of stockholders to be held in 2028</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Titi Cole</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51</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Jacobson</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42</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Richardson</w:t>
            </w:r>
          </w:p>
        </w:tc>
        <w:tc>
          <w:tcPr>
            <w:tcW w:w="19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63</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Candidates for director nominees are reviewed in the context of the current composition of the board of directors, the operating requirements of Datadog and the long-term interests of our stockholders. In conducting this assessment, the nominating and corporate governance committee typically considers diversity, skills and such other factors as it deems appropriate, given the current needs of the board of directors and our business, to maintain a balance of knowledge, experience and capability.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of directors to recommend them for board service.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Annual Meeting</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Olivier Pomel </w:t>
      </w:r>
      <w:r>
        <w:rPr>
          <w:rFonts w:ascii="Times New Roman" w:cs="Times New Roman" w:eastAsia="Times New Roman" w:hAnsi="Times New Roman"/>
          <w:sz w:val="17"/>
          <w:szCs w:val="17"/>
          <w:color w:val="auto"/>
        </w:rPr>
        <w:t>is one of the co-founders of our company and has served as our Chief Executive Officer and a member of our board of directors since June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2010. Prior to co-founding Datadog, Mr. Pomel was Vice President of Technology at Wireless Generation, Inc., a SaaS technology company, from 2002 until its acquisition by News Corp. in 2010. Previously, Mr. Pomel held engineering positions at a number of technology and software companies, including IBM Research. Mr. Pomel received his M.S. in Computer Science from Ecole Centrale Paris. We believe Mr. Pomel is qualified to serve as a member of our board of directors because of his experience building and leading our business and his insight into corporate matters as our Chief Executive Officer.</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Dev Ittycheria </w:t>
      </w:r>
      <w:r>
        <w:rPr>
          <w:rFonts w:ascii="Times New Roman" w:cs="Times New Roman" w:eastAsia="Times New Roman" w:hAnsi="Times New Roman"/>
          <w:sz w:val="18"/>
          <w:szCs w:val="18"/>
          <w:color w:val="auto"/>
        </w:rPr>
        <w:t>has served as a member of our board of directors since February 2014. Mr. Ittycheria served as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MongoDB, Inc. from 2014 to 2025 and has served as a member of its board since 2014. Prior to joining MongoDB, Mr. Ittycheria served as a Managing Director at OpenView Venture Partners, a venture capital firm, from October 2013 to September 2014. From February 2012 to June 2013, Mr. Ittycheria served as a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previously served on the board of directors of athenahealth, Inc., a public cloud-based services company, from June 2010 to February 2019; Bazaarvoice, Inc., a public software company, from January 2010 to August 2014; AppDynamics, Inc., a private software company, from March 2011 until its acquisition by Cisco Systems, Inc. in March 2017; and Altimeter Growth Corporation, a public special purpose investment vehicle, from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September 2020 to December 2021. Mr. Ittycheria received his B.S. in Electrical Engineering from Rutgers University. We believe that Mr. Ittycheria is qualified to serve as a member of our board of directors because of his experience in building and leading high-growth businesses and his service on the boards of multiple public companies.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Shardul Shah </w:t>
      </w:r>
      <w:r>
        <w:rPr>
          <w:rFonts w:ascii="Times New Roman" w:cs="Times New Roman" w:eastAsia="Times New Roman" w:hAnsi="Times New Roman"/>
          <w:sz w:val="18"/>
          <w:szCs w:val="18"/>
          <w:color w:val="auto"/>
        </w:rPr>
        <w:t>has served as a member of our board of directors since November 2012. He is a partner at Index Ventures, an international venture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where he has worked since 2008. Mr. Shah’s investment focus is primarily centered around cloud infrastructure, security and enterprise software. Mr. Shah has served and currently serves on the board of directors of multiple private technology companies. Prior to Index Ventures, Mr. Shah was an associate at Summit Partners. Mr. Shah received his B.A. in Economics and Biology from the University of Chicago. We believe that Mr. Shah is qualified to serve as a member of our board of directors because of his experience in the venture capital industry and his knowledge of infrastructure, security and software.</w:t>
      </w:r>
    </w:p>
    <w:p>
      <w:pPr>
        <w:spacing w:after="0" w:line="2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Ami Vora </w:t>
      </w:r>
      <w:r>
        <w:rPr>
          <w:rFonts w:ascii="Times New Roman" w:cs="Times New Roman" w:eastAsia="Times New Roman" w:hAnsi="Times New Roman"/>
          <w:sz w:val="18"/>
          <w:szCs w:val="18"/>
          <w:color w:val="auto"/>
        </w:rPr>
        <w:t>has served as a member of our board of directors since September 2025. Since December 2025, she has served as Head of Product Anthropic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serving as the Chief Product Officer at Faire, the online marketplace for wholesale goods, from November 2022 to December 2024. From 2007 until November 2022, Ms. Vora held various roles at Meta, including VP Product and Design at WhatsApp, VP Product for Facebook Ads, and Director at Instagram. Ms. Vora began her career building developer tools at Microsoft. She holds a Bachelor’s Degree in Computer Science from Harvard University. We believe Ms. Vora is qualified to serve as a member of our board of directors because of her extensive experiencing building products at a global scale at high growth technology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Annual Meeting of Stockholders to be Held in 2027</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Amit Agarwal </w:t>
      </w:r>
      <w:r>
        <w:rPr>
          <w:rFonts w:ascii="Times New Roman" w:cs="Times New Roman" w:eastAsia="Times New Roman" w:hAnsi="Times New Roman"/>
          <w:sz w:val="18"/>
          <w:szCs w:val="18"/>
          <w:color w:val="auto"/>
        </w:rPr>
        <w:t>has served as a member of our board of directors since January 2025. Mr. Agarwal founded Standard Template Labs in September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its Chief Executive Officer. In 2025 he was a Partner at ICONIQ Capital, an investment and venture capital firm. From 2012 to 2024, Mr. Agarwal held senior leadership positions at Datadog, including serving as President from August 2022 to December 2024 and Chief Product Officer from April 2012 to August 2022. Prior to joining the company, Mr. Agarwal held senior product management and engineering positions at a number of software companies, including Quest Software and IBM. Mr. Agarwal received his M.B.A. in General Management from York University and his M.S. in Computer Science from Dalhousie University. We believe Mr. Agarwal is qualified to serve as a member of our board of directors because of his experience building and leading the development of our product and sales teams and his insights into our business as our former Chief Product Officer.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Alexis Lê-Quôc </w:t>
      </w:r>
      <w:r>
        <w:rPr>
          <w:rFonts w:ascii="Times New Roman" w:cs="Times New Roman" w:eastAsia="Times New Roman" w:hAnsi="Times New Roman"/>
          <w:sz w:val="18"/>
          <w:szCs w:val="18"/>
          <w:color w:val="auto"/>
        </w:rPr>
        <w:t>is one of the co-founders of our company and has served as our Chief Technology Officer and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2010.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Mr. Lê-Quôc received his M.S. in Computer Science from CentraleSupélec. We believe Mr. Lê-Quôc is qualified to serve as a member of our board of directors because of his experience building and leading the development of our technology and his insight into our business as our Chief Technology Officer.</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Michael Callahan </w:t>
      </w:r>
      <w:r>
        <w:rPr>
          <w:rFonts w:ascii="Times New Roman" w:cs="Times New Roman" w:eastAsia="Times New Roman" w:hAnsi="Times New Roman"/>
          <w:sz w:val="18"/>
          <w:szCs w:val="18"/>
          <w:color w:val="auto"/>
        </w:rPr>
        <w:t>has served as a member of our board of directors since June 2011. Mr. Callahan served as Chief Executive Officer of Awake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 private cyber security company that he co-founded, from August 2014 to July 2018. From September 2011 to August 2014, Mr. Callahan was an Entrepreneur in Residence at Greylock Partners. Earlier in his career, Mr. Callahan was Chief Technologist for Enterprise NAS at Hewlett Packard from April 2007 to October 2009; Chief Technology Officer and co-founder of PolyServe, a software company, from May 2000 to April 2007; and Director of Advanced Development at Ask Jeeves, a search engine, from January 1999 to May 2000. Mr. Callahan received his A.B. in Social Studies from Harvard University and was a Rhodes Scholar and Junior Research Fellow in mathematics at the University of Oxford. We believe that Mr. Callahan is qualified to serve as a member of our board of directors because of his extensive experience in the technology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Dominic Phillips </w:t>
      </w:r>
      <w:r>
        <w:rPr>
          <w:rFonts w:ascii="Times New Roman" w:cs="Times New Roman" w:eastAsia="Times New Roman" w:hAnsi="Times New Roman"/>
          <w:sz w:val="18"/>
          <w:szCs w:val="18"/>
          <w:color w:val="auto"/>
        </w:rPr>
        <w:t>has served as a member of our board of directors since February 2026. Mr. Phillips has served as the Chief Financial Officer of Samsara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since December 2019. From April 2014 to November 2019, he held various finance roles at ServiceNow, Inc., most recently Vice President, Finance and Head of Corporate Development, and from August 2010 to April 2014, he held various roles on Morgan Stanley’s technology investment banking team, most recently Vice President. Mr. Phillips holds a B.S. in Business from California Polytechnic State University—San Luis Obispo and an M.B.A. from University of California, Berkeley, Haas School of Business. We believe that Mr. Phillips is qualified to serve as a member of our board of directors because of his extensive senior management experience in the software industry as well as his depth of knowledge of financial and accounting issues, developed in senior financial roles at public companies in the software industry.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Annual Meeting of Stockholders to be Held in 2028</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Titi Cole </w:t>
      </w:r>
      <w:r>
        <w:rPr>
          <w:rFonts w:ascii="Times New Roman" w:cs="Times New Roman" w:eastAsia="Times New Roman" w:hAnsi="Times New Roman"/>
          <w:sz w:val="18"/>
          <w:szCs w:val="18"/>
          <w:color w:val="auto"/>
        </w:rPr>
        <w:t>has served as a member of our board of directors since June 2022. From 2022 to January 2025, she served as the CEO of Legacy Franchises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Citigroup Inc. where she was responsible for overseeing Citi’s consumer businesses in the markets the company was exiting. Beginning in 2020, she held various senior leadership positions as Citi’s Head of Global Operations and Fraud Prevention and the Chief Client Officer for Personal Banking and Wealth Management. From 2015 to 2020, Ms. Cole was the Head of Consumer and Small Business Banking Operations and Contact Centers at Wells Fargo after previously leading Shared Services for Consumer Credit Solutions, and also served as a member of Wells Fargo’s Management Committee. She has also held leadership roles at Bank of America and BMO Harris Bank in Chicago. Ms. Cole has served on the board of directors of Citigroup Inc., a publicly held financial services company, since 2025. Ms. Cole received a B.A. in Economics from the University of Ibadan in Nigeria and a M.B.A. from Northwestern University's Kellogg School of Management. We believe that Ms. Cole is qualified to serve as a member of our board of directors because of her extensive experience with global institutions at scale.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Matthew Jacobson </w:t>
      </w:r>
      <w:r>
        <w:rPr>
          <w:rFonts w:ascii="Times New Roman" w:cs="Times New Roman" w:eastAsia="Times New Roman" w:hAnsi="Times New Roman"/>
          <w:sz w:val="18"/>
          <w:szCs w:val="18"/>
          <w:color w:val="auto"/>
        </w:rPr>
        <w:t>has served as a member of our board of directors since July 2019, and previously served as a board observer from December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July 2019. He is a Partner at ICONIQ Capital, an investment and venture capital firm, where he has worked since September 2013 and sits on the firm’s executive, management and investment committees. Mr. Jacobson currently serves on the board of directors of GitLab Inc., a publicly traded software company, as well as the boards of a number of private technology companies. Additionally, Mr. Jacobson previously served on the board of directors of Braze, Inc. from July 2017 to April 2023 and Sprinklr, Inc. from April 2014 until December 2022. Prior to ICONIQ Capital, Mr. Jacobson held operating roles at Groupon and investing roles at Battery Ventures and Technology Crossover Ventures. He began his career as an investment banker at Lehman Brothers. Mr. Jacobson received his B.S. in Economics with concentrations in Finance and Management from The Wharton School at the University of Pennsylvania. We believe that Mr. Jacobson is qualified to serve as a member of our board of directors because of his extensive experience in the venture capital and technology industries.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Julie G. Richardson </w:t>
      </w:r>
      <w:r>
        <w:rPr>
          <w:rFonts w:ascii="Times New Roman" w:cs="Times New Roman" w:eastAsia="Times New Roman" w:hAnsi="Times New Roman"/>
          <w:sz w:val="18"/>
          <w:szCs w:val="18"/>
          <w:color w:val="auto"/>
        </w:rPr>
        <w:t>has served as a member of our board of directors since May 2019. From November 2012 to October 2014, Ms. Richardson was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Adviser to Providence Equity Partners LLC, a global asset management firm. From April 2003 to November 2012, Ms. Richardson was a Partner and Managing Director at Providence Equity, a private equity investment fund, and oversaw its New York office. Prior to Providence Equity, Ms. Richardson served as Global Head of JP Morgan’s Telecom, Media and Technology Group, and was previously a Managing Director in Merrill Lynch &amp; Co.’s investment banking group. Ms. Richardson has served on the boards of directors of BXP, Inc., a publicly traded developer in the United States, since May 2025 and UBS Group AG, a publicly held financial services company, since May 2017. Ms. Richardson previously served on the boards of directors of Arconic, Inc. from 2016 to 2018, The Hartford Financial Group from 2014 to 2020, VEREIT, Inc. from 2015 to 2021 and Yext Inc. from 2015 to January 2025. Ms. Richardson holds a B.B.A from the University of Wisconsin-Madison. We believe that Ms. Richardson is qualified to serve as a member of our board of directors because of her investment management and financial services experience, and her extensive experience serving on public company boards.</w:t>
      </w:r>
    </w:p>
    <w:p>
      <w:pPr>
        <w:spacing w:after="0" w:line="29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Nasdaq listing standards, a majority of the members of our board of directors must qualify as “independent,” as affirmatively determined by our board of directors. Our board of directors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affirmatively determined that the following eight directors are independent within the meaning of the applicable Nasdaq listing standards: Mses. Cole, Richardson and Vora and Messrs. Callahan, Ittycheria, Jacobson, Phillips and Shah. In making this determination, our board of directors found that none of these directors or nominees for director had a material or other disqualifying relationship with Datadog. Messrs. Agarwal, Pomel and Lê-Quôc are not independent due to their current or former positions as executive officers of Datadog.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of directors considered the applicable Nasdaq rules and all other facts and circumstances our board of directors deemed relevant in determining their independence, including their beneficial ownership of our capital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 Ittycheria currently serves as lead independent director of our board of directors. The primary responsibilities of the lead independent director are to: work with the Chief Executive Officer to develop board meeting schedules and agendas; provide the Chief Executive Officer feedback on the quality, quantity and timeliness of the information provided to the board; develop the agenda for and moderate executive sessions of the independent members of the board; preside over board meetings when the chairperson is not present; act as principal liaison between the independent members of the board and the Chief Executive Officer; and convene meetings of the independent directors as appropriate. Accordingly, the lead independent director has substantial ability to shape the work of the board. We believe that having a lead independent director supports the board in its oversight of the business and affairs of Datadog. In addition, we believe that having a lead independent director creates an environment that is conducive to objective evaluation and oversight of management’s performance, increasing management accountability and improving the ability of the board to monitor whether management’s actions are in the best interests of Datadog and its stockholders. As a result, Datadog believes that having a lead independent director can enhance the effectiveness of the board as a whole.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designed to support the achievement of organizational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our full board of directors has overall responsibility for risk oversight, it has delegated oversight of certain risks to its committees. Our audit committee monitors our major financial risk exposures and the steps our management has taken to monitor and control these exposures, including guidelines and policies to govern the process by which risk assessment and management is undertaken. Furthermore, our audit committee oversees risks associated with cybersecurity, information security and data privacy, and generally, each quarter, the audit committee reviews and discusses with our Chief Information Security Officer material cybersecurity risks and our processes for assessing, identifying, and managing such risks, and the audit committee will receive updates as necessary between each quarterly meeting. Further, our audit committee also monitors compliance with legal and regulatory requirements, in addition to oversight of the performance of our internal audit function. Our compensation committee monitors whether any of our compensation policies and programs has the potential to encourage excessive risk-taking. Our nominating and corporate governance committee oversees our major corporate governance risks, including through monitoring the effectiveness of our Corporate Governance Guidelines.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our full board of directors addresses the primary risks associated with our business including, for example, strategic planning. Our board of directors appreciates the evolving nature of our business and industry and is actively involved with monitoring new threats and risks as they emerge.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and its committees with respect to the most significant risks that could affect our business, such as legal risks, information security and privacy risks, and financial, tax and audit-related risks. In addition, among other matters, management provides our audit committee periodic reports on our compliance programs and investment policy and practices.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management and the strategy of our company and for establishing corporate policies. Our board of directors meets periodically during the year to review significant developments affecting us and to act on matters requiring the approval of our board of directors. Our board of directors met five times during our last fiscal year, of which each director attended 75% or more of the aggregate of the meetings of our board of directors and of the committees on which he or she served. We encourage our directors and nominees for director to attend our Annual Meeting. Seven of the nine directors, serving at the time of our 2025 annual meeting of stockholders attended that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Our board of directors may establish other committees to facilitate the management of our business. Our board of directors has adopted a written charter for each of our committees, which are available to stockholders on our investor relations website at </w:t>
      </w:r>
      <w:r>
        <w:rPr>
          <w:rFonts w:ascii="Times New Roman" w:cs="Times New Roman" w:eastAsia="Times New Roman" w:hAnsi="Times New Roman"/>
          <w:sz w:val="18"/>
          <w:szCs w:val="18"/>
          <w:i w:val="1"/>
          <w:iCs w:val="1"/>
          <w:color w:val="auto"/>
        </w:rPr>
        <w:t>investors.datadoghq.com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membership and meeting information for fiscal 2025 for each of the committees of our board of directors: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6"/>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7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0" w:type="dxa"/>
            <w:vAlign w:val="bottom"/>
          </w:tcPr>
          <w:p>
            <w:pPr>
              <w:spacing w:after="0"/>
              <w:rPr>
                <w:sz w:val="1"/>
                <w:szCs w:val="1"/>
                <w:color w:val="auto"/>
              </w:rPr>
            </w:pPr>
          </w:p>
        </w:tc>
      </w:tr>
      <w:tr>
        <w:trPr>
          <w:trHeight w:val="203"/>
        </w:trPr>
        <w:tc>
          <w:tcPr>
            <w:tcW w:w="616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Amit Agarwal</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Titi Cole</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Callahan</w:t>
            </w: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X *</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Jacobson</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 *</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Richardson</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X *</w:t>
            </w: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Shardul Shah</w:t>
            </w: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Ami Vora</w:t>
            </w:r>
          </w:p>
        </w:tc>
        <w:tc>
          <w:tcPr>
            <w:tcW w:w="14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Meetings in 2025</w:t>
            </w:r>
          </w:p>
        </w:tc>
        <w:tc>
          <w:tcPr>
            <w:tcW w:w="14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Committee Chairperson</w:t>
      </w:r>
    </w:p>
    <w:p>
      <w:pPr>
        <w:spacing w:after="0" w:line="2" w:lineRule="exact"/>
        <w:rPr>
          <w:sz w:val="20"/>
          <w:szCs w:val="20"/>
          <w:color w:val="auto"/>
        </w:rPr>
      </w:pPr>
    </w:p>
    <w:p>
      <w:pPr>
        <w:ind w:right="760" w:firstLine="8"/>
        <w:spacing w:after="0" w:line="258"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Phillips is omitted from the table as he joined the board of directors in February 2026. Ms. Vora was appointed to the board of directors in September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committee member and nominee meets the applicable Nasdaq rules and regulations regarding “independence” and each committee member and nominee is free of any relationship that would impair his or her individual exercise of independent judgment with regard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committee of our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consists of Ms. Richardson and Messrs. Callahan, Jacobson and Shah. Ms. Richardson is the chair of the audit committee.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reviews the Nasdaq listing standards definition of independence for audit committee members on an annual basis and has determined that each member of the audit committee satisfies the independence requirements under Nasdaq listing standards and Rule 10A-3(b)(1) of the Exchange Act. Our board of directors has also determined that Ms. Richardson, the chair of the audit committee,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17"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 and significant issues regarding accounting principles and financial-statement presentation;</w:t>
      </w:r>
    </w:p>
    <w:p>
      <w:pPr>
        <w:spacing w:after="0" w:line="6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any proposed earnings press releases and other financial information and guidance provided publicly or to ratings agencies;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500" w:right="12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company’s Chief Information Security Officer material risks relating to data privacy, technology and information security;</w:t>
      </w:r>
    </w:p>
    <w:p>
      <w:pPr>
        <w:spacing w:after="0" w:line="53"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 of the company’s internal audit function and conferring with management and the independent accountants concerning the scope, design and effectiveness of internal control over financial reporting and disclosure controls and procedures;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500" w:right="34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53"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procedures for receiving, retaining and investigating complaints regarding accounting, internal accounting controls or auditing matters and confidential and anonymous submissions by employees concerning questionable accounting and auditing matters;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results of management’s efforts to monitor compliance with our policies and programs; and</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 of the Audit Committee of the Board of Directors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The audit committee has also reviewed and discussed with Deloitte &amp; Touche LLP, Datadog’s independent registered public accounting firm, the matters required to be discussed by the Public Company Accounting Oversight Board (“PCAOB”) and the SEC. The audit committee has also received the written disclosures and the letter from Deloitte &amp; Touche LLP required by applicable requirements of the PCAOB regarding the independent accountants’ communications with the audit committee concerning independence, and has discussed with Deloitte &amp; Touche LLP the accounting firm’s independence. Based on the foregoing, the audit committee has recommended to the board of directors that the audited financial statements be included in Datadog’s Annual Report on Form 10-K for the fiscal year ended December 31, 2025 and filed with the SEC.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the Audit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Richardson,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Callahan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Shardul Shah</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Datadog under the Securities Act of 1933, as amended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of our board of directors consists of Messrs. Callahan and Ittycheria and Mses. Cole and Richardson. Mr. Callahan is the chair of the compensation committee.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reviews the Nasdaq listing standards definition of independence for compensation committee members on an annual basis and has determined that each member of and nominee to the compensation committee satisfies the independence requirements under Nasdaq listing standards and is a “non-employee director” as defined in Rule 16b-3 promulgated under the Exchange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on behalf of our board of directors to review, oversee and approve (or make recommendations to our board of directors for approval of) our compensation strategy, policies, plans and programs, including:</w:t>
      </w:r>
    </w:p>
    <w:p>
      <w:pPr>
        <w:spacing w:after="0" w:line="54"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6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any equity and non-equity incentive plans including pension, profit sharing, bonus, benefit and other similar plans;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our compensation clawback or similar policies;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17"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matters relating to human capital management, and as the compensation committee determines to be appropriate, making recommendations to the board of directors regarding human capital management policies and strategies; and</w:t>
      </w:r>
    </w:p>
    <w:p>
      <w:pPr>
        <w:spacing w:after="0" w:line="53"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generally meets quarterly and with greater frequency if necessary. The compensation committee also acts periodically by unanimous written consent in lieu of a formal meeting. The agenda for each meeting is usually developed by the chairperson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Datadog. In addition, under the charter, the compensation committee has the authority to obtain, at our expense,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member of our compensation committee is currently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 of the Compensation Committee of the Board of Directors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of this proxy statement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Datadog’s annual report on Form 10-K for the fiscal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the Compensation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Callahan,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Titi Cole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 Ittycheria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Richardson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furnished to, but not deemed “filed” with, the SEC and is not deemed to be incorporated by reference in any filing of Datadog under the Securities Act or the Exchange Act, other than Datadog’s Annual Report on Form 10-K, where it shall be deemed to be “furnished,” whether made before or after the date hereof and irrespective of any general incorporation language in any such filing.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consists of Messrs. Jacobson, Ittycheria and Shah and Ms. Cole.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Jacobson is the chair of the nominating and corporate governance committee.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reviews the Nasdaq listing standards definition of independence on an annual basis and has determined that each member of and nominee to the nominating and corporate governance committee satisfies the independence requirements under Nasdaq listing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duties and responsibilities of our nominating and corporate governance committee include, among other things:</w:t>
      </w:r>
    </w:p>
    <w:p>
      <w:pPr>
        <w:spacing w:after="0" w:line="117" w:lineRule="exact"/>
        <w:rPr>
          <w:sz w:val="20"/>
          <w:szCs w:val="20"/>
          <w:color w:val="auto"/>
        </w:rPr>
      </w:pPr>
    </w:p>
    <w:p>
      <w:pPr>
        <w:ind w:left="500" w:right="20" w:hanging="330"/>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committees of the board and of individual directors;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500" w:right="540" w:hanging="330"/>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articles of incorporation and bylaws, corporate governance practices, reporting, information dissemination and continuing education;</w:t>
      </w:r>
    </w:p>
    <w:p>
      <w:pPr>
        <w:spacing w:after="0" w:line="53" w:lineRule="exact"/>
        <w:rPr>
          <w:rFonts w:ascii="Times New Roman" w:cs="Times New Roman" w:eastAsia="Times New Roman" w:hAnsi="Times New Roman"/>
          <w:sz w:val="18"/>
          <w:szCs w:val="18"/>
          <w:color w:val="auto"/>
        </w:rPr>
      </w:pPr>
    </w:p>
    <w:p>
      <w:pPr>
        <w:ind w:left="500" w:right="600" w:hanging="330"/>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(together with other committees of the board of directors) annually any stockholder proposals submitted for inclusion in our proxy statement and stockholder nominees for election to the board of directors; and</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ESG policies, programs and public disclosure, and considering current and emerging ESG trends.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and having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stockholders. These qualifications may be modified from time to time. Candidates for director nominees are reviewed in the context of the current composition of the board of directors, the operating requirements of Datadog and the long-term interests of our stockholders. In conducting this assessment, the nominating and corporate governance committee typically considers diversity, skills and such other factors as it deems appropriate, given the current needs of the board of directors and our business, to maintain a balance of knowledge, experience and capability.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primarily responsible for maintaining a balanced board of directors, which includes recommending directors for re-election and identifying new director candidates who will bring complementary skills and varied perspectives to our board of directors. In their approach to composition and refreshment, our nominating and corporate governance committee strives to achieve an appropriate balance of continuity and institutional knowledge, together with fresh perspectives and skills, through a mix of newer-tenured and more seasoned directors. Our nominating and corporate governance committee believes this balance best serves our shareholders’ interests and that the overlap of new and longer-tenured directors provides new directors with the opportunity to learn from the knowledge and experience of longer-tenured directors.</w:t>
      </w:r>
    </w:p>
    <w:p>
      <w:pPr>
        <w:spacing w:after="0" w:line="2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corporate governance committee reviews these directors’ overall service to Datadog during their terms, including the number of meetings attended, level of participation, quality of performance and any other relationships and transactions that might impair the directors’ independence. To identify new director candidates, the nominating and corporate governance committee may engage, if it deems appropriate, a professional search firm. In 2025, the nominating and corporate governance committee engaged Spencer Stuart and Heidrick &amp; Struggles, each a third-party search firm, to help identify potential director nominees.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committee’s efforts have resulted in significant changes to our board of directors recently. Two new independent directors were appointed to our board in 2025 and 2026 bringing fresh perspectives, diverse experiences and new insights to enhance the effective oversight of our business.</w:t>
      </w:r>
    </w:p>
    <w:p>
      <w:pPr>
        <w:spacing w:after="0" w:line="122" w:lineRule="exact"/>
        <w:rPr>
          <w:sz w:val="20"/>
          <w:szCs w:val="20"/>
          <w:color w:val="auto"/>
        </w:rPr>
      </w:pPr>
    </w:p>
    <w:p>
      <w:pPr>
        <w:ind w:left="660" w:right="3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 Vora joined the board in September 2025 bringing her extensive experience building products at a global scale at high growth technology companies.</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Dominic Phillips joined the board in February 2026 bringing his depth of knowledge of financial and accounting matters, as well as significant experience serving at public companies within the software industry.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so long as they comply with applicable law and our bylaws, and will review the qualifications of any such candidate in accordance with the criteria described in the two preceding paragraphs. Stockholders who wish to recommend individuals for consideration by our nominating and corporate governance committee to become nominees for election to our board of directors should do so by delivering a written recommendation to our nominating and corporate governance committee at 620 8th Avenue, 45th Floor, New York, New York 10018, Attention: Secretary.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corporate governance committee for consideration, you wish to formally nominate a director pursuant to proxy materials that you will prepare and file with the SEC, please see the deadline described in “When are stockholder proposals and director nominations due for next year’s annual meeting?”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and refer to our bylaws for a complete description of the required procedures for nominating a candidate to our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formal process by which stockholders may communicate with the board or any of its directors. Stockholders and other interested parties wishing to communicate with the board or an individual director may send a written communication c/o Datadog, Inc., 620 8th Avenue, 45th Floor, New York, New York, 10018, Attn: Secretary. Written communications may be submitted anonymously or confidentially and may, at the discretion of the person submitting the communication, indicate whether the person is a stockholder or other interested party. Each communication will be reviewed by the Secretary to determine whether it is appropriate for presentation to the board or such director. Examples of inappropriate communications include product complaints, product inquiries, new product suggestions, resumes or job inquiries, surveys, solicitations or advertisements, or hostile communications.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determined by the Secretary to be appropriate for presentation to the board or such director will be submitted to the board or such director on a periodic basis. Communications determined by the Secretary to be inappropriate for presentation will still be made available to any non-management director upon such director’s request.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the Datadog, Inc. Code of Business Conduct and Ethics that applies to all officers, directors and employees. The Code of Business Conduct and Ethics is available on our website at </w:t>
      </w:r>
      <w:r>
        <w:rPr>
          <w:rFonts w:ascii="Times New Roman" w:cs="Times New Roman" w:eastAsia="Times New Roman" w:hAnsi="Times New Roman"/>
          <w:sz w:val="18"/>
          <w:szCs w:val="18"/>
          <w:i w:val="1"/>
          <w:iCs w:val="1"/>
          <w:color w:val="auto"/>
        </w:rPr>
        <w:t>investors.datadoghq.com</w:t>
      </w:r>
      <w:r>
        <w:rPr>
          <w:rFonts w:ascii="Times New Roman" w:cs="Times New Roman" w:eastAsia="Times New Roman" w:hAnsi="Times New Roman"/>
          <w:sz w:val="18"/>
          <w:szCs w:val="18"/>
          <w:color w:val="auto"/>
        </w:rPr>
        <w:t>. If we were to amend or waive any provision of the Code of Business Conduct and Ethics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the Datadog, Inc. Corporate Governance Guidelines for the conduct and operation of the board in order to give directors a flexible framework for effectively pursuing our objectives for the benefit of our stockholders. The Corporate Governance Guidelines set forth the practices the board of directors intends to follow with respect to board composition and selection, board meetings and involvement of senior management, Chief Executive Officer performance evaluation and management succession planning and board committees and compensation. The Corporate Governance Guidelines may be viewed on our website at </w:t>
      </w:r>
      <w:r>
        <w:rPr>
          <w:rFonts w:ascii="Times New Roman" w:cs="Times New Roman" w:eastAsia="Times New Roman" w:hAnsi="Times New Roman"/>
          <w:sz w:val="18"/>
          <w:szCs w:val="18"/>
          <w:i w:val="1"/>
          <w:iCs w:val="1"/>
          <w:color w:val="auto"/>
        </w:rPr>
        <w:t>investors.datadoghq.com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Prohibition on Hedging, Short Sales and Pledging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and procedures governing the purchase, sale, and other dispositions of the company’s securities by directors, officers and employees. In addition, the insider trading policy provides that if the company itself transacts in the company’s securities, it must also comply with applicable law and regulations relating to insider trading. The company believes its insider trading policy is reasonably designed to promote compliance with insider trading laws, rules and regulations. A copy of the insider trading policy was filed as Exhibit 19.1 to our Annual Report on Form 10-K for the year ended December 31,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insider trading policy prohibits hedging or monetization transactions with respect to our Class A common stock,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COMPENSATION OF OUR NAMED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the tables included under the heading “Executive Compensation—Executive Compensation Tables” and the accompanying narrative).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Compensation—Compensation Discussion and Analysis” in this proxy statement, which provide a comprehensive review of our executive compensation program and its elements, objectives and rationale.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225" w:lineRule="exact"/>
        <w:rPr>
          <w:sz w:val="20"/>
          <w:szCs w:val="20"/>
          <w:color w:val="auto"/>
        </w:rPr>
      </w:pPr>
    </w:p>
    <w:p>
      <w:pPr>
        <w:jc w:val="both"/>
        <w:ind w:left="340" w:right="32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2026 Annual Meeting of Stockholders, pursuant to the compensation disclosure rules of the Securities and Exchange Commission, including the Compensation Discussion and Analysis, the compensation tables and the accompanying narrative.”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17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UR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ECOMMENDS</w:t>
      </w:r>
      <w:r>
        <w:rPr>
          <w:rFonts w:ascii="Times New Roman" w:cs="Times New Roman" w:eastAsia="Times New Roman" w:hAnsi="Times New Roman"/>
          <w:sz w:val="18"/>
          <w:szCs w:val="18"/>
          <w:b w:val="1"/>
          <w:bCs w:val="1"/>
          <w:color w:val="auto"/>
        </w:rPr>
        <w:t xml:space="preserve"> A V</w:t>
      </w:r>
      <w:r>
        <w:rPr>
          <w:rFonts w:ascii="Times New Roman" w:cs="Times New Roman" w:eastAsia="Times New Roman" w:hAnsi="Times New Roman"/>
          <w:sz w:val="13"/>
          <w:szCs w:val="13"/>
          <w:b w:val="1"/>
          <w:bCs w:val="1"/>
          <w:color w:val="auto"/>
        </w:rPr>
        <w:t>OTE</w:t>
      </w:r>
      <w:r>
        <w:rPr>
          <w:rFonts w:ascii="Times New Roman" w:cs="Times New Roman" w:eastAsia="Times New Roman" w:hAnsi="Times New Roman"/>
          <w:sz w:val="18"/>
          <w:szCs w:val="18"/>
          <w:b w:val="1"/>
          <w:bCs w:val="1"/>
          <w:color w:val="auto"/>
        </w:rPr>
        <w:t xml:space="preserve"> FOR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PPROVAL OF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3"/>
          <w:szCs w:val="13"/>
          <w:b w:val="1"/>
          <w:bCs w:val="1"/>
          <w:color w:val="auto"/>
        </w:rPr>
        <w:t>BINDING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ESOLUTION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FFICER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our executive officers, their ages and positions held with us as of the date of this proxy statement: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8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Principal Position</w:t>
            </w:r>
          </w:p>
        </w:tc>
      </w:tr>
      <w:tr>
        <w:trPr>
          <w:trHeight w:val="23"/>
        </w:trPr>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 Co-Founder and Director</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Kerry Acocella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Galloreese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Yanbing Li</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0"/>
                <w:szCs w:val="20"/>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Biographical information for Olivier Pomel and Alexis Lê-Quôc is included above with the director biographies under the caption “Information Regarding Director Nominees and Current Directors.”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Obstler </w:t>
      </w:r>
      <w:r>
        <w:rPr>
          <w:rFonts w:ascii="Times New Roman" w:cs="Times New Roman" w:eastAsia="Times New Roman" w:hAnsi="Times New Roman"/>
          <w:sz w:val="18"/>
          <w:szCs w:val="18"/>
          <w:color w:val="auto"/>
        </w:rPr>
        <w:t>has served as our Chief Financial Officer since November 2018. Prior to joining us, Mr. Obstler held Chief Financial Officer positions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other companies including TravelClick, Inc., a hospitality technology company, where he served from September 2014 to October 2018, OpenLink Financial LLC, a financial services software provider, where he served from November 2012 to July 2014, MSCI Inc., a financial index and investment management software company, where he served from June 2010 to September 2012, and Risk Metrics Group, Inc., a risk management and corporate governance service provider, where he served from January 2005 to June 2010. Mr. Obstler has served on the board of directors of Braze, Inc., a publicly held software company, since May 2021. Earlier in his career, Mr. Obstler held various investment banking positions at J.P. Morgan, Lehman Brothers and Goldman Sachs. Mr. Obstler received his M.B.A. from Harvard Business School and his B.A. from Yale University.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Kerry Acocella </w:t>
      </w:r>
      <w:r>
        <w:rPr>
          <w:rFonts w:ascii="Times New Roman" w:cs="Times New Roman" w:eastAsia="Times New Roman" w:hAnsi="Times New Roman"/>
          <w:sz w:val="18"/>
          <w:szCs w:val="18"/>
          <w:color w:val="auto"/>
        </w:rPr>
        <w:t>has served as our General Counsel since January 2022 after serving as Chief Corporate Counsel since January 2019. Prior to joining us,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Acocella served as Corporate Counsel at Lindblad Expeditions, a Nasdaq-listed expedition travel company from October 2017 to December 2018. From February 2013 to October 2017, she served as Executive Director, Legal &amp; Chief Compliance Officer of Fifth Street Asset Management, a Nasdaq-listed asset manager. Earlier in her career, Ms. Acocella held legal positions at WW International, Inc., formerly Weight Watchers International, Inc., and Morrison &amp; Foerster LLP. Ms. Acocella received her J.D. from Benjamin N. Cardozo School of Law and her B.S. in Psychology from The University of Georgia.</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Adam Blitzer </w:t>
      </w:r>
      <w:r>
        <w:rPr>
          <w:rFonts w:ascii="Times New Roman" w:cs="Times New Roman" w:eastAsia="Times New Roman" w:hAnsi="Times New Roman"/>
          <w:sz w:val="18"/>
          <w:szCs w:val="18"/>
          <w:color w:val="auto"/>
        </w:rPr>
        <w:t>has served as our Chief Operating Officer since May 2021. Prior to joining us, Mr. Blitzer held senior management positions at Salesforce,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relationship management service platform, from December 2016 to May 2021, most recently as Executive Vice President and General Manager of Digital. Mr. Blitzer founded Pardot in February 2007 and ran the company until October 2012. Pardot, a B2B marketing automation platform, was acquired by ExactTarget in 2012 and ultimately Salesforce in 2013. Mr. Blitzer holds a B.A. in Public Policy Studies from Duke University.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Galloreese </w:t>
      </w:r>
      <w:r>
        <w:rPr>
          <w:rFonts w:ascii="Times New Roman" w:cs="Times New Roman" w:eastAsia="Times New Roman" w:hAnsi="Times New Roman"/>
          <w:sz w:val="18"/>
          <w:szCs w:val="18"/>
          <w:color w:val="auto"/>
        </w:rPr>
        <w:t>has served as our Chief People Officer since July 2024. Prior to joining us, Mr. Galloreese served as Chief Human Resources Officer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companies including Figma, a cloud-based design platform, where he served from May 2021 to November 2022, and Wells Fargo &amp; Company, a financial services company, where he served from July 2018 to April 2021. From October 2016 to June 2018, he served in various senior human resource management positions at Walmart Inc., a leading retailer, most recently as Chief People Officer of Sam’s Club. Earlier in his career, Mr. Galloreese held various senior human resource management positions at Medallia and Caesars Entertainment. Mr. Galloreese received his M.B.A from New York University and his B.A. from the University of California, Los Angeles.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Yanbing Li </w:t>
      </w:r>
      <w:r>
        <w:rPr>
          <w:rFonts w:ascii="Times New Roman" w:cs="Times New Roman" w:eastAsia="Times New Roman" w:hAnsi="Times New Roman"/>
          <w:sz w:val="18"/>
          <w:szCs w:val="18"/>
          <w:color w:val="auto"/>
        </w:rPr>
        <w:t>has served as our Chief Product Officer since August 2024. Prior to joining us, Dr. Li held various senior engineering, product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management positions at a number of technology companies. Most recently she served as Senior Vice President of Engineering of Aurora, a self-driving technology company, from July 2021 to August 2024, and Vice President of Engineering and Product, Google Cloud, from June 2019 to July 2021. Previously she served in various senior engineering and general management positions at VMWare, a provider of multi-cloud services, from 2008 to 2019, most recently as Senior Vice President and General Manager of Storage and Availability BU. Dr. Li</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has served on the board of directors of Equinix, Inc., a publicly held digital infrastructure company, since August 2025 and served on the board of directors of NeoPhotonics, a developer and manufacturer of lasers and optoelectronic solutions, from 2019 to 2022. Dr. Li holds a Ph.D from Princeton University, a M.S. from Cornell University and a B.S. from Tsinghua University.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Sean Walters </w:t>
      </w:r>
      <w:r>
        <w:rPr>
          <w:rFonts w:ascii="Times New Roman" w:cs="Times New Roman" w:eastAsia="Times New Roman" w:hAnsi="Times New Roman"/>
          <w:sz w:val="18"/>
          <w:szCs w:val="18"/>
          <w:color w:val="auto"/>
        </w:rPr>
        <w:t>has served as our Chief Revenue Officer since January 2022 after serving as Senior Vice President of Worldwide Sales since 2018.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us, Mr. Walters held various roles at Medallia, Inc., a SaaS-based customer feedback company, from April 2013 to February 2018, including as Area Vice President and General Manager from February 2017 to February 2018 and Regional Vice President from August 2015 to February 2017. From June 2011 to April 2013, Mr. Walters held various sales positions at BMC Software, Inc., an information technology and services company. Earlier in his career, Mr. Walters held various sales positions at IBM, BEA Systems and ADP. Mr. Walters received his B.S. in Marketing from Rowan University.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section discusses our executive compensation policies and how and why our compensation committee arrived at specific compensation decisions for the year ended December 31, 2025 for the individuals who served as our principal executive officer and principal financial officer and our three other most highly-compensated executive officers as of December 31, 2025, collectively referred to as our “named executive officers”: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Olivier Pomel</w:t>
            </w:r>
          </w:p>
        </w:tc>
        <w:tc>
          <w:tcPr>
            <w:tcW w:w="10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Co-Founder</w:t>
            </w: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David Obstler</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Alexis Lê-Quôc</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Technology Officer and Co-Founder</w:t>
            </w:r>
          </w:p>
        </w:tc>
      </w:tr>
      <w:tr>
        <w:trPr>
          <w:trHeight w:val="23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Adam Blitzer</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r>
      <w:tr>
        <w:trPr>
          <w:trHeight w:val="24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Sean Walters</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Revenue Officer</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Datadog is the AI-powered observability and security platform for cloud applications.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service management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products are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is supported by more than 1,000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trillions of events per hour and millions of servers and containers.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Financial and Business Highlights</w:t>
      </w:r>
    </w:p>
    <w:p>
      <w:pPr>
        <w:spacing w:after="0" w:line="121"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$3.43 billion, an increase of 28% year-over-year.</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loss was $(44) million; GAAP operating margin was (1)%.</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was $768 million; non-GAAP operating margin was 22%.</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per diluted share was $0.31; non-GAAP net income per diluted share was $2.05.</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had 603 customers with annual recurring revenue (“ARR”) of $1 million or more, an increase of 31% year-over-year, and about 4,310 customers with ARR of $100,000 or more, an increase of 19% year-over-year.</w:t>
      </w:r>
    </w:p>
    <w:p>
      <w:pPr>
        <w:spacing w:after="0" w:line="53" w:lineRule="exact"/>
        <w:rPr>
          <w:rFonts w:ascii="Times New Roman" w:cs="Times New Roman" w:eastAsia="Times New Roman" w:hAnsi="Times New Roman"/>
          <w:sz w:val="18"/>
          <w:szCs w:val="18"/>
          <w:color w:val="auto"/>
        </w:rPr>
      </w:pPr>
    </w:p>
    <w:p>
      <w:pPr>
        <w:jc w:val="both"/>
        <w:ind w:left="500" w:hanging="330"/>
        <w:spacing w:after="0" w:line="289" w:lineRule="auto"/>
        <w:tabs>
          <w:tab w:leader="none" w:pos="49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broadened our platform offerings in 2025, including On Call to create on-call schedules and integrate real-time observability data into customers' incident response plans, Product Analytics to improve business outcomes and product development decisions with quantitative insights into user experiences and behavior, and Bits AI SRE Agent to autonomously investigate alerts, surface root causes, and draft summaries about incidents.</w:t>
      </w:r>
    </w:p>
    <w:p>
      <w:pPr>
        <w:spacing w:after="0" w:line="49" w:lineRule="exact"/>
        <w:rPr>
          <w:rFonts w:ascii="Times New Roman" w:cs="Times New Roman" w:eastAsia="Times New Roman" w:hAnsi="Times New Roman"/>
          <w:sz w:val="17"/>
          <w:szCs w:val="17"/>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for the three-year period ended December 31, 2025 was 85%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provide investors with certain non-GAAP financial measures, including non-GAAP operating income, non-GAAP operating margin, and non-GAAP net income per diluted share. For a full reconciliation of each non-GAAP financial measure to the most directly comparable financial measure stated in accordance with GAAP please see Appendix A to this proxy statement, and for information on how we calculate ARR, please see our Annual Report on Form 10-K filed with the SEC on February 18,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Advisory Vote on Named Executive Officer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last year’s annual meeting of stockholders, approximately 96% of the votes cast approved the “say-on-pay” proposal regarding the compensation awarded to our named executive officers. We take stockholders’ views seriously and view this result as an indication that the principles of our executive compensation program are supported by them. We have adopted a policy pursuant to which we plan to hold a say-on-pay vote on an annual basis. A “say-on-frequency” vote is required every six years, and as such, our next say-on-frequency vote will be in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endeavor to maintain sound governance standards consistent with our executive compensation practices. The compensation committee reviews our executive compensation program on an annual basis for consistency with our short-term and long-term goals given the dynamic nature of our business and the market in which we compete for executive talent. The following summarizes our executive compensation-related practices that were in effect during 2025:</w:t>
      </w:r>
    </w:p>
    <w:p>
      <w:pPr>
        <w:spacing w:after="0" w:line="200" w:lineRule="exact"/>
        <w:rPr>
          <w:sz w:val="20"/>
          <w:szCs w:val="20"/>
          <w:color w:val="auto"/>
        </w:rPr>
      </w:pPr>
    </w:p>
    <w:p>
      <w:pPr>
        <w:spacing w:after="0" w:line="257" w:lineRule="exact"/>
        <w:rPr>
          <w:sz w:val="20"/>
          <w:szCs w:val="20"/>
          <w:color w:val="auto"/>
        </w:rPr>
      </w:pPr>
    </w:p>
    <w:p>
      <w:pPr>
        <w:ind w:left="2420"/>
        <w:spacing w:after="0"/>
        <w:tabs>
          <w:tab w:leader="none" w:pos="788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p>
      <w:pPr>
        <w:spacing w:after="0" w:line="183" w:lineRule="exact"/>
        <w:rPr>
          <w:sz w:val="20"/>
          <w:szCs w:val="20"/>
          <w:color w:val="auto"/>
        </w:rPr>
      </w:pPr>
    </w:p>
    <w:p>
      <w:pPr>
        <w:ind w:left="360" w:hanging="172"/>
        <w:spacing w:after="0" w:line="282"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consists solely of independent members of our board of directors.</w:t>
      </w:r>
    </w:p>
    <w:p>
      <w:pPr>
        <w:spacing w:after="0" w:line="53" w:lineRule="exact"/>
        <w:rPr>
          <w:rFonts w:ascii="Times New Roman" w:cs="Times New Roman" w:eastAsia="Times New Roman" w:hAnsi="Times New Roman"/>
          <w:sz w:val="18"/>
          <w:szCs w:val="18"/>
          <w:color w:val="auto"/>
        </w:rPr>
      </w:pPr>
    </w:p>
    <w:p>
      <w:pPr>
        <w:jc w:val="both"/>
        <w:ind w:left="360" w:hanging="172"/>
        <w:spacing w:after="0" w:line="266"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has retained an independent third-party compensation consultant for guidance in making compensation decisions.</w:t>
      </w:r>
    </w:p>
    <w:p>
      <w:pPr>
        <w:spacing w:after="0" w:line="67" w:lineRule="exact"/>
        <w:rPr>
          <w:rFonts w:ascii="Times New Roman" w:cs="Times New Roman" w:eastAsia="Times New Roman" w:hAnsi="Times New Roman"/>
          <w:sz w:val="18"/>
          <w:szCs w:val="18"/>
          <w:color w:val="auto"/>
        </w:rPr>
      </w:pPr>
    </w:p>
    <w:p>
      <w:pPr>
        <w:jc w:val="both"/>
        <w:ind w:left="360" w:hanging="172"/>
        <w:spacing w:after="0" w:line="266"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we assess our executive compensation against a reasonable set of industry competitors generally of a similar size and market capitalization.</w:t>
      </w:r>
    </w:p>
    <w:p>
      <w:pPr>
        <w:spacing w:after="0" w:line="67" w:lineRule="exact"/>
        <w:rPr>
          <w:rFonts w:ascii="Times New Roman" w:cs="Times New Roman" w:eastAsia="Times New Roman" w:hAnsi="Times New Roman"/>
          <w:sz w:val="18"/>
          <w:szCs w:val="18"/>
          <w:color w:val="auto"/>
        </w:rPr>
      </w:pPr>
    </w:p>
    <w:p>
      <w:pPr>
        <w:jc w:val="both"/>
        <w:ind w:left="360" w:hanging="172"/>
        <w:spacing w:after="0" w:line="266"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an annual compensation risk assessment to determine if our executive compensation program presents any risks that are reasonably likely to have a material adverse effect on the company.</w:t>
      </w:r>
    </w:p>
    <w:p>
      <w:pPr>
        <w:spacing w:after="0" w:line="67" w:lineRule="exact"/>
        <w:rPr>
          <w:rFonts w:ascii="Times New Roman" w:cs="Times New Roman" w:eastAsia="Times New Roman" w:hAnsi="Times New Roman"/>
          <w:sz w:val="18"/>
          <w:szCs w:val="18"/>
          <w:color w:val="auto"/>
        </w:rPr>
      </w:pPr>
    </w:p>
    <w:p>
      <w:pPr>
        <w:ind w:left="360" w:hanging="172"/>
        <w:spacing w:after="0" w:line="282"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named executive officers’ compensation is variable, “at-risk” and tied directly to our measurable performance.</w:t>
      </w:r>
    </w:p>
    <w:p>
      <w:pPr>
        <w:spacing w:after="0" w:line="53" w:lineRule="exact"/>
        <w:rPr>
          <w:rFonts w:ascii="Times New Roman" w:cs="Times New Roman" w:eastAsia="Times New Roman" w:hAnsi="Times New Roman"/>
          <w:sz w:val="18"/>
          <w:szCs w:val="18"/>
          <w:color w:val="auto"/>
        </w:rPr>
      </w:pPr>
    </w:p>
    <w:p>
      <w:pPr>
        <w:jc w:val="both"/>
        <w:ind w:left="360" w:hanging="172"/>
        <w:spacing w:after="0" w:line="261"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performance-based bonus opportunities and a significant portion of our long-term equity incentive opportunities are dependent upon our achievement of annual corporate objectives established each year.</w:t>
      </w:r>
    </w:p>
    <w:p>
      <w:pPr>
        <w:spacing w:after="0" w:line="71" w:lineRule="exact"/>
        <w:rPr>
          <w:rFonts w:ascii="Times New Roman" w:cs="Times New Roman" w:eastAsia="Times New Roman" w:hAnsi="Times New Roman"/>
          <w:sz w:val="18"/>
          <w:szCs w:val="18"/>
          <w:color w:val="auto"/>
        </w:rPr>
      </w:pPr>
    </w:p>
    <w:p>
      <w:pPr>
        <w:jc w:val="both"/>
        <w:ind w:left="360" w:hanging="172"/>
        <w:spacing w:after="0" w:line="261"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performance-based bonus opportunities and performance-based long-term equity incentive opportunities are subject to payout caps in the event of significant over achievement of applicable annual performance targets.</w:t>
      </w:r>
    </w:p>
    <w:p>
      <w:pPr>
        <w:spacing w:after="0" w:line="71" w:lineRule="exact"/>
        <w:rPr>
          <w:rFonts w:ascii="Times New Roman" w:cs="Times New Roman" w:eastAsia="Times New Roman" w:hAnsi="Times New Roman"/>
          <w:sz w:val="18"/>
          <w:szCs w:val="18"/>
          <w:color w:val="auto"/>
        </w:rPr>
      </w:pPr>
    </w:p>
    <w:p>
      <w:pPr>
        <w:jc w:val="both"/>
        <w:ind w:left="360" w:hanging="172"/>
        <w:spacing w:after="0" w:line="266"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with multi-year vesting requirements are an integral part of our executive compensation program, and comprise the primary at-risk portion of our named executive officer compensation package.</w:t>
      </w:r>
    </w:p>
    <w:p>
      <w:pPr>
        <w:spacing w:after="0" w:line="67" w:lineRule="exact"/>
        <w:rPr>
          <w:rFonts w:ascii="Times New Roman" w:cs="Times New Roman" w:eastAsia="Times New Roman" w:hAnsi="Times New Roman"/>
          <w:sz w:val="18"/>
          <w:szCs w:val="18"/>
          <w:color w:val="auto"/>
        </w:rPr>
      </w:pPr>
    </w:p>
    <w:p>
      <w:pPr>
        <w:jc w:val="both"/>
        <w:ind w:left="360" w:hanging="172"/>
        <w:spacing w:after="0" w:line="258" w:lineRule="auto"/>
        <w:tabs>
          <w:tab w:leader="none" w:pos="3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required to prepare an accounting restatement due to the material noncompliance with any financial reporting requirement under the securities laws, we must recoup incentive compensation received by our named executive officers under our clawback policy, which complies with the rules and standards adopted by the SEC and Nasdaq.</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64" w:right="20" w:hanging="164"/>
        <w:spacing w:after="0" w:line="282" w:lineRule="auto"/>
        <w:tabs>
          <w:tab w:leader="none" w:pos="1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guaranteed annual bonuses or equity award rights for our executive officers.</w:t>
      </w:r>
    </w:p>
    <w:p>
      <w:pPr>
        <w:spacing w:after="0" w:line="53"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hedging and pledging of Datadog stock.</w:t>
      </w:r>
    </w:p>
    <w:p>
      <w:pPr>
        <w:spacing w:after="0" w:line="117"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excessive severance payments.</w:t>
      </w:r>
    </w:p>
    <w:p>
      <w:pPr>
        <w:spacing w:after="0" w:line="117" w:lineRule="exact"/>
        <w:rPr>
          <w:rFonts w:ascii="Times New Roman" w:cs="Times New Roman" w:eastAsia="Times New Roman" w:hAnsi="Times New Roman"/>
          <w:sz w:val="18"/>
          <w:szCs w:val="18"/>
          <w:color w:val="auto"/>
        </w:rPr>
      </w:pPr>
    </w:p>
    <w:p>
      <w:pPr>
        <w:ind w:left="164" w:right="20" w:hanging="164"/>
        <w:spacing w:after="0" w:line="282" w:lineRule="auto"/>
        <w:tabs>
          <w:tab w:leader="none" w:pos="1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single-trigger vesting acceleration of outstanding equity awards upon a change in control of the company.</w:t>
      </w:r>
    </w:p>
    <w:p>
      <w:pPr>
        <w:spacing w:after="0" w:line="53"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our executive officers with any excise tax gross-ups.</w:t>
      </w:r>
    </w:p>
    <w:p>
      <w:pPr>
        <w:spacing w:after="0" w:line="5425" w:lineRule="exact"/>
        <w:rPr>
          <w:sz w:val="20"/>
          <w:szCs w:val="20"/>
          <w:color w:val="auto"/>
        </w:rPr>
      </w:pPr>
    </w:p>
    <w:p>
      <w:pPr>
        <w:sectPr>
          <w:pgSz w:w="11900" w:h="16838" w:orient="portrait"/>
          <w:cols w:equalWidth="0" w:num="2">
            <w:col w:w="5560" w:space="136"/>
            <w:col w:w="5544"/>
          </w:cols>
          <w:pgMar w:left="320" w:top="441" w:right="3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Philosophy and Elements of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aims to achieve the following main objectives:</w:t>
      </w:r>
    </w:p>
    <w:p>
      <w:pPr>
        <w:spacing w:after="0" w:line="117"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reward highly-qualified executives who have the skills and leadership necessary to grow our business;</w:t>
      </w:r>
    </w:p>
    <w:p>
      <w:pPr>
        <w:spacing w:after="0" w:line="128" w:lineRule="exact"/>
        <w:rPr>
          <w:rFonts w:ascii="Times New Roman" w:cs="Times New Roman" w:eastAsia="Times New Roman" w:hAnsi="Times New Roman"/>
          <w:sz w:val="17"/>
          <w:szCs w:val="17"/>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motivate and reward our executives for achievement of our key performance goals;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right="20" w:hanging="330"/>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stockholders by linking their long-term incentive compensation opportunities to our annual performance and stockholder value creation and their cash incentives to our annual performance.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generally consists of the following three principal elements: base salary, a performance-based cash bonus opportunity and long-term equity incentive compensation opportunities. We also provide our executive officers with benefits available to all our employees, including retirement benefits under Datadog’s 401(k) plan and participation in employee health and welfare benefit plans. The following chart summarizes the three main elements of our executive compensation program, their objectives and key features.</w:t>
      </w:r>
    </w:p>
    <w:p>
      <w:pPr>
        <w:sectPr>
          <w:pgSz w:w="11900" w:h="16838" w:orient="portrait"/>
          <w:cols w:equalWidth="0" w:num="1">
            <w:col w:w="11240"/>
          </w:cols>
          <w:pgMar w:left="320" w:top="441"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431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Base Salary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cash)</w:t>
      </w:r>
    </w:p>
    <w:p>
      <w:pPr>
        <w:spacing w:after="0" w:line="200" w:lineRule="exact"/>
        <w:rPr>
          <w:sz w:val="20"/>
          <w:szCs w:val="20"/>
          <w:color w:val="auto"/>
        </w:rPr>
      </w:pPr>
    </w:p>
    <w:p>
      <w:pPr>
        <w:spacing w:after="0" w:line="282"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Performance-Based Cash Bonus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(at-risk cash)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465"/>
        <w:spacing w:after="0"/>
        <w:rPr>
          <w:sz w:val="20"/>
          <w:szCs w:val="20"/>
          <w:color w:val="auto"/>
        </w:rPr>
      </w:pPr>
      <w:r>
        <w:rPr>
          <w:rFonts w:ascii="Times New Roman" w:cs="Times New Roman" w:eastAsia="Times New Roman" w:hAnsi="Times New Roman"/>
          <w:sz w:val="14"/>
          <w:szCs w:val="14"/>
          <w:b w:val="1"/>
          <w:bCs w:val="1"/>
          <w:color w:val="auto"/>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2297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5" w:lineRule="exact"/>
        <w:rPr>
          <w:sz w:val="20"/>
          <w:szCs w:val="20"/>
          <w:color w:val="auto"/>
        </w:rPr>
      </w:pPr>
    </w:p>
    <w:p>
      <w:pPr>
        <w:ind w:left="325" w:right="120" w:hanging="325"/>
        <w:spacing w:after="0" w:line="282"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stable income for performing job responsibilities.</w:t>
      </w:r>
    </w:p>
    <w:p>
      <w:pPr>
        <w:spacing w:after="0" w:line="53"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Attracts highly-qualified executives.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325" w:right="160" w:hanging="325"/>
        <w:spacing w:after="0" w:line="282"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Motivates and rewards for contributing to our key business objectives.</w:t>
      </w:r>
    </w:p>
    <w:p>
      <w:pPr>
        <w:spacing w:after="0" w:line="53" w:lineRule="exact"/>
        <w:rPr>
          <w:rFonts w:ascii="Times New Roman" w:cs="Times New Roman" w:eastAsia="Times New Roman" w:hAnsi="Times New Roman"/>
          <w:sz w:val="18"/>
          <w:szCs w:val="18"/>
          <w:color w:val="auto"/>
        </w:rPr>
      </w:pPr>
    </w:p>
    <w:p>
      <w:pPr>
        <w:ind w:left="325" w:hanging="325"/>
        <w:spacing w:after="0" w:line="258"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achievement of top-line and bottom-line performance metrics, specifically, net new ARR and non-GAAP operating income, to provide incentives that drive efficient, long-term growth.</w:t>
      </w:r>
    </w:p>
    <w:p>
      <w:pPr>
        <w:spacing w:after="0" w:line="75" w:lineRule="exact"/>
        <w:rPr>
          <w:rFonts w:ascii="Times New Roman" w:cs="Times New Roman" w:eastAsia="Times New Roman" w:hAnsi="Times New Roman"/>
          <w:sz w:val="18"/>
          <w:szCs w:val="18"/>
          <w:color w:val="auto"/>
        </w:rPr>
      </w:pPr>
    </w:p>
    <w:p>
      <w:pPr>
        <w:ind w:left="325" w:right="300" w:hanging="325"/>
        <w:spacing w:after="0" w:line="312"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Aligns management and stockholder interests by linking pay to performance.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3282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5" w:lineRule="exact"/>
        <w:rPr>
          <w:sz w:val="20"/>
          <w:szCs w:val="20"/>
          <w:color w:val="auto"/>
        </w:rPr>
      </w:pPr>
    </w:p>
    <w:p>
      <w:pPr>
        <w:ind w:left="333" w:right="140" w:hanging="333"/>
        <w:spacing w:after="0" w:line="258"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annually and determined by the compensation committee based on a number of factors (including company and individual performance) and by reference, in part, to competitive market analysis performed by our compensation committee’s independent compensation consultant.</w:t>
      </w:r>
    </w:p>
    <w:p>
      <w:pPr>
        <w:spacing w:after="0" w:line="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 opportunities are reviewed annually.</w:t>
      </w:r>
    </w:p>
    <w:p>
      <w:pPr>
        <w:spacing w:after="0" w:line="117" w:lineRule="exact"/>
        <w:rPr>
          <w:rFonts w:ascii="Times New Roman" w:cs="Times New Roman" w:eastAsia="Times New Roman" w:hAnsi="Times New Roman"/>
          <w:sz w:val="18"/>
          <w:szCs w:val="18"/>
          <w:color w:val="auto"/>
        </w:rPr>
      </w:pPr>
    </w:p>
    <w:p>
      <w:pPr>
        <w:ind w:left="333" w:right="80" w:hanging="333"/>
        <w:spacing w:after="0" w:line="25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awards are determined by the compensation committee based upon a number of factors (including company and individual performance and positions that have a similar impact on the organization) and by reference, in part, to a competitive market analysis performed by our compensation committee’s independent compensation consultant.</w:t>
      </w:r>
    </w:p>
    <w:p>
      <w:pPr>
        <w:spacing w:after="0" w:line="79" w:lineRule="exact"/>
        <w:rPr>
          <w:rFonts w:ascii="Times New Roman" w:cs="Times New Roman" w:eastAsia="Times New Roman" w:hAnsi="Times New Roman"/>
          <w:sz w:val="18"/>
          <w:szCs w:val="18"/>
          <w:color w:val="auto"/>
        </w:rPr>
      </w:pPr>
    </w:p>
    <w:p>
      <w:pPr>
        <w:ind w:left="333" w:right="260" w:hanging="333"/>
        <w:spacing w:after="0" w:line="261"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payouts are dependent upon achievement of specific corporate performance objectives consistent with our long-term strategic plan, generally determined by the compensation committee and communicated at the beginning of the year.</w:t>
      </w:r>
    </w:p>
    <w:p>
      <w:pPr>
        <w:spacing w:after="0" w:line="71" w:lineRule="exact"/>
        <w:rPr>
          <w:rFonts w:ascii="Times New Roman" w:cs="Times New Roman" w:eastAsia="Times New Roman" w:hAnsi="Times New Roman"/>
          <w:sz w:val="18"/>
          <w:szCs w:val="18"/>
          <w:color w:val="auto"/>
        </w:rPr>
      </w:pPr>
    </w:p>
    <w:p>
      <w:pPr>
        <w:ind w:left="333" w:right="40" w:hanging="333"/>
        <w:spacing w:after="0" w:line="254"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payouts for our named executive officers apart from our Chief Revenue Officer are subject to a cap of 200% of the annual target bonus opportunity that may only be achieved in the event of significant out-performance relative to our target performance goals each year. We believe this cap manages potential incentive compensation costs and avoids incentivizing undue risk in our executive compensation program, while still maintaining appropriate incentives for our named executive officers.</w:t>
      </w:r>
    </w:p>
    <w:p>
      <w:pPr>
        <w:spacing w:after="0" w:line="200" w:lineRule="exact"/>
        <w:rPr>
          <w:sz w:val="20"/>
          <w:szCs w:val="20"/>
          <w:color w:val="auto"/>
        </w:rPr>
      </w:pPr>
    </w:p>
    <w:p>
      <w:pPr>
        <w:sectPr>
          <w:pgSz w:w="11900" w:h="16838" w:orient="portrait"/>
          <w:cols w:equalWidth="0" w:num="3">
            <w:col w:w="1840" w:space="535"/>
            <w:col w:w="3485" w:space="227"/>
            <w:col w:w="5153"/>
          </w:cols>
          <w:pgMar w:left="320" w:top="441"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 w:leader="none" w:pos="8220" w:val="left"/>
        </w:tabs>
        <w:rPr>
          <w:sz w:val="20"/>
          <w:szCs w:val="20"/>
          <w:color w:val="auto"/>
        </w:rPr>
      </w:pPr>
      <w:r>
        <w:rPr>
          <w:rFonts w:ascii="Times New Roman" w:cs="Times New Roman" w:eastAsia="Times New Roman" w:hAnsi="Times New Roman"/>
          <w:sz w:val="14"/>
          <w:szCs w:val="14"/>
          <w:b w:val="1"/>
          <w:bCs w:val="1"/>
          <w:color w:val="auto"/>
        </w:rPr>
        <w:t>Element</w:t>
      </w:r>
      <w:r>
        <w:rPr>
          <w:sz w:val="20"/>
          <w:szCs w:val="20"/>
          <w:color w:val="auto"/>
        </w:rPr>
        <w:tab/>
      </w:r>
      <w:r>
        <w:rPr>
          <w:rFonts w:ascii="Times New Roman" w:cs="Times New Roman" w:eastAsia="Times New Roman" w:hAnsi="Times New Roman"/>
          <w:sz w:val="14"/>
          <w:szCs w:val="14"/>
          <w:b w:val="1"/>
          <w:bCs w:val="1"/>
          <w:color w:val="auto"/>
        </w:rPr>
        <w:t>Objectives</w:t>
      </w:r>
      <w:r>
        <w:rPr>
          <w:sz w:val="20"/>
          <w:szCs w:val="20"/>
          <w:color w:val="auto"/>
        </w:rPr>
        <w:tab/>
      </w:r>
      <w:r>
        <w:rPr>
          <w:rFonts w:ascii="Times New Roman" w:cs="Times New Roman" w:eastAsia="Times New Roman" w:hAnsi="Times New Roman"/>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Long-Term Equity Incentive</w:t>
            </w: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Motivates and rewards for long-term</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company performance as well as key</w:t>
            </w:r>
          </w:p>
        </w:tc>
        <w:tc>
          <w:tcPr>
            <w:tcW w:w="0" w:type="dxa"/>
            <w:vAlign w:val="bottom"/>
          </w:tcPr>
          <w:p>
            <w:pPr>
              <w:spacing w:after="0"/>
              <w:rPr>
                <w:sz w:val="1"/>
                <w:szCs w:val="1"/>
                <w:color w:val="auto"/>
              </w:rPr>
            </w:pPr>
          </w:p>
        </w:tc>
      </w:tr>
      <w:tr>
        <w:trPr>
          <w:trHeight w:val="234"/>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(at-risk equity)</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business and retention objectives.</w:t>
            </w:r>
          </w:p>
        </w:tc>
        <w:tc>
          <w:tcPr>
            <w:tcW w:w="0" w:type="dxa"/>
            <w:vAlign w:val="bottom"/>
          </w:tcPr>
          <w:p>
            <w:pPr>
              <w:spacing w:after="0"/>
              <w:rPr>
                <w:sz w:val="1"/>
                <w:szCs w:val="1"/>
                <w:color w:val="auto"/>
              </w:rPr>
            </w:pPr>
          </w:p>
        </w:tc>
      </w:tr>
      <w:tr>
        <w:trPr>
          <w:trHeight w:val="68"/>
        </w:trPr>
        <w:tc>
          <w:tcPr>
            <w:tcW w:w="220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Aligns management and stockholder</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interests by linking pay to performance.</w:t>
            </w:r>
          </w:p>
        </w:tc>
        <w:tc>
          <w:tcPr>
            <w:tcW w:w="0" w:type="dxa"/>
            <w:vAlign w:val="bottom"/>
          </w:tcPr>
          <w:p>
            <w:pPr>
              <w:spacing w:after="0"/>
              <w:rPr>
                <w:sz w:val="1"/>
                <w:szCs w:val="1"/>
                <w:color w:val="auto"/>
              </w:rPr>
            </w:pPr>
          </w:p>
        </w:tc>
      </w:tr>
      <w:tr>
        <w:trPr>
          <w:trHeight w:val="306"/>
        </w:trPr>
        <w:tc>
          <w:tcPr>
            <w:tcW w:w="2200" w:type="dxa"/>
            <w:vAlign w:val="bottom"/>
          </w:tcPr>
          <w:p>
            <w:pPr>
              <w:spacing w:after="0"/>
              <w:rPr>
                <w:sz w:val="24"/>
                <w:szCs w:val="24"/>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Attracts highly-qualified executives and</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encourages their continued employment over</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long-term.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333" w:right="240" w:hanging="333"/>
        <w:spacing w:after="0" w:line="312" w:lineRule="auto"/>
        <w:tabs>
          <w:tab w:leader="none" w:pos="32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equity incentive opportunities are reviewed annually and are generally granted during the first half of the year.</w:t>
      </w:r>
    </w:p>
    <w:p>
      <w:pPr>
        <w:spacing w:after="0" w:line="31" w:lineRule="exact"/>
        <w:rPr>
          <w:rFonts w:ascii="Times New Roman" w:cs="Times New Roman" w:eastAsia="Times New Roman" w:hAnsi="Times New Roman"/>
          <w:sz w:val="17"/>
          <w:szCs w:val="17"/>
          <w:color w:val="auto"/>
        </w:rPr>
      </w:pPr>
    </w:p>
    <w:p>
      <w:pPr>
        <w:ind w:left="333" w:right="80" w:hanging="333"/>
        <w:spacing w:after="0" w:line="258"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awards are determined by the compensation committee based on a number of factors (including company and individual performance) and by reference, in part, to a competitive market analysis prepared by our compensation committee’s independent compensation consultant.</w:t>
      </w:r>
    </w:p>
    <w:p>
      <w:pPr>
        <w:spacing w:after="0" w:line="75" w:lineRule="exact"/>
        <w:rPr>
          <w:rFonts w:ascii="Times New Roman" w:cs="Times New Roman" w:eastAsia="Times New Roman" w:hAnsi="Times New Roman"/>
          <w:sz w:val="18"/>
          <w:szCs w:val="18"/>
          <w:color w:val="auto"/>
        </w:rPr>
      </w:pPr>
    </w:p>
    <w:p>
      <w:pPr>
        <w:ind w:left="333" w:right="120" w:hanging="333"/>
        <w:spacing w:after="0" w:line="254"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long-term equity incentive compensation for our named executive officers is granted in the form of performance-based restricted stock units (“PSUs”). These awards may be earned contingent upon achievement of specific pre-established corporate performance objectives. We believe this further aligns the interests of our named executive officers with our stockholders in driving long-term company performance and growth in value.</w:t>
      </w:r>
    </w:p>
    <w:p>
      <w:pPr>
        <w:spacing w:after="0" w:line="83" w:lineRule="exact"/>
        <w:rPr>
          <w:rFonts w:ascii="Times New Roman" w:cs="Times New Roman" w:eastAsia="Times New Roman" w:hAnsi="Times New Roman"/>
          <w:sz w:val="18"/>
          <w:szCs w:val="18"/>
          <w:color w:val="auto"/>
        </w:rPr>
      </w:pPr>
    </w:p>
    <w:p>
      <w:pPr>
        <w:ind w:left="333" w:right="100" w:hanging="333"/>
        <w:spacing w:after="0" w:line="25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PSUs that may be earned is subject to a cap of 200% of the target number of PSUs. We believe this cap manages potential incentive compensation costs and avoids incentivizing undue risk in our executive compensation program, while still maintaining appropriate incentives for our named executive officers</w:t>
      </w:r>
    </w:p>
    <w:p>
      <w:pPr>
        <w:spacing w:after="0" w:line="200" w:lineRule="exact"/>
        <w:rPr>
          <w:sz w:val="20"/>
          <w:szCs w:val="20"/>
          <w:color w:val="auto"/>
        </w:rPr>
      </w:pPr>
    </w:p>
    <w:p>
      <w:pPr>
        <w:sectPr>
          <w:pgSz w:w="11900" w:h="16838" w:orient="portrait"/>
          <w:cols w:equalWidth="0" w:num="2">
            <w:col w:w="5940" w:space="147"/>
            <w:col w:w="5153"/>
          </w:cols>
          <w:pgMar w:left="320" w:top="441" w:right="339" w:bottom="1440" w:gutter="0" w:footer="0" w:header="0"/>
          <w:type w:val="continuous"/>
        </w:sectPr>
      </w:pP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focus on providing a competitive compensation package to our named executive officers that provides significant short and long-term incentives for the achievement of pre-established measurable corporate objectives. We believe that this approach provides an appropriate blend of short-term and long-term incentives to maximize stockholder value.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any formal policies for allocating compensation among salary, performance bonus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historically we have structured a significant portion of the named executive officers’ total target compensation opportunities to be variable, “at-risk” and tied directly to our measurable performance. We believe such compensation, comprised of short-term performance-based cash bonus opportunities and long-term equity awards, aligns the incentives of the named executive officers with the interests of our stockholders and the achievement of our corporate goals.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Management and the Board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is appointed by our board of directors and helps our board oversee our compensation policies, plans and programs with the goal of attracting, incentivizing, retaining and rewarding top-quality executive management and employees. The compensation committee is responsible for reviewing and determining all compensation paid to our executive officers, including our named executive officers, and also reviews our compensation practices and policies as they relate to risk management and risk-taking incentives. Our compensation committee consists solely of independent members of the board.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meets periodically throughout the year to manage and evaluate our executive compensation program, and generally determines the principal elements of compensation (base salary, a performance-based cash bonus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opportunity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 The Company does not currently grant stock options, stock appreciation rights or similar instruments with option-like features, and the compensation committee does not maintain a formal policy regarding the timing of the grant of equity awards to our executive officers.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fulfilling its responsibilities, the compensation committee considers input from an independent compensation consultant and, as appropriate, management. The Chief Executive Officer evaluates and provides to the compensation committee performance assessments and compensation recommendations. While the Chief Executive Officer discusses his recommendations with the compensation committee, he does not participate in the deliberations concerning, or the determination of, his own performance and compensation. The compensation committee discusses and makes final determinations with respect to executive compensation matters without the Chief Executive Officer present during discussions of his own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retained Compensia as its independent compensation consultant for 2025. Compensia’s engagement included:</w:t>
      </w:r>
    </w:p>
    <w:p>
      <w:pPr>
        <w:spacing w:after="0" w:line="176" w:lineRule="exact"/>
        <w:rPr>
          <w:sz w:val="20"/>
          <w:szCs w:val="20"/>
          <w:color w:val="auto"/>
        </w:rPr>
      </w:pPr>
    </w:p>
    <w:p>
      <w:pPr>
        <w:ind w:left="500" w:hanging="330"/>
        <w:spacing w:after="0" w:line="282" w:lineRule="auto"/>
        <w:tabs>
          <w:tab w:leader="none" w:pos="4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compiling a group of peer companies to use as a reference in evaluating current executive pay practices and considering different compensation programs to aid in making executive compensation decisions for 2025;</w:t>
      </w:r>
    </w:p>
    <w:p>
      <w:pPr>
        <w:spacing w:after="0" w:line="53"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market research and analysis to assist the compensation committee in developing executive compensation levels, including appropriate salaries and the size and structures of target cash bonus opportunities and equity awards for our executive officers, including the named executive officers;</w:t>
      </w:r>
    </w:p>
    <w:p>
      <w:pPr>
        <w:spacing w:after="0" w:line="6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advising on compensation trends and regulatory developments;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market and peer group equity usage metrics to assist with understanding of Datadog’s equity budget relative to the competitive market;</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annual compensation risk assessment;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conducting a review of our non-employee director compensation policies and practices.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evaluated whether the work of Compensia as compensation consultant raises any conflict of interest, taking into account relevant factors in accordance with applicable SEC rules and Nasdaq listing standards. Based on its analysis, the compensation committee determined that the work of Compensia and the individual compensation advisors employed by Compensia did not create any conflict of interest pursuant to the SEC rules and Nasdaq listing standards.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Competitive Market Compensation Data</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its compensation decisions to be informed as to the current practices of the competitive market using an analysis of the compensation practices of comparable public companies with which we compete for top talent. To this end, the compensation committee directed its independent compensation consultant to review and update the list of the publicly-traded companies to be used as a peer group in connection with assessing our compensation practices relative to the competitive market.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independent compensation consultant proposed, and the compensation committee approved, an updated group of public companies that were reasonably comparable to Datadog in terms of industry and financial characteristics to provide management and the compensation committee with an analysis of relevant compensation information to support compensation decision-making. The compensation peer group was intended to reflect companies with executive positions of similar scope and complexity to Datadog. In determining the peer group, the independent compensation consultant considered whether a company was (i) U.S.-headquartered; (ii) a software / services company focused on SaaS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enterprise; (iii) generally within a range of 0.5x to 2.5x Datadog’s trailing four fiscal quarters’ revenue; and (iv) generally within a range of 0.3x to 3.0x Datadog’s market capitalization.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independent compensation consultant also considered several secondary factors, including the companies that include Datadog in their peer groups and the Datadog peer groups used by key institutional investor advisors and whether a potential peer company had strong revenue growth, completed an initial public offering around the time of our initial public offering, competes with us for executive talent, and had a comparable headcount. The compensation peer group with respect to 2025 was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Atlassian</w:t>
            </w:r>
          </w:p>
        </w:tc>
        <w:tc>
          <w:tcPr>
            <w:tcW w:w="3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HubSpot</w:t>
            </w:r>
          </w:p>
        </w:tc>
        <w:tc>
          <w:tcPr>
            <w:tcW w:w="3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The Trade Desk</w:t>
            </w: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Cloudflare</w:t>
            </w:r>
          </w:p>
        </w:tc>
        <w:tc>
          <w:tcPr>
            <w:tcW w:w="3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MongoDB</w:t>
            </w:r>
          </w:p>
        </w:tc>
        <w:tc>
          <w:tcPr>
            <w:tcW w:w="3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Veeva Systems</w:t>
            </w: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CrowdStrike Holdings</w:t>
            </w:r>
          </w:p>
        </w:tc>
        <w:tc>
          <w:tcPr>
            <w:tcW w:w="3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Okta</w:t>
            </w:r>
          </w:p>
        </w:tc>
        <w:tc>
          <w:tcPr>
            <w:tcW w:w="3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Workday</w:t>
            </w: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DocuSign</w:t>
            </w:r>
          </w:p>
        </w:tc>
        <w:tc>
          <w:tcPr>
            <w:tcW w:w="3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Palantir Technologies</w:t>
            </w:r>
          </w:p>
        </w:tc>
        <w:tc>
          <w:tcPr>
            <w:tcW w:w="3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8"/>
              </w:rPr>
              <w:t>Zoom Video Communications</w:t>
            </w: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Dynatrace</w:t>
            </w:r>
          </w:p>
        </w:tc>
        <w:tc>
          <w:tcPr>
            <w:tcW w:w="3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Palo Alto Networks</w:t>
            </w:r>
          </w:p>
        </w:tc>
        <w:tc>
          <w:tcPr>
            <w:tcW w:w="3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Zscaler</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Fortinet</w:t>
            </w:r>
          </w:p>
        </w:tc>
        <w:tc>
          <w:tcPr>
            <w:tcW w:w="3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Snowflake</w:t>
            </w:r>
          </w:p>
        </w:tc>
        <w:tc>
          <w:tcPr>
            <w:tcW w:w="3280" w:type="dxa"/>
            <w:vAlign w:val="bottom"/>
          </w:tcPr>
          <w:p>
            <w:pPr>
              <w:spacing w:after="0"/>
              <w:rPr>
                <w:sz w:val="20"/>
                <w:szCs w:val="20"/>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if warranted, taking into account changes in both our business and the businesses of the companies in the peer group. For purposes of selecting the 2025 compensation peer group, Splunk was removed because it was acquired and Twilio and Unity Software were removed because they were significantly below the market capitalization range in the selection criteria above and less aligned than other peers on a combination of secondary factors. Palo Alto Networks and Workday were added to the peer group based on a review of comparability across the range of selection criteria referenced above.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data compiled from the peer companies, the independent compensation consultant completed an assessment and analysis of our executive compensation to inform the compensation committee’s determinations regarding executive compensation for 2025. The independent compensation consultant prepared, and the compensation committee reviewed, a range of competitive market data reference points with respect to base salary, performance bonuses, total target cash compensation (base salary and the annual target performance bonus), equity compensation grant value, and target total direct compensation (total target cash compensation and equity compensation grant value) with respect to each of our executive officers, including each of the named executive officers. The compensation committee did not target pay to fall at any particular percentile of the competitive market data, but rather reviewed these market data reference points as a helpful reference point in making 2025 compensation decisions. Competitive market data is only one of the factors that the compensation committee considers in making compensation decisions. The compensation committee considers other factors as described below under “Factors Used in Determining Executive Compensation” below.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Used in Determining Executive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sets the compensation of our executive officers, including our named executive officers at levels determined to be competitive and appropriate for each named executive officer, using their professional experience and judgment. Pay decisions are not made by use of a formulaic approach or using compensation benchmarks; the compensation committee believes that executive pay decisions require consideration of a multitude of relevant factors which may vary from year to year. In making executive compensation decisions, the compensation committee generally takes into consideration the factors listed below.</w:t>
      </w:r>
    </w:p>
    <w:p>
      <w:pPr>
        <w:spacing w:after="0" w:line="75" w:lineRule="exact"/>
        <w:rPr>
          <w:sz w:val="20"/>
          <w:szCs w:val="20"/>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individual performance</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business needs and criticality for future business needs and performance</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job function and skill set</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pay among our executive officers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attract new talent and retain existing talent in a highly competitive industry</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existing equity holdings, including the potential value of unvested equity awards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 of competitive market data reference points, as described above under “Use of Competitive Market Compensation Data”</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from our Chief Executive Officer (other than for his own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Elements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executive officers, including our named executive officers, and is an important element of compensation intended to attract and retain highly-talented individuals. In February 2025, the compensation committee reviewed the base salaries of our executive officers, taking into consideration the competitive market analysis prepared by its compensation consultant and the recommendations of our Chief Executive Officer, as well as the other factors described in “Factors Used in Determining Executive Compensation” above. Following this review, the compensation committee approved base salary increases for our executive officers, effective March 1, 2025, to bring their base salaries to a level more aligned to the range of those of similarly-situated executives at the companies in our compensation peer group. The annual base salaries approved for our named executive officers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23"/>
        </w:trPr>
        <w:tc>
          <w:tcPr>
            <w:tcW w:w="4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80" w:type="dxa"/>
            <w:vAlign w:val="bottom"/>
            <w:shd w:val="clear" w:color="auto" w:fill="CCEEFF"/>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$450,000, increased from $425,000</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$450,000, increased from $425,000</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$450,000, increased from $425,000</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$450,000, increased from $425,000</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$475,000, increased from $450,000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annual performance-based cash bonus awards provide incentive compensation that is specifically designed to motivate our executive officers, including our named executive officers, to achieve pre-established, company-wide priorities set by the compensation committee and to reward them for results and achievements in a given year. The annual target bonus opportunities for our executive officers are determined by the compensation committee and expressed as a percentage of each individual’s annual base salary, as adjusted by the compensation committee pursuant to its review described above. Following a review of the competitive market analysis prepared by its compensation consultant and the recommendations of our Chief Executive Officer (except with respect to his own annual target bonus opportunity), as well as the factors described in “Factors Used in Determining Executive Compensation” above, the compensation committee maintained the target bonus opportunity as a percentage of annual base salary consistent with the prior year for each of our named executive officers . Bonus payouts were capped at 200% of the 2025 annual target bonus opportunities for all named executive officers, apart from our Chief Revenue Officer. We believe the cap manages potential incentive compensation costs and avoids incentivizing undue risk in our executive compensation program, while still maintaining appropriate and rigorous incentives for our named executive officers. The annual target bonus opportunities approved for our named executive officers for 2025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48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 a % of Base Salary</w:t>
            </w:r>
          </w:p>
        </w:tc>
        <w:tc>
          <w:tcPr>
            <w:tcW w:w="620" w:type="dxa"/>
            <w:vAlign w:val="bottom"/>
          </w:tcPr>
          <w:p>
            <w:pPr>
              <w:spacing w:after="0"/>
              <w:rPr>
                <w:sz w:val="16"/>
                <w:szCs w:val="16"/>
                <w:color w:val="auto"/>
              </w:rPr>
            </w:pPr>
          </w:p>
        </w:tc>
        <w:tc>
          <w:tcPr>
            <w:tcW w:w="3320" w:type="dxa"/>
            <w:vAlign w:val="bottom"/>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Target Bonus Opportunity</w:t>
            </w:r>
          </w:p>
        </w:tc>
      </w:tr>
      <w:tr>
        <w:trPr>
          <w:trHeight w:val="23"/>
        </w:trPr>
        <w:tc>
          <w:tcPr>
            <w:tcW w:w="3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8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Cash Bonus Award Goal Setting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approved the performance metrics for 2025 performance-based cash bonus awards in February 2025. The targets against which performance was measured were generated through our annual budget and strategic planning process, which was reviewed with our board of directors and finalized in the first quarter of 2025. The compensation committee determined that the performance metric for our named executive officers for 2025, apart from our Chief Revenue Officer, would be based on the attainment of pre-established levels of net new ARR, with certain decelerators applied if our non-GAAP operating income fell below a target level. Net new ARR was calculated as the difference between the annual run-rate revenue, or ARR, as of December 31, 2025 and ARR as of December 31, 2024.</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target for net new ARR for these named executive officers was 100% of our 2025 operating plan. These named executive officers would only earn a bonus payout if our net new ARR attainment was at least 50% of the net new</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 performance target. When the net new ARR attainment exceeded the performance target (which would, in the compensation committee’s view, require extraordinary efforts), accelerators were triggered in order to reward higher than targeted performance. Such bonus payout amount was subject to a cap of 200% of the 2025 annual target bonus opportunities for these named executive officers.</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our Chief Revenue Officer’s responsibilities are focused on sales, the compensation committee determined that it would be more appropriate for him to participate in a cash bonus plan aligned with the cash bonus plans applicable to the global sales team. The performance metric and related target level for our Chief Revenue Officer was based on attainment of net new ARR generated by the sales channels over which he has oversight responsibility. The performance goal for our Chief Revenue Officer was generated through our internal sales target process for the fiscal year, and was established at 100% of such target for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intended the performance goals for our named executive officers to be challenging to attain based on its analysis of external market factors and internal forecasts. Actual bonuses earned for 2025 are included in the “Non-Equity Incentive Plan Compensation” column of the “2025 Summary Compensation Table” and are further discussed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Bonus Payouts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the compensation committee determined the achievement level of the net new ARR target for 2025 was approximately 139% and the non-GAAP operating income target level had been achieved, resulting in a bonus payout of approximately 183% of the named executive officers’ annual target bonus opportunities.</w:t>
      </w:r>
    </w:p>
    <w:p>
      <w:pPr>
        <w:spacing w:after="0" w:line="18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For our Chief Revenue Officer, the compensation committee approved the attainment of his performance goal semi-annually. In July 2025, the compensation committee approved payments for the first half of fiscal 2025 based on the percentage attainment at mid-year against the annual performance target, resulting in a bonus payment equal to approximately 24% of Mr. Walter’s annual target bonus opportunity, which was paid in August 2025. In February 2026, the percentage attainment of the corporate performance goals for fiscal year 2025 was determined to be 81% of Mr. Walter’s annual target bonus opportunity. Only the portion that was earned in excess of the amount determined and paid in August 2025 was paid in February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bonus payouts for our named executive officers for 2025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Annual Target Bonus Opportunity</w:t>
            </w:r>
          </w:p>
        </w:tc>
        <w:tc>
          <w:tcPr>
            <w:tcW w:w="320" w:type="dxa"/>
            <w:vAlign w:val="bottom"/>
          </w:tcPr>
          <w:p>
            <w:pPr>
              <w:spacing w:after="0"/>
              <w:rPr>
                <w:sz w:val="13"/>
                <w:szCs w:val="13"/>
                <w:color w:val="auto"/>
              </w:rPr>
            </w:pPr>
          </w:p>
        </w:tc>
        <w:tc>
          <w:tcPr>
            <w:tcW w:w="2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Actual Bonus Earned</w:t>
            </w:r>
          </w:p>
        </w:tc>
        <w:tc>
          <w:tcPr>
            <w:tcW w:w="2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Actual Bonus Earned</w:t>
            </w:r>
          </w:p>
        </w:tc>
        <w:tc>
          <w:tcPr>
            <w:tcW w:w="0" w:type="dxa"/>
            <w:vAlign w:val="bottom"/>
          </w:tcPr>
          <w:p>
            <w:pPr>
              <w:spacing w:after="0"/>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23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25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0" w:type="dxa"/>
            <w:vAlign w:val="bottom"/>
          </w:tcPr>
          <w:p>
            <w:pPr>
              <w:spacing w:after="0"/>
              <w:rPr>
                <w:sz w:val="1"/>
                <w:szCs w:val="1"/>
                <w:color w:val="auto"/>
              </w:rPr>
            </w:pPr>
          </w:p>
        </w:tc>
      </w:tr>
      <w:tr>
        <w:trPr>
          <w:trHeight w:val="229"/>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777,251</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777,251</w:t>
            </w: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777,251</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777,251</w:t>
            </w: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383,468</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bonus payout earned and received by each named executive officer was determined in strict accordance with the terms of the applicable annual bonus program based on actual performance, with no exercise of upward discretion by the compensation committee and no supplemental bonus paid to any named executive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long-term incentive compensation in the form of equity awards as a critical element of our executive compensation program. The realized value of these equity awards is directly related to our stock price, and, therefore, these awards are an incentive for our executive officers to create long-term value for our stockholders. Equity awards also help us retain qualified executive officers in an increasingly competitive market.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Long-term incentive compensation opportunities in the form of equity awards are granted to our Chief Executive Officer and our other executive officers by the compensation committee. As with other elements of compensation, the compensation committee determines the amount of the long-term incentive compensation opportunities for our executive officers as part of its annual compensation review and after taking into consideration the individual officer’s responsibilities and performance, existing equity retention profiles, our total annual projected equity budget,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competitive market analysis prepared by its compensation consultant as well as the other factors described in “Factors Used in Determining Executive Compensation” above. For awards to executive officers other than the Chief Executive Officer, the compensation committee also took into account the Chief Executive Officer recommendations regarding appropriate grants as well as performance and impact, scope of role, retention goals and other circumstances. The amounts of the equity awards are intended to provide competitively-sized awards and resulting target total direct compensation opportunities that the compensation committee believes are reasonable and appropriate taking into consideration the factors described herein.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target grant value of long-term equity incentive compensation was weighted 50% in the form of performance stock unit (“PSU”) awards and 50% in the form of restricted stock unit (“RSU”) awards. Such awards are settled for shares of our Class A common stock upon satisfaction of service-based vesting conditions and in the case of PSUs, the applicable performance-based and service-based vesting conditions. The service-based vesting condition for both our PSU awards and RSU awards is four years. Because these equity awards are subject to a multi-year vesting requirement, they serve our retention objectives since our executive officers generally must remain continuously employed by us through the applicable vesting dates to fully earn these awards.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since the value of these awards fluctuates with any changes in the value of the underlying shares, they serve as an incentive that aligns the interests of our executive officers with the long-term interests of our stockholders. In particular, the PSUs are specifically designed to motivate our executive officers to achieve pre-established, company-wide performance goals set by the compensation committee and to reward them for the results and achievements in a given year. We believe this further aligns interests with our stockholders in driving long-term company performance and growth in value. Together, RSUs and PSUs are important tools to motivate and retain our named executive officers, since the value of the awards is delivered to our executive officers over four-year periods, subject to their continued service.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received RSU and PSU allocations as determined by the compensation committee based on the factors described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equity awards granted to our named executive officers on April 1,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Time-Based RSUs (#)</w:t>
            </w:r>
            <w:r>
              <w:rPr>
                <w:rFonts w:ascii="Times New Roman" w:cs="Times New Roman" w:eastAsia="Times New Roman" w:hAnsi="Times New Roman"/>
                <w:sz w:val="18"/>
                <w:szCs w:val="18"/>
                <w:b w:val="1"/>
                <w:bCs w:val="1"/>
                <w:color w:val="auto"/>
                <w:vertAlign w:val="superscript"/>
              </w:rPr>
              <w:t>(1)</w:t>
            </w:r>
          </w:p>
        </w:tc>
        <w:tc>
          <w:tcPr>
            <w:tcW w:w="23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Target PSUs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8"/>
                <w:szCs w:val="18"/>
                <w:color w:val="auto"/>
              </w:rPr>
            </w:pPr>
          </w:p>
        </w:tc>
        <w:tc>
          <w:tcPr>
            <w:tcW w:w="23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 Fair Value at Grant Date</w:t>
            </w:r>
            <w:r>
              <w:rPr>
                <w:rFonts w:ascii="Times New Roman" w:cs="Times New Roman" w:eastAsia="Times New Roman" w:hAnsi="Times New Roman"/>
                <w:sz w:val="18"/>
                <w:szCs w:val="18"/>
                <w:b w:val="1"/>
                <w:bCs w:val="1"/>
                <w:color w:val="auto"/>
                <w:vertAlign w:val="superscript"/>
              </w:rPr>
              <w:t>(2)</w:t>
            </w: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2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127,805</w:t>
            </w:r>
          </w:p>
        </w:tc>
        <w:tc>
          <w:tcPr>
            <w:tcW w:w="2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127,805</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25,831,947</w:t>
            </w: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66,269</w:t>
            </w: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13,394,290</w:t>
            </w: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94,670</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19,134,700</w:t>
            </w: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13,202,883</w:t>
            </w: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60,589</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12,246,249</w:t>
            </w:r>
          </w:p>
        </w:tc>
      </w:tr>
    </w:tbl>
    <w:p>
      <w:pPr>
        <w:spacing w:after="0" w:line="180" w:lineRule="exact"/>
        <w:rPr>
          <w:sz w:val="20"/>
          <w:szCs w:val="20"/>
          <w:color w:val="auto"/>
        </w:rPr>
      </w:pPr>
    </w:p>
    <w:p>
      <w:pPr>
        <w:jc w:val="both"/>
        <w:ind w:left="500" w:hanging="492"/>
        <w:spacing w:after="0" w:line="261"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are subject to service based vesting conditions and the PSUs are subject to both performance-based and service-based vesting conditions. The shares underlying the granted RSUs and earned PSUs for the named executive officers vest as to one-quarter of the shares on March 1, 2026 and the remainder of the shares vest in 12 equal installments on each June 1, September 1, December 1 and March 1 thereafter, subject to the named executive officer remaining in continuous service with us through each such vesting date.</w:t>
      </w:r>
    </w:p>
    <w:p>
      <w:pPr>
        <w:ind w:left="500" w:right="40" w:hanging="492"/>
        <w:spacing w:after="0" w:line="262"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RSUs and PSUs (with respect to the PSU awards, assuming target performance is achieved) granted to our named executive officers under our 2019 Equity Incentive Plan (the “2019 Plan”), computed in accordance with Financial Accounting Standard Board Accounting Standards Codification, Topic 718 (“ASC Topic 718”), excluding the effect of estimated forfeitures. The assumptions used in calculating the grant date fair value reported in this column are set forth in the notes to our audited consolidated financial statements included in the Annual Report. This amount does not reflect the actual economic value that may be realized by the named executive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 Award Design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approved the terms of the PSUs including the performance metrics in February 2025. The PSUs are earned based on a one-year performance period, with any earned shares subject to the satisfaction of a four-year service based vesting condition from the date of grant. The targets against which performance was measured were generated through our annual budget and strategic planning process, which was reviewed with our board of directors and finalized in the first quarter of 2025. For 2025, the compensation committee determined that the performance goals for our named executive officers would be based on the growth of annual revenue subject to the achievement of a target amount of non-GAAP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officers would only earn the PSUs subject to their PSU awards if our 2025 revenue was at least 90% of the pre-established performance target and the pre-established target level of non-GAAP operating income was achieved. If our annual revenue exceeded the performance target (which would, in the compensation committee’s view, require extraordinary efforts), accelerators would be triggered in order to reward the higher than targeted performance.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intended the performance goals for our executive officers to be challenging to attain based on analysis of external market factors and internal forecasts. For example, our fiscal 2025 revenue target reflected a revenue growth rate of 23% year-over-year. In addition, the number of PSUs that could be earned was subject to a cap of 200% of the target number of PSUs. We believe the cap manages potential incentive compensation costs and avoids incentivizing undue risk in our executive compensation program, while still maintaining appropriate incentives for our executive officers.</w:t>
      </w:r>
    </w:p>
    <w:p>
      <w:pPr>
        <w:spacing w:after="0" w:line="207"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2025, our annual revenue was $3.43 billion, an increase of 28% year-over-year. Based on our actual performance, the compensation committee determined that the non-GAAP operating income target was met and the revenue performance target was achieved at 104% of target, which exceeded the maximum level of achievement and as a result the PSUs award earned by each executive officer was capped at 200% of the target performance level.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64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PSUs Earned</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16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 a % of fiscal 2024</w:t>
            </w:r>
          </w:p>
        </w:tc>
        <w:tc>
          <w:tcPr>
            <w:tcW w:w="14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3,294,000</w:t>
            </w:r>
          </w:p>
        </w:tc>
        <w:tc>
          <w:tcPr>
            <w:tcW w:w="6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3,427,158</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PSU awards earned by our named executive officers upon certification of the performance level achievement by the compensation committee on February 5, 2026. The number of PSUs earned was determined in strict accordance with the terms and conditions of the PSU awards based on performance, with no exercise of discretion by the compensation committee.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72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PSUs Earned (#)</w:t>
            </w:r>
            <w:r>
              <w:rPr>
                <w:rFonts w:ascii="Times New Roman" w:cs="Times New Roman" w:eastAsia="Times New Roman" w:hAnsi="Times New Roman"/>
                <w:sz w:val="18"/>
                <w:szCs w:val="18"/>
                <w:b w:val="1"/>
                <w:bCs w:val="1"/>
                <w:color w:val="auto"/>
                <w:vertAlign w:val="superscript"/>
              </w:rPr>
              <w:t>(1)</w:t>
            </w:r>
          </w:p>
        </w:tc>
      </w:tr>
      <w:tr>
        <w:trPr>
          <w:trHeight w:val="223"/>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255,610</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132,538</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189,340</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130,644</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121,178</w:t>
            </w:r>
          </w:p>
        </w:tc>
      </w:tr>
    </w:tbl>
    <w:p>
      <w:pPr>
        <w:spacing w:after="0" w:line="166" w:lineRule="exact"/>
        <w:rPr>
          <w:sz w:val="20"/>
          <w:szCs w:val="20"/>
          <w:color w:val="auto"/>
        </w:rPr>
      </w:pPr>
    </w:p>
    <w:p>
      <w:pPr>
        <w:jc w:val="both"/>
        <w:ind w:left="500" w:hanging="492"/>
        <w:spacing w:after="0" w:line="295"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earned PSUs for the named executive officers will vest as to 25% of the shares on March 1, 2026 and the remaining shares vest in 12 equal installments on each June 1, September 1, December 1 and March 1 thereafter, subject in each case to the named executive officer remaining in continuous service (as defined in the 2019 Plan) of the company as of each such date.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Features of Our Executive Compensation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an executive severance agreement with each of our named executive officers. The agreements provide that upon a termination of employment by us without “cause” or by the executive for “good reason” (each as defined in the agreement), the executive will receive a lump sum payment equal to the sum of six months of base salary and 50% of the executive’s annual target bonus opportunity, as well as continued payment of premiums pursuant to the Consolidated Omnibus Budget Reconciliation Act of 1985 (“COBRA”) for six months (or, if earlier, until the date that the executive is eligible for substantially equivalent coverage under a subsequent employer’s plan). If such termination of employment occurs within three months prior to, or 12 months following, a “change in control” (as defined in the agreement) of the company, the executive will instead receive a lump sum payment equal to the sum of 12 months of base salary and 100% of the executive’s annual target bonus opportunity, as well as continued payment of COBRA premiums for 12 months (or, if earlier, when the executive is eligible for substantially equivalent coverage under a subsequent employer’s plan), and will also receive 100% vesting of outstanding and unvested equity awards, excluding awards that vest based upon the satisfaction of performance criteria. The terms of the applicable award agreement govern the treatment of performance-based equity awards upon a change in control of the company. Such agreements provide that upon a change in control PSUs that have been earned based upon the achievement of performance criteria and certification by the compensation committee but remain subject to time-based vesting will be subject to the change in control provisions of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severance agreement. As a condition to receiving the severance benefits above, the named executive officer must sign a release of claims in favor of the company in a form prescribed by us within a specified time period and such release has become effective.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Obstler’s executive severance agreement will apply only to the extent more favorable than the terms of his offer letter. Under Mr. Obstler’s offer letter, if he resigns for good reason or we terminate his employment other than for death, “cause” or “permanent disability” (each as defined in his offer letter), then Mr. Obstler will be eligible to receive the following severance benefits (less applicable tax withholdings): (1) six months of base salary paid in accordance with our regular payroll practices; (2) a prorated target bonus for the greater of the portion of the applicable calendar year during which he was employed or six months, payable pro rata over the six-month severance period; and (3) payment on his behalf of the premiums for him and his eligible dependents to continue coverage under our group health plan pursuant to COBRA for a period of up to six months following the date his employment terminates. As a condition to receiving the severance benefits above, Mr. Obstler must sign and not revoke a release of claims in favor of the company in a form reasonably acceptable to us within the time period set forth in his offer letter.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do not generally provide perquisites or other personal benefits to our named executive officers. Our named executive officers are eligible to participate in our employee benefit plans, including our medical, dental, vision, group life, disability and accidental death and dismemberment insurance plans, in each case on the same basis as all of our other employees. As with all other employees, we pay the premiums for basic life, accidental death and dismemberment and disability insurance for our named executive officers.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defined contribution retirement plan that provides eligible employees, including each of our named executive officers, with an opportunity to save for retirement on a tax-advantaged basis. Eligible employees may defer eligible compensation on a pre-tax basis, up to the statutorily prescribed annual limits on contributions under the Internal Revenue Code of 1986, as amended (the “Code”). We match contributions to the plan by our employees, including our executive officers, up to a maximum of $2,000. Employee contributions are allocated to each participant’s individual account and are then invested in selected investment alternatives according to the participant’s directions. Employees are immediately and fully-vested in their contributions and fully-vested in the company’s matching contribution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(“Clawback”)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Incentive Compensation Recoupment Policy, or clawback policy, is consistent with the applicable SEC rules and Nasdaq listing standards. Under our clawback policy, if we are required to prepare an accounting restatement, we must reasonably promptly recoup from any current or former covered executive officer, including our named executive officers, the amount of incentive-based compensation received by such covered executive officer in excess of the amount of incentive based compensation that would have been received had such amount been determined based on the accounting restatement. Incentive-based compensation that was erroneously received during the three fiscal years preceding the date on which an accounting restatement was deemed required is subject to potential clawback.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Hedging and Pledging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all directors, officers, other employees and designated consultants from purchasing our stock on margin or holding our stock in a margin account, pledging our stock as collateral or engaging in hedging, derivative or similar transactions with respect to our stock, such as prepaid variable forwards, equity swaps, collars, exchange funds, puts, calls and short sales.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shows, for the fiscal years ended 2025, 2024 and 2023, as applicable, compensation awarded to or paid to, or earned by, our named executive officers.</w:t>
      </w: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38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60" w:type="dxa"/>
            <w:vAlign w:val="bottom"/>
          </w:tcPr>
          <w:p>
            <w:pPr>
              <w:spacing w:after="0"/>
              <w:rPr>
                <w:sz w:val="12"/>
                <w:szCs w:val="12"/>
                <w:color w:val="auto"/>
              </w:rPr>
            </w:pPr>
          </w:p>
        </w:tc>
        <w:tc>
          <w:tcPr>
            <w:tcW w:w="12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74"/>
              <w:spacing w:after="0" w:line="146"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2"/>
                <w:szCs w:val="12"/>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340" w:type="dxa"/>
            <w:vAlign w:val="bottom"/>
          </w:tcPr>
          <w:p>
            <w:pPr>
              <w:spacing w:after="0"/>
              <w:rPr>
                <w:sz w:val="12"/>
                <w:szCs w:val="12"/>
                <w:color w:val="auto"/>
              </w:rPr>
            </w:pPr>
          </w:p>
        </w:tc>
        <w:tc>
          <w:tcPr>
            <w:tcW w:w="1220" w:type="dxa"/>
            <w:vAlign w:val="bottom"/>
          </w:tcPr>
          <w:p>
            <w:pPr>
              <w:jc w:val="center"/>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38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20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tcPr>
          <w:p>
            <w:pPr>
              <w:spacing w:after="0"/>
              <w:rPr>
                <w:sz w:val="12"/>
                <w:szCs w:val="12"/>
                <w:color w:val="auto"/>
              </w:rPr>
            </w:pPr>
          </w:p>
        </w:tc>
        <w:tc>
          <w:tcPr>
            <w:tcW w:w="11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right="253"/>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260" w:type="dxa"/>
            <w:vAlign w:val="bottom"/>
          </w:tcPr>
          <w:p>
            <w:pPr>
              <w:spacing w:after="0"/>
              <w:rPr>
                <w:sz w:val="17"/>
                <w:szCs w:val="17"/>
                <w:color w:val="auto"/>
              </w:rPr>
            </w:pPr>
          </w:p>
        </w:tc>
        <w:tc>
          <w:tcPr>
            <w:tcW w:w="1380" w:type="dxa"/>
            <w:vAlign w:val="bottom"/>
          </w:tcPr>
          <w:p>
            <w:pPr>
              <w:jc w:val="center"/>
              <w:ind w:right="174"/>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260" w:type="dxa"/>
            <w:vAlign w:val="bottom"/>
          </w:tcPr>
          <w:p>
            <w:pPr>
              <w:spacing w:after="0"/>
              <w:rPr>
                <w:sz w:val="17"/>
                <w:szCs w:val="17"/>
                <w:color w:val="auto"/>
              </w:rPr>
            </w:pPr>
          </w:p>
        </w:tc>
        <w:tc>
          <w:tcPr>
            <w:tcW w:w="1200" w:type="dxa"/>
            <w:vAlign w:val="bottom"/>
          </w:tcPr>
          <w:p>
            <w:pPr>
              <w:jc w:val="center"/>
              <w:ind w:right="113"/>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3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445,833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25,831,947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777,251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27,055,481</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i w:val="1"/>
                <w:iCs w:val="1"/>
                <w:color w:val="auto"/>
              </w:rPr>
              <w:t>Chief Executive Officer and Co-</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420,833</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19,049,976</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371,295</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19,842,554</w:t>
            </w: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Founder</w:t>
            </w:r>
          </w:p>
        </w:tc>
        <w:tc>
          <w:tcPr>
            <w:tcW w:w="10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10,908,938</w:t>
            </w:r>
          </w:p>
        </w:tc>
        <w:tc>
          <w:tcPr>
            <w:tcW w:w="260" w:type="dxa"/>
            <w:vAlign w:val="bottom"/>
            <w:shd w:val="clear" w:color="auto" w:fill="CCEEFF"/>
          </w:tcPr>
          <w:p>
            <w:pPr>
              <w:spacing w:after="0"/>
              <w:rPr>
                <w:sz w:val="20"/>
                <w:szCs w:val="20"/>
                <w:color w:val="auto"/>
              </w:rPr>
            </w:pPr>
          </w:p>
        </w:tc>
        <w:tc>
          <w:tcPr>
            <w:tcW w:w="13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335,546</w:t>
            </w:r>
          </w:p>
        </w:tc>
        <w:tc>
          <w:tcPr>
            <w:tcW w:w="2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11,644,934</w:t>
            </w:r>
          </w:p>
        </w:tc>
        <w:tc>
          <w:tcPr>
            <w:tcW w:w="0" w:type="dxa"/>
            <w:vAlign w:val="bottom"/>
          </w:tcPr>
          <w:p>
            <w:pPr>
              <w:spacing w:after="0"/>
              <w:rPr>
                <w:sz w:val="1"/>
                <w:szCs w:val="1"/>
                <w:color w:val="auto"/>
              </w:rPr>
            </w:pPr>
          </w:p>
        </w:tc>
      </w:tr>
      <w:tr>
        <w:trPr>
          <w:trHeight w:val="74"/>
        </w:trPr>
        <w:tc>
          <w:tcPr>
            <w:tcW w:w="2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445,833</w:t>
            </w:r>
          </w:p>
        </w:tc>
        <w:tc>
          <w:tcPr>
            <w:tcW w:w="3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13,394,290</w:t>
            </w:r>
          </w:p>
        </w:tc>
        <w:tc>
          <w:tcPr>
            <w:tcW w:w="26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777,251</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4,210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14,621,584</w:t>
            </w:r>
          </w:p>
        </w:tc>
        <w:tc>
          <w:tcPr>
            <w:tcW w:w="0" w:type="dxa"/>
            <w:vAlign w:val="bottom"/>
          </w:tcPr>
          <w:p>
            <w:pPr>
              <w:spacing w:after="0"/>
              <w:rPr>
                <w:sz w:val="1"/>
                <w:szCs w:val="1"/>
                <w:color w:val="auto"/>
              </w:rPr>
            </w:pPr>
          </w:p>
        </w:tc>
      </w:tr>
      <w:tr>
        <w:trPr>
          <w:trHeight w:val="26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420,833</w:t>
            </w:r>
          </w:p>
        </w:tc>
        <w:tc>
          <w:tcPr>
            <w:tcW w:w="3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14,743,236</w:t>
            </w:r>
          </w:p>
        </w:tc>
        <w:tc>
          <w:tcPr>
            <w:tcW w:w="260" w:type="dxa"/>
            <w:vAlign w:val="bottom"/>
          </w:tcPr>
          <w:p>
            <w:pPr>
              <w:spacing w:after="0"/>
              <w:rPr>
                <w:sz w:val="22"/>
                <w:szCs w:val="22"/>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371,295</w:t>
            </w:r>
          </w:p>
        </w:tc>
        <w:tc>
          <w:tcPr>
            <w:tcW w:w="2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5,743</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15,541,107</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8,181,672</w:t>
            </w:r>
          </w:p>
        </w:tc>
        <w:tc>
          <w:tcPr>
            <w:tcW w:w="260" w:type="dxa"/>
            <w:vAlign w:val="bottom"/>
          </w:tcPr>
          <w:p>
            <w:pPr>
              <w:spacing w:after="0"/>
              <w:rPr>
                <w:sz w:val="22"/>
                <w:szCs w:val="22"/>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335,546</w:t>
            </w:r>
          </w:p>
        </w:tc>
        <w:tc>
          <w:tcPr>
            <w:tcW w:w="2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1,980</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8,919,198</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445,833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19,134,700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777,251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20,360,475</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i w:val="1"/>
                <w:iCs w:val="1"/>
                <w:color w:val="auto"/>
              </w:rPr>
              <w:t>President, Chief Technology Officer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420,833</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16,192,539</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371,295</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2,690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16,987,357</w:t>
            </w: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and Co-Founder</w:t>
            </w:r>
          </w:p>
        </w:tc>
        <w:tc>
          <w:tcPr>
            <w:tcW w:w="10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10,908,938</w:t>
            </w:r>
          </w:p>
        </w:tc>
        <w:tc>
          <w:tcPr>
            <w:tcW w:w="260" w:type="dxa"/>
            <w:vAlign w:val="bottom"/>
            <w:shd w:val="clear" w:color="auto" w:fill="CCEEFF"/>
          </w:tcPr>
          <w:p>
            <w:pPr>
              <w:spacing w:after="0"/>
              <w:rPr>
                <w:sz w:val="20"/>
                <w:szCs w:val="20"/>
                <w:color w:val="auto"/>
              </w:rPr>
            </w:pPr>
          </w:p>
        </w:tc>
        <w:tc>
          <w:tcPr>
            <w:tcW w:w="13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335,546</w:t>
            </w:r>
          </w:p>
        </w:tc>
        <w:tc>
          <w:tcPr>
            <w:tcW w:w="2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2,450</w:t>
            </w:r>
          </w:p>
        </w:tc>
        <w:tc>
          <w:tcPr>
            <w:tcW w:w="38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11,646,934</w:t>
            </w:r>
          </w:p>
        </w:tc>
        <w:tc>
          <w:tcPr>
            <w:tcW w:w="0" w:type="dxa"/>
            <w:vAlign w:val="bottom"/>
          </w:tcPr>
          <w:p>
            <w:pPr>
              <w:spacing w:after="0"/>
              <w:rPr>
                <w:sz w:val="1"/>
                <w:szCs w:val="1"/>
                <w:color w:val="auto"/>
              </w:rPr>
            </w:pPr>
          </w:p>
        </w:tc>
      </w:tr>
      <w:tr>
        <w:trPr>
          <w:trHeight w:val="74"/>
        </w:trPr>
        <w:tc>
          <w:tcPr>
            <w:tcW w:w="2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Adam Blitzer</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445,833</w:t>
            </w:r>
          </w:p>
        </w:tc>
        <w:tc>
          <w:tcPr>
            <w:tcW w:w="3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13,202,883</w:t>
            </w:r>
          </w:p>
        </w:tc>
        <w:tc>
          <w:tcPr>
            <w:tcW w:w="26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777,251</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2,450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14,428,418</w:t>
            </w:r>
          </w:p>
        </w:tc>
        <w:tc>
          <w:tcPr>
            <w:tcW w:w="0" w:type="dxa"/>
            <w:vAlign w:val="bottom"/>
          </w:tcPr>
          <w:p>
            <w:pPr>
              <w:spacing w:after="0"/>
              <w:rPr>
                <w:sz w:val="1"/>
                <w:szCs w:val="1"/>
                <w:color w:val="auto"/>
              </w:rPr>
            </w:pPr>
          </w:p>
        </w:tc>
      </w:tr>
      <w:tr>
        <w:trPr>
          <w:trHeight w:val="236"/>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420,834</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12,777,373</w:t>
            </w:r>
          </w:p>
        </w:tc>
        <w:tc>
          <w:tcPr>
            <w:tcW w:w="2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371,295</w:t>
            </w:r>
          </w:p>
        </w:tc>
        <w:tc>
          <w:tcPr>
            <w:tcW w:w="2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2,300</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13,571,802</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470,833</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12,246,249</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383,468</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2,690</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13,103,240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Chief Revenue Officer</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441,667</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11,794,442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333,280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12,572,079</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393,333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7,727,169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308,729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8,431,922</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500" w:hanging="492"/>
        <w:spacing w:after="0" w:line="262"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PSUs, assuming target performance, and RSUs granted to our named executive officers under the 2019 Plan computed in accordance with ASC Topic 718, excluding the effect of estimated forfeitures. For accounting purposes, the grant date fair value of PSUs was calculated based on the probable outcome of the performance metrics for fiscal 2025 as of the grant date. The assumptions used in calculating the grant date fair value of the RSUs and PSUs reported in this column are set forth in the notes to our audited consolidated financial statements included in the Annual Report. This amount does not reflect the actual economic value that may be realized by the named executive officer. The value of the PSUs granted in 2025, assuming that the highest tier of achievement of the company’s performance goals under the terms of the PSU awards is achieved or exceeded, is as follows for each of the named executive officers: Mr. Pomel, $25,831,947; Mr. Obstler, $13,394,290; Mr. Lê-Quôc, $19,134,700; Mr. Blitzer, $13,202,883; and Mr. Walters, $12,246,249.</w:t>
      </w:r>
    </w:p>
    <w:p>
      <w:pPr>
        <w:spacing w:after="0" w:line="159" w:lineRule="exact"/>
        <w:rPr>
          <w:rFonts w:ascii="Times New Roman" w:cs="Times New Roman" w:eastAsia="Times New Roman" w:hAnsi="Times New Roman"/>
          <w:sz w:val="14"/>
          <w:szCs w:val="14"/>
          <w:color w:val="auto"/>
        </w:rPr>
      </w:pPr>
    </w:p>
    <w:p>
      <w:pPr>
        <w:ind w:left="500" w:hanging="492"/>
        <w:spacing w:after="0" w:line="261"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executive officers’ total cash bonuses earned for each of the years presented, as applicable, based on the achievement of company performance goals as determined by the compensation committee.</w:t>
      </w:r>
    </w:p>
    <w:p>
      <w:pPr>
        <w:ind w:left="500" w:right="60" w:hanging="492"/>
        <w:spacing w:after="0" w:line="254"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include life insurance premiums paid by us on behalf of the named executive officer and for certain named executive officers, matching contributions under our 401(k) Plan in the amount of $2,000.</w:t>
      </w:r>
    </w:p>
    <w:p>
      <w:pPr>
        <w:ind w:left="480" w:hanging="472"/>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Blitzer was not among the Company’s named executive officers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Grants of Plan-Based Awards Table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left="271"/>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271"/>
              <w:spacing w:after="0" w:line="135"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70"/>
        </w:trPr>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gridSpan w:val="4"/>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vMerge w:val="restart"/>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79"/>
        </w:trPr>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40" w:type="dxa"/>
            <w:vAlign w:val="bottom"/>
            <w:gridSpan w:val="8"/>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Payouts Under Non-Equity Incentive Plan</w:t>
            </w:r>
          </w:p>
        </w:tc>
        <w:tc>
          <w:tcPr>
            <w:tcW w:w="2820" w:type="dxa"/>
            <w:vAlign w:val="bottom"/>
            <w:gridSpan w:val="5"/>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Payouts Under Equity Incentive Plan</w:t>
            </w:r>
          </w:p>
        </w:tc>
        <w:tc>
          <w:tcPr>
            <w:tcW w:w="8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8"/>
            <w:vMerge w:val="continue"/>
          </w:tcPr>
          <w:p>
            <w:pPr>
              <w:spacing w:after="0"/>
              <w:rPr>
                <w:sz w:val="5"/>
                <w:szCs w:val="5"/>
                <w:color w:val="auto"/>
              </w:rPr>
            </w:pPr>
          </w:p>
        </w:tc>
        <w:tc>
          <w:tcPr>
            <w:tcW w:w="28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restart"/>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(2)</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jc w:val="center"/>
              <w:ind w:left="271"/>
              <w:spacing w:after="0" w:line="61" w:lineRule="exact"/>
              <w:rPr>
                <w:sz w:val="20"/>
                <w:szCs w:val="20"/>
                <w:color w:val="auto"/>
              </w:rPr>
            </w:pPr>
            <w:r>
              <w:rPr>
                <w:rFonts w:ascii="Times New Roman" w:cs="Times New Roman" w:eastAsia="Times New Roman" w:hAnsi="Times New Roman"/>
                <w:sz w:val="7"/>
                <w:szCs w:val="7"/>
                <w:b w:val="1"/>
                <w:bCs w:val="1"/>
                <w:color w:val="auto"/>
              </w:rPr>
              <w:t>Stock or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jc w:val="center"/>
              <w:ind w:right="117"/>
              <w:spacing w:after="0" w:line="61" w:lineRule="exact"/>
              <w:rPr>
                <w:sz w:val="20"/>
                <w:szCs w:val="20"/>
                <w:color w:val="auto"/>
              </w:rPr>
            </w:pPr>
            <w:r>
              <w:rPr>
                <w:rFonts w:ascii="Times New Roman" w:cs="Times New Roman" w:eastAsia="Times New Roman" w:hAnsi="Times New Roman"/>
                <w:sz w:val="7"/>
                <w:szCs w:val="7"/>
                <w:b w:val="1"/>
                <w:bCs w:val="1"/>
                <w:color w:val="auto"/>
              </w:rPr>
              <w:t>Option</w:t>
            </w:r>
          </w:p>
        </w:tc>
        <w:tc>
          <w:tcPr>
            <w:tcW w:w="0" w:type="dxa"/>
            <w:vAlign w:val="bottom"/>
          </w:tcPr>
          <w:p>
            <w:pPr>
              <w:spacing w:after="0"/>
              <w:rPr>
                <w:sz w:val="1"/>
                <w:szCs w:val="1"/>
                <w:color w:val="auto"/>
              </w:rPr>
            </w:pPr>
          </w:p>
        </w:tc>
      </w:tr>
      <w:tr>
        <w:trPr>
          <w:trHeight w:val="142"/>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80" w:type="dxa"/>
            <w:vAlign w:val="bottom"/>
          </w:tcPr>
          <w:p>
            <w:pPr>
              <w:spacing w:after="0"/>
              <w:rPr>
                <w:sz w:val="12"/>
                <w:szCs w:val="12"/>
                <w:color w:val="auto"/>
              </w:rPr>
            </w:pPr>
          </w:p>
        </w:tc>
        <w:tc>
          <w:tcPr>
            <w:tcW w:w="8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Max</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60" w:type="dxa"/>
            <w:vAlign w:val="bottom"/>
            <w:vMerge w:val="restart"/>
          </w:tcPr>
          <w:p>
            <w:pPr>
              <w:spacing w:after="0"/>
              <w:rPr>
                <w:sz w:val="12"/>
                <w:szCs w:val="12"/>
                <w:color w:val="auto"/>
              </w:rPr>
            </w:pPr>
          </w:p>
        </w:tc>
        <w:tc>
          <w:tcPr>
            <w:tcW w:w="9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Target</w:t>
            </w:r>
          </w:p>
        </w:tc>
        <w:tc>
          <w:tcPr>
            <w:tcW w:w="8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Max</w:t>
            </w:r>
          </w:p>
        </w:tc>
        <w:tc>
          <w:tcPr>
            <w:tcW w:w="80" w:type="dxa"/>
            <w:vAlign w:val="bottom"/>
          </w:tcPr>
          <w:p>
            <w:pPr>
              <w:spacing w:after="0"/>
              <w:rPr>
                <w:sz w:val="12"/>
                <w:szCs w:val="12"/>
                <w:color w:val="auto"/>
              </w:rPr>
            </w:pPr>
          </w:p>
        </w:tc>
        <w:tc>
          <w:tcPr>
            <w:tcW w:w="960" w:type="dxa"/>
            <w:vAlign w:val="bottom"/>
          </w:tcPr>
          <w:p>
            <w:pPr>
              <w:jc w:val="center"/>
              <w:ind w:left="271"/>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7"/>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21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53,125</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255,610</w:t>
            </w:r>
          </w:p>
        </w:tc>
        <w:tc>
          <w:tcPr>
            <w:tcW w:w="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4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12,915,973</w:t>
            </w:r>
          </w:p>
        </w:tc>
        <w:tc>
          <w:tcPr>
            <w:tcW w:w="0" w:type="dxa"/>
            <w:vAlign w:val="bottom"/>
          </w:tcPr>
          <w:p>
            <w:pPr>
              <w:spacing w:after="0"/>
              <w:rPr>
                <w:sz w:val="1"/>
                <w:szCs w:val="1"/>
                <w:color w:val="auto"/>
              </w:rPr>
            </w:pPr>
          </w:p>
        </w:tc>
      </w:tr>
      <w:tr>
        <w:trPr>
          <w:trHeight w:val="265"/>
        </w:trPr>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127,805</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2"/>
                <w:szCs w:val="12"/>
                <w:color w:val="auto"/>
                <w:w w:val="85"/>
              </w:rPr>
              <w:t>(4)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12,915,973</w:t>
            </w:r>
          </w:p>
        </w:tc>
        <w:tc>
          <w:tcPr>
            <w:tcW w:w="0" w:type="dxa"/>
            <w:vAlign w:val="bottom"/>
          </w:tcPr>
          <w:p>
            <w:pPr>
              <w:spacing w:after="0"/>
              <w:rPr>
                <w:sz w:val="1"/>
                <w:szCs w:val="1"/>
                <w:color w:val="auto"/>
              </w:rPr>
            </w:pPr>
          </w:p>
        </w:tc>
      </w:tr>
      <w:tr>
        <w:trPr>
          <w:trHeight w:val="194"/>
        </w:trPr>
        <w:tc>
          <w:tcPr>
            <w:tcW w:w="14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David Obstler</w:t>
            </w:r>
          </w:p>
        </w:tc>
        <w:tc>
          <w:tcPr>
            <w:tcW w:w="100" w:type="dxa"/>
            <w:vAlign w:val="bottom"/>
          </w:tcPr>
          <w:p>
            <w:pPr>
              <w:spacing w:after="0"/>
              <w:rPr>
                <w:sz w:val="16"/>
                <w:szCs w:val="16"/>
                <w:color w:val="auto"/>
              </w:rPr>
            </w:pPr>
          </w:p>
        </w:tc>
        <w:tc>
          <w:tcPr>
            <w:tcW w:w="1080" w:type="dxa"/>
            <w:vAlign w:val="bottom"/>
            <w:gridSpan w:val="2"/>
          </w:tcPr>
          <w:p>
            <w:pPr>
              <w:ind w:left="7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53,125</w:t>
            </w:r>
          </w:p>
        </w:tc>
        <w:tc>
          <w:tcPr>
            <w:tcW w:w="106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96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66,269</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132,538</w:t>
            </w:r>
          </w:p>
        </w:tc>
        <w:tc>
          <w:tcPr>
            <w:tcW w:w="80" w:type="dxa"/>
            <w:vAlign w:val="bottom"/>
          </w:tcPr>
          <w:p>
            <w:pPr>
              <w:spacing w:after="0"/>
              <w:rPr>
                <w:sz w:val="19"/>
                <w:szCs w:val="19"/>
                <w:color w:val="auto"/>
              </w:rPr>
            </w:pPr>
          </w:p>
        </w:tc>
        <w:tc>
          <w:tcPr>
            <w:tcW w:w="1580" w:type="dxa"/>
            <w:vAlign w:val="bottom"/>
            <w:gridSpan w:val="4"/>
          </w:tcPr>
          <w:p>
            <w:pPr>
              <w:jc w:val="right"/>
              <w:ind w:right="4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6,697,145</w:t>
            </w: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66,269</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2"/>
                <w:szCs w:val="12"/>
                <w:color w:val="auto"/>
                <w:w w:val="85"/>
              </w:rPr>
              <w:t>(4)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6,697,145</w:t>
            </w: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Alexis Lê-Quôc</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53,125</w:t>
            </w:r>
          </w:p>
        </w:tc>
        <w:tc>
          <w:tcPr>
            <w:tcW w:w="1060" w:type="dxa"/>
            <w:vAlign w:val="bottom"/>
            <w:gridSpan w:val="3"/>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425,000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189,340</w:t>
            </w:r>
          </w:p>
        </w:tc>
        <w:tc>
          <w:tcPr>
            <w:tcW w:w="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4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9,567,350</w:t>
            </w:r>
          </w:p>
        </w:tc>
        <w:tc>
          <w:tcPr>
            <w:tcW w:w="0" w:type="dxa"/>
            <w:vAlign w:val="bottom"/>
          </w:tcPr>
          <w:p>
            <w:pPr>
              <w:spacing w:after="0"/>
              <w:rPr>
                <w:sz w:val="1"/>
                <w:szCs w:val="1"/>
                <w:color w:val="auto"/>
              </w:rPr>
            </w:pPr>
          </w:p>
        </w:tc>
      </w:tr>
      <w:tr>
        <w:trPr>
          <w:trHeight w:val="265"/>
        </w:trPr>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94,670</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2"/>
                <w:szCs w:val="12"/>
                <w:color w:val="auto"/>
                <w:w w:val="85"/>
              </w:rPr>
              <w:t>(4)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9,567,350</w:t>
            </w:r>
          </w:p>
        </w:tc>
        <w:tc>
          <w:tcPr>
            <w:tcW w:w="0" w:type="dxa"/>
            <w:vAlign w:val="bottom"/>
          </w:tcPr>
          <w:p>
            <w:pPr>
              <w:spacing w:after="0"/>
              <w:rPr>
                <w:sz w:val="1"/>
                <w:szCs w:val="1"/>
                <w:color w:val="auto"/>
              </w:rPr>
            </w:pPr>
          </w:p>
        </w:tc>
      </w:tr>
      <w:tr>
        <w:trPr>
          <w:trHeight w:val="194"/>
        </w:trPr>
        <w:tc>
          <w:tcPr>
            <w:tcW w:w="14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Adam Blitzer</w:t>
            </w:r>
          </w:p>
        </w:tc>
        <w:tc>
          <w:tcPr>
            <w:tcW w:w="100" w:type="dxa"/>
            <w:vAlign w:val="bottom"/>
          </w:tcPr>
          <w:p>
            <w:pPr>
              <w:spacing w:after="0"/>
              <w:rPr>
                <w:sz w:val="16"/>
                <w:szCs w:val="16"/>
                <w:color w:val="auto"/>
              </w:rPr>
            </w:pPr>
          </w:p>
        </w:tc>
        <w:tc>
          <w:tcPr>
            <w:tcW w:w="1080" w:type="dxa"/>
            <w:vAlign w:val="bottom"/>
            <w:gridSpan w:val="2"/>
          </w:tcPr>
          <w:p>
            <w:pPr>
              <w:ind w:left="7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53,125</w:t>
            </w:r>
          </w:p>
        </w:tc>
        <w:tc>
          <w:tcPr>
            <w:tcW w:w="106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96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130,644</w:t>
            </w:r>
          </w:p>
        </w:tc>
        <w:tc>
          <w:tcPr>
            <w:tcW w:w="80" w:type="dxa"/>
            <w:vAlign w:val="bottom"/>
          </w:tcPr>
          <w:p>
            <w:pPr>
              <w:spacing w:after="0"/>
              <w:rPr>
                <w:sz w:val="19"/>
                <w:szCs w:val="19"/>
                <w:color w:val="auto"/>
              </w:rPr>
            </w:pPr>
          </w:p>
        </w:tc>
        <w:tc>
          <w:tcPr>
            <w:tcW w:w="1580" w:type="dxa"/>
            <w:vAlign w:val="bottom"/>
            <w:gridSpan w:val="4"/>
          </w:tcPr>
          <w:p>
            <w:pPr>
              <w:jc w:val="right"/>
              <w:ind w:right="4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6,601,441</w:t>
            </w: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65,322</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2"/>
                <w:szCs w:val="12"/>
                <w:color w:val="auto"/>
                <w:w w:val="85"/>
              </w:rPr>
              <w:t>(4)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6,601,441</w:t>
            </w: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Sean Walters</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475,000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121,178</w:t>
            </w:r>
          </w:p>
        </w:tc>
        <w:tc>
          <w:tcPr>
            <w:tcW w:w="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4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6,123,124</w:t>
            </w:r>
          </w:p>
        </w:tc>
        <w:tc>
          <w:tcPr>
            <w:tcW w:w="0" w:type="dxa"/>
            <w:vAlign w:val="bottom"/>
          </w:tcPr>
          <w:p>
            <w:pPr>
              <w:spacing w:after="0"/>
              <w:rPr>
                <w:sz w:val="1"/>
                <w:szCs w:val="1"/>
                <w:color w:val="auto"/>
              </w:rPr>
            </w:pPr>
          </w:p>
        </w:tc>
      </w:tr>
      <w:tr>
        <w:trPr>
          <w:trHeight w:val="265"/>
        </w:trPr>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4/1/2025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60,589</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2"/>
                <w:szCs w:val="12"/>
                <w:color w:val="auto"/>
                <w:w w:val="85"/>
              </w:rPr>
              <w:t>(4)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6,123,124</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500" w:hanging="492"/>
        <w:spacing w:after="0" w:line="262"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cash bonus amounts each named executive officer is eligible to receive under our annual performance-based cash bonus program based on the company’s attainment of a pre-established amount of net new ARR and non-GAAP operating income. The amounts shown in the “Threshold” column represent a bonus payout if our net new ARR attainment is at least 50% of the net new ARR performance target provided the minimum performance tier for the non-GAAP operating income performance metric is met. If net new ARR attainment is below 50% of the target or the minimum performance tier for the non-GAAP operating income performance metric is not met, no cash bonus will be paid. The amounts shown in the “Maximum” column represent the maximum bonus payout if the highest tier of net new ARR performance and non-GAAP operating income performance is achieved or exceeded, and reflects a cap equal to 200% of the amounts shown in the “Target” column. Such amounts do not represent actual compensation earned by our named executive officers for the year ended December 31, 2025. The dollar value of the actual payouts for these awards is reported in the “Non-Equity Incentive Plan Compensation” column of the “2025 Summary Compensation Table” above.</w:t>
      </w:r>
    </w:p>
    <w:p>
      <w:pPr>
        <w:spacing w:after="0" w:line="159" w:lineRule="exact"/>
        <w:rPr>
          <w:rFonts w:ascii="Times New Roman" w:cs="Times New Roman" w:eastAsia="Times New Roman" w:hAnsi="Times New Roman"/>
          <w:sz w:val="14"/>
          <w:szCs w:val="14"/>
          <w:color w:val="auto"/>
        </w:rPr>
      </w:pPr>
    </w:p>
    <w:p>
      <w:pPr>
        <w:jc w:val="both"/>
        <w:ind w:left="500" w:hanging="492"/>
        <w:spacing w:after="0" w:line="258"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Class A common shares subject to PSUs granted to our named executive officers, which are earned based on the Company’s achievement of a pre-established amount of revenue and non-GAAP operating income. The amounts shown in the “Threshold” column represent the number of PSUs earned if the minimum revenue performance tier is achieved provided the target performance tier for the non-GAAP operating income performance metric is met, and reflects 25% of the amounts shown in the “Target” column. The amounts shown in the “Maximum” column represent the maximum number of PSUs earned if the highest tier of revenue performance is achieved or exceeded provided the target performance level for the non-GAAP operating income performance metric is met, and reflects a cap of 200% of the amounts shown in the “Target” column. In February 2026, the compensation committee certified the actual number of PSU awards earned by our named executive officers. The number of PSUs awards earned is reported under “Compensation Discussion and Analysis — 2025 Executive Compensation Elements — Equity Aawards — PSU Award Design.”</w:t>
      </w:r>
    </w:p>
    <w:p>
      <w:pPr>
        <w:spacing w:after="0" w:line="3" w:lineRule="exact"/>
        <w:rPr>
          <w:rFonts w:ascii="Times New Roman" w:cs="Times New Roman" w:eastAsia="Times New Roman" w:hAnsi="Times New Roman"/>
          <w:sz w:val="14"/>
          <w:szCs w:val="14"/>
          <w:color w:val="auto"/>
        </w:rPr>
      </w:pPr>
    </w:p>
    <w:p>
      <w:pPr>
        <w:jc w:val="both"/>
        <w:ind w:left="500" w:hanging="492"/>
        <w:spacing w:after="0" w:line="263"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grant date fair value of RSUs and PSUs (assuming target performance) granted to our named executive officers under our 2019 Plan, computed in accordance with ASC Topic 718, excluding the effect of estimated forfeitures. For accounting purposes, the grant date fair value of PSUs was calculated based on the probable outcome of the performance metrics for fiscal 2025 as of the grant date. The assumptions used in calculating the grant date fair value of the RSUs and PSUs reported in this column are set forth in the notes to our audited consolidated financial statements included in the Annual Report. This amount does not reflect the actual economic value that may be realized by the named executive officer.</w:t>
      </w:r>
    </w:p>
    <w:p>
      <w:pPr>
        <w:spacing w:after="0" w:line="158" w:lineRule="exact"/>
        <w:rPr>
          <w:rFonts w:ascii="Times New Roman" w:cs="Times New Roman" w:eastAsia="Times New Roman" w:hAnsi="Times New Roman"/>
          <w:sz w:val="14"/>
          <w:szCs w:val="14"/>
          <w:color w:val="auto"/>
        </w:rPr>
      </w:pPr>
    </w:p>
    <w:p>
      <w:pPr>
        <w:ind w:left="500" w:right="120" w:hanging="492"/>
        <w:spacing w:after="0" w:line="263"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RSUs and earned PSUs vest as to one-quarter of the shares on March 1, 2026 and the remainder of the shares in 12 equal quarterly installment on each June 1, September 1, December 1 and March 1 thereafter, subject to the named executive officer remaining in continuous service with us through each such vesting date.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December 31, 2025 Table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granted to our named executive officers that remain outstanding as of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1"/>
                <w:szCs w:val="11"/>
                <w:color w:val="auto"/>
              </w:rPr>
            </w:pPr>
          </w:p>
        </w:tc>
        <w:tc>
          <w:tcPr>
            <w:tcW w:w="12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42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420" w:type="dxa"/>
            <w:vAlign w:val="bottom"/>
          </w:tcPr>
          <w:p>
            <w:pPr>
              <w:spacing w:after="0"/>
              <w:rPr>
                <w:sz w:val="11"/>
                <w:szCs w:val="11"/>
                <w:color w:val="auto"/>
              </w:rPr>
            </w:pPr>
          </w:p>
        </w:tc>
        <w:tc>
          <w:tcPr>
            <w:tcW w:w="12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6"/>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420" w:type="dxa"/>
            <w:vAlign w:val="bottom"/>
          </w:tcPr>
          <w:p>
            <w:pPr>
              <w:spacing w:after="0"/>
              <w:rPr>
                <w:sz w:val="12"/>
                <w:szCs w:val="12"/>
                <w:color w:val="auto"/>
              </w:rPr>
            </w:pPr>
          </w:p>
        </w:tc>
        <w:tc>
          <w:tcPr>
            <w:tcW w:w="12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203"/>
        </w:trPr>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620" w:type="dxa"/>
            <w:vAlign w:val="bottom"/>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420" w:type="dxa"/>
            <w:vAlign w:val="bottom"/>
          </w:tcPr>
          <w:p>
            <w:pPr>
              <w:spacing w:after="0"/>
              <w:rPr>
                <w:sz w:val="17"/>
                <w:szCs w:val="17"/>
                <w:color w:val="auto"/>
              </w:rPr>
            </w:pPr>
          </w:p>
        </w:tc>
        <w:tc>
          <w:tcPr>
            <w:tcW w:w="128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10/25/2017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838,584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10/24/2027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07/19/2019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420" w:type="dxa"/>
            <w:vAlign w:val="bottom"/>
            <w:vMerge w:val="continue"/>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34,760,404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2,557,564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05/29/2024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05/29/2024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66,269</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132,538</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18,023,843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13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07/19/2019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420" w:type="dxa"/>
            <w:vAlign w:val="bottom"/>
            <w:vMerge w:val="continue"/>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05/29/2024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29,535</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05/29/2024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34,059</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130,644</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13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02/24/2022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04/27/2022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04/25/2023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05/29/2024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05/29/2024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60,589</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121,178</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gridSpan w:val="3"/>
          </w:tcPr>
          <w:p>
            <w:pPr>
              <w:jc w:val="right"/>
              <w:ind w:right="109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hanging="492"/>
        <w:spacing w:after="0" w:line="271"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options granted prior to our initial public offering were granted pursuant to the 2012 Plan and are for shares of Class B common stock. All RSUs and PSUs were granted under the 2019 Plan and are for shares of Class A common stock.</w:t>
      </w:r>
    </w:p>
    <w:p>
      <w:pPr>
        <w:ind w:left="480" w:hanging="472"/>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is calculated based on the closing price of our Class A common stock on December 31, 2025, which was $135.99, as reported on Nasdaq.</w:t>
      </w:r>
    </w:p>
    <w:p>
      <w:pPr>
        <w:spacing w:after="0" w:line="4" w:lineRule="exact"/>
        <w:rPr>
          <w:rFonts w:ascii="Times New Roman" w:cs="Times New Roman" w:eastAsia="Times New Roman" w:hAnsi="Times New Roman"/>
          <w:sz w:val="14"/>
          <w:szCs w:val="14"/>
          <w:color w:val="auto"/>
        </w:rPr>
      </w:pPr>
    </w:p>
    <w:p>
      <w:pPr>
        <w:jc w:val="both"/>
        <w:ind w:left="500" w:hanging="492"/>
        <w:spacing w:after="0" w:line="260"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PSUs that were earned in a prior period but remain subject to service based vesting conditions. Such PSUs vest as to 25% of the shares on March 1, 2023 and the remainder of the shares vest in 12 equal installments on each June 1, September 1, December 1 and March 1 thereafter, subject to the named executive officer remaining in continuous service with us through each such vesting date.</w:t>
      </w:r>
    </w:p>
    <w:p>
      <w:pPr>
        <w:ind w:left="500" w:hanging="492"/>
        <w:spacing w:after="0" w:line="254"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RSUs vest as to 25% of the shares on March 1, 2023 and the remainder of the shares vest in 12 equal installments on each June 1, September 1, December 1 and March 1 thereafter, subject to the named executive officer remaining in continuous service with us through each such vesting date.</w:t>
      </w:r>
    </w:p>
    <w:p>
      <w:pPr>
        <w:jc w:val="both"/>
        <w:ind w:left="500" w:right="20" w:hanging="492"/>
        <w:spacing w:after="0" w:line="260"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PSUs that were earned in a prior period but remain subject to service based vesting conditions. The earned PSUs remain subject to service based vesting conditions and vest as to 25% of the shares on March 1, 2024 and the remainder of the shares vest in 12 equal installments on each June 1, September 1, December 1 and March 1 thereafter, subject to the named executive officer remaining in continuous service with us through each such vesting date.</w:t>
      </w:r>
    </w:p>
    <w:p>
      <w:pPr>
        <w:ind w:left="500" w:hanging="492"/>
        <w:spacing w:after="0" w:line="254"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RSUs vest as to 25% of the shares on March 1, 2024 and the remainder of the shares vest in 12 equal installments on each June 1, September 1, December 1 and March 1 thereafter, subject to the named executive officer remaining in continuous service with us through each such vesting date.</w:t>
      </w:r>
    </w:p>
    <w:p>
      <w:pPr>
        <w:jc w:val="both"/>
        <w:ind w:left="500" w:hanging="492"/>
        <w:spacing w:after="0" w:line="260"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PSUs that were earned in a prior period but remain subject to service based vesting conditions. Such PSUs vest as to 25% of the shares on March 1, 2025 and the remainder of the shares vest in 12 equal installments on each June 1, September 1, December 1 and March 1 thereafter, subject to the named executive officer remaining in continuous service with us through each such vesting date.</w:t>
      </w:r>
    </w:p>
    <w:p>
      <w:pPr>
        <w:ind w:left="500" w:hanging="492"/>
        <w:spacing w:after="0" w:line="254"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RSUs vest as to 25% of the shares on March 1, 2025 and the remainder of the shares vest in 12 equal installments on each June 1, September 1, December 1 and March 1 thereafter, subject to the named executive officer remaining in continuous service with us through each such vesting date.</w:t>
      </w:r>
    </w:p>
    <w:p>
      <w:pPr>
        <w:ind w:left="500" w:hanging="492"/>
        <w:spacing w:after="0" w:line="259"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RSUs vest as to 25% of the shares on March 1, 2026 and the remainder of the shares vest in 12 equal installments on each September 1, December 1, March 1 and June 1 thereafter, subject to the named executive officer remaining in continuous service with us through each such vesting date.</w:t>
      </w:r>
    </w:p>
    <w:p>
      <w:pPr>
        <w:jc w:val="both"/>
        <w:ind w:left="500" w:hanging="492"/>
        <w:spacing w:after="0" w:line="256" w:lineRule="auto"/>
        <w:tabs>
          <w:tab w:leader="none" w:pos="49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PSUs that were earned as a result of achievement of performance criteria in 2025 and certification by the compensation committee on February 5, 2026. The earned PSUs remain subject to service based vesting conditions and vest as to 25% of the shares on March 1, 2026 and the remainder of the shares vest in 12 equal installments on each June 1, September 1, December 1 and March 1 thereafter, subject to the named executive officer remaining in continuous service with us through each such vesting date.</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70" w:lineRule="auto"/>
        <w:tabs>
          <w:tab w:leader="none" w:pos="49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RSUs vest as to 13/48 of the shares on March 1, 2023, and 3/48 of the shares underlying the RSU vesting in 11 quarterly installments thereafter followed by 2/48 of the shares underlying the RSU vesting in the 12th and last quarterly installment, in each case, on each March 1, June 1, September 1 and December 1, subject to the named executive officer remaining in continuous service with us through each such vesting date.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Option Exercises and Stock Vested Table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sets forth certain information regarding any option exercises and stock vested during the fiscal year ended December 31, 2025 with respect to our named executive officers.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2200" w:type="dxa"/>
            <w:vAlign w:val="bottom"/>
            <w:gridSpan w:val="3"/>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40" w:type="dxa"/>
            <w:vAlign w:val="bottom"/>
            <w:gridSpan w:val="2"/>
            <w:vMerge w:val="continue"/>
          </w:tcPr>
          <w:p>
            <w:pPr>
              <w:spacing w:after="0"/>
              <w:rPr>
                <w:sz w:val="12"/>
                <w:szCs w:val="12"/>
                <w:color w:val="auto"/>
              </w:rPr>
            </w:pPr>
          </w:p>
        </w:tc>
        <w:tc>
          <w:tcPr>
            <w:tcW w:w="22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20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300" w:type="dxa"/>
            <w:vAlign w:val="bottom"/>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6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w:t>
            </w:r>
            <w:r>
              <w:rPr>
                <w:rFonts w:ascii="Times New Roman" w:cs="Times New Roman" w:eastAsia="Times New Roman" w:hAnsi="Times New Roman"/>
                <w:sz w:val="9"/>
                <w:szCs w:val="9"/>
                <w:b w:val="1"/>
                <w:bCs w:val="1"/>
                <w:color w:val="auto"/>
                <w:w w:val="93"/>
              </w:rPr>
              <w:t>(1)</w:t>
            </w:r>
          </w:p>
        </w:tc>
        <w:tc>
          <w:tcPr>
            <w:tcW w:w="160" w:type="dxa"/>
            <w:vAlign w:val="bottom"/>
          </w:tcPr>
          <w:p>
            <w:pPr>
              <w:spacing w:after="0"/>
              <w:rPr>
                <w:sz w:val="18"/>
                <w:szCs w:val="18"/>
                <w:color w:val="auto"/>
              </w:rPr>
            </w:pPr>
          </w:p>
        </w:tc>
        <w:tc>
          <w:tcPr>
            <w:tcW w:w="22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Vesting (#)</w:t>
            </w:r>
          </w:p>
        </w:tc>
        <w:tc>
          <w:tcPr>
            <w:tcW w:w="1300" w:type="dxa"/>
            <w:vAlign w:val="bottom"/>
          </w:tcPr>
          <w:p>
            <w:pPr>
              <w:jc w:val="center"/>
              <w:ind w:right="300"/>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w:t>
            </w:r>
            <w:r>
              <w:rPr>
                <w:rFonts w:ascii="Times New Roman" w:cs="Times New Roman" w:eastAsia="Times New Roman" w:hAnsi="Times New Roman"/>
                <w:sz w:val="9"/>
                <w:szCs w:val="9"/>
                <w:b w:val="1"/>
                <w:bCs w:val="1"/>
                <w:color w:val="auto"/>
                <w:w w:val="93"/>
              </w:rPr>
              <w:t>(2)</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1,358,856</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166,803,526</w:t>
            </w:r>
          </w:p>
        </w:tc>
        <w:tc>
          <w:tcPr>
            <w:tcW w:w="1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18,998,514</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Obstler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13,666,125</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15,253,379</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Lê-Quôc</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1,666,440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203,275,689</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16,815,766</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14,446,605</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13,342,334</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exercise is based on the closing price of our Class A common stock on the date of exercise minus the exercise price and does not reflect actual proceeds received.</w:t>
      </w:r>
    </w:p>
    <w:p>
      <w:pPr>
        <w:spacing w:after="0" w:line="2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is determined by multiplying the number of vested restricted stock units by the closing price of our Class A common stock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in the section titled, “Other Features of Our Executive Compensation Program—Executive Severance Agreements,” assuming their employment was terminated as of December 31, 2025, including in connection with a change in control as of 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Base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1"/>
                <w:szCs w:val="11"/>
                <w:color w:val="auto"/>
              </w:rPr>
            </w:pPr>
          </w:p>
        </w:tc>
        <w:tc>
          <w:tcPr>
            <w:tcW w:w="146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of Insurance</w:t>
            </w:r>
          </w:p>
        </w:tc>
        <w:tc>
          <w:tcPr>
            <w:tcW w:w="300" w:type="dxa"/>
            <w:vAlign w:val="bottom"/>
          </w:tcPr>
          <w:p>
            <w:pPr>
              <w:spacing w:after="0"/>
              <w:rPr>
                <w:sz w:val="11"/>
                <w:szCs w:val="11"/>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21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20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r>
              <w:rPr>
                <w:rFonts w:ascii="Times New Roman" w:cs="Times New Roman" w:eastAsia="Times New Roman" w:hAnsi="Times New Roman"/>
                <w:sz w:val="17"/>
                <w:szCs w:val="17"/>
                <w:b w:val="1"/>
                <w:bCs w:val="1"/>
                <w:color w:val="auto"/>
                <w:w w:val="96"/>
                <w:vertAlign w:val="superscript"/>
              </w:rPr>
              <w:t>(1)</w:t>
            </w: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4"/>
        </w:trPr>
        <w:tc>
          <w:tcPr>
            <w:tcW w:w="24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Olivier Pomel</w:t>
            </w:r>
          </w:p>
        </w:tc>
        <w:tc>
          <w:tcPr>
            <w:tcW w:w="1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Termination without Cause</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with Good Reason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455,237</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or with Good Reason in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connection with a CIC</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38,590,154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39,500,628</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David Obstler</w:t>
            </w:r>
          </w:p>
        </w:tc>
        <w:tc>
          <w:tcPr>
            <w:tcW w:w="100" w:type="dxa"/>
            <w:vAlign w:val="bottom"/>
          </w:tcPr>
          <w:p>
            <w:pPr>
              <w:spacing w:after="0"/>
              <w:rPr>
                <w:sz w:val="15"/>
                <w:szCs w:val="15"/>
                <w:color w:val="auto"/>
              </w:rPr>
            </w:pPr>
          </w:p>
        </w:tc>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 with Good Reason</w:t>
            </w:r>
          </w:p>
        </w:tc>
        <w:tc>
          <w:tcPr>
            <w:tcW w:w="20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667,940</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or with Good Reason in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connection with a CIC</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25,185,620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26,096,500</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Alexis Lê-Quôc</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with Good Reason</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449,618</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or with Good Reason in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connection with a CIC</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31,955,202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32,854,439</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Adam Blitzer</w:t>
            </w:r>
          </w:p>
        </w:tc>
        <w:tc>
          <w:tcPr>
            <w:tcW w:w="100" w:type="dxa"/>
            <w:vAlign w:val="bottom"/>
          </w:tcPr>
          <w:p>
            <w:pPr>
              <w:spacing w:after="0"/>
              <w:rPr>
                <w:sz w:val="15"/>
                <w:szCs w:val="15"/>
                <w:color w:val="auto"/>
              </w:rPr>
            </w:pPr>
          </w:p>
        </w:tc>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 with Good Reason</w:t>
            </w:r>
          </w:p>
        </w:tc>
        <w:tc>
          <w:tcPr>
            <w:tcW w:w="20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455,237</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or with Good Reason in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connection with a CIC</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22,372,667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23,283,141</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Sean Walters</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with Good Reason</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492,940</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Termination without Cause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or with Good Reason in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connection with a CIC</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21,889,494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22,875,374</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500" w:hanging="492"/>
        <w:spacing w:after="0" w:line="261"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accelerated vesting of unvested RSUs and PSUs for which performance targets have been achieved and certified by the compensation committee is based upon the closing price of our Class A Common Stock on December 31, 2025, as reported on Nasdaq, multiplied by the number of unvested RSUs and PSUs. Amounts related to PSUs for which performance targets have been achieved, but remain subject to certification by the compensation committee as of December 31, 2025 have been excluded from the calculations. See “2025 Executive Compensation Program— Equity Awards” and “Other Features of Our Executive Compensation Program—Severance and Change in Control Benefits” for the vesting and acceleration condition applicable to these awards.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2"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change in control severance payments and benefits based on a double-trigger arrangement, which assumes the employment of the named executive officer is terminated without “cause” or resigns for “good reason” (as such terms are defined in the named executive officer’s executive severance agreements) in connection with, or within three months prior to or 12 months following, a change of control of Datadog.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37"/>
        </w:trPr>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(b) Weighted</w:t>
            </w: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7"/>
        </w:trPr>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00" w:type="dxa"/>
            <w:vAlign w:val="bottom"/>
          </w:tcPr>
          <w:p>
            <w:pPr>
              <w:spacing w:after="0"/>
              <w:rPr>
                <w:sz w:val="11"/>
                <w:szCs w:val="11"/>
                <w:color w:val="auto"/>
              </w:rPr>
            </w:pPr>
          </w:p>
        </w:tc>
        <w:tc>
          <w:tcPr>
            <w:tcW w:w="17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203"/>
        </w:trPr>
        <w:tc>
          <w:tcPr>
            <w:tcW w:w="5580" w:type="dxa"/>
            <w:vAlign w:val="bottom"/>
            <w:gridSpan w:val="2"/>
            <w:vMerge w:val="continue"/>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7"/>
                <w:szCs w:val="17"/>
                <w:color w:val="auto"/>
              </w:rPr>
            </w:pPr>
          </w:p>
        </w:tc>
        <w:tc>
          <w:tcPr>
            <w:tcW w:w="172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and Rights</w:t>
            </w:r>
            <w:r>
              <w:rPr>
                <w:rFonts w:ascii="Times New Roman" w:cs="Times New Roman" w:eastAsia="Times New Roman" w:hAnsi="Times New Roman"/>
                <w:sz w:val="18"/>
                <w:szCs w:val="18"/>
                <w:b w:val="1"/>
                <w:bCs w:val="1"/>
                <w:color w:val="auto"/>
                <w:w w:val="98"/>
                <w:vertAlign w:val="superscript"/>
              </w:rPr>
              <w:t>(2)</w:t>
            </w:r>
          </w:p>
        </w:tc>
        <w:tc>
          <w:tcPr>
            <w:tcW w:w="18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in Column (a))</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20,174,662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116,083,659</w:t>
            </w:r>
          </w:p>
        </w:tc>
        <w:tc>
          <w:tcPr>
            <w:tcW w:w="0" w:type="dxa"/>
            <w:vAlign w:val="bottom"/>
          </w:tcPr>
          <w:p>
            <w:pPr>
              <w:spacing w:after="0"/>
              <w:rPr>
                <w:sz w:val="1"/>
                <w:szCs w:val="1"/>
                <w:color w:val="auto"/>
              </w:rPr>
            </w:pP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492"/>
        <w:spacing w:after="0" w:line="261"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2012 Plan and the 2019 Plan, but does not include future rights to purchase Class A common stock under our 2019 Employee Stock Purchase Plan (“2019 ESPP”), which depend on a number of factors described in our 2019 ESPP and will not be determined until the end of the applicable purchase period.</w:t>
      </w:r>
    </w:p>
    <w:p>
      <w:pPr>
        <w:ind w:left="480" w:hanging="472"/>
        <w:spacing w:after="0"/>
        <w:tabs>
          <w:tab w:leader="none" w:pos="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any outstanding RSU and PSU awards, which have no exercise price.</w:t>
      </w:r>
    </w:p>
    <w:p>
      <w:pPr>
        <w:spacing w:after="0" w:line="14" w:lineRule="exact"/>
        <w:rPr>
          <w:rFonts w:ascii="Times New Roman" w:cs="Times New Roman" w:eastAsia="Times New Roman" w:hAnsi="Times New Roman"/>
          <w:sz w:val="14"/>
          <w:szCs w:val="14"/>
          <w:color w:val="auto"/>
        </w:rPr>
      </w:pPr>
    </w:p>
    <w:p>
      <w:pPr>
        <w:ind w:left="500" w:right="20" w:hanging="492"/>
        <w:spacing w:after="0" w:line="283"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92,889,210 shares available for future issuance under the 2019 Plan and 23,194,449 shares available for future issuance under 2019 ESPP. Stock options or other stock awards granted under the 2012 Plan that are forfeited, terminated, expired or repurchased become available for issuance under the 2019 Plan.</w:t>
      </w:r>
    </w:p>
    <w:p>
      <w:pPr>
        <w:spacing w:after="0" w:line="66" w:lineRule="exact"/>
        <w:rPr>
          <w:rFonts w:ascii="Times New Roman" w:cs="Times New Roman" w:eastAsia="Times New Roman" w:hAnsi="Times New Roman"/>
          <w:sz w:val="14"/>
          <w:szCs w:val="14"/>
          <w:color w:val="auto"/>
        </w:rPr>
      </w:pPr>
    </w:p>
    <w:p>
      <w:pPr>
        <w:jc w:val="both"/>
        <w:ind w:left="50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2019 Plan provides that the total number of shares of our Class A common stock reserved for issuance thereunder will automatically increase on January 1st of each year for a period of ten years commencing on January 1, 2020 and ending on (and including) January 1, 2029, in an amount equal to 5% of the total number of shares of capital stock outstanding on December 31</w:t>
      </w:r>
      <w:r>
        <w:rPr>
          <w:rFonts w:ascii="Times New Roman" w:cs="Times New Roman" w:eastAsia="Times New Roman" w:hAnsi="Times New Roman"/>
          <w:sz w:val="9"/>
          <w:szCs w:val="9"/>
          <w:color w:val="auto"/>
        </w:rPr>
        <w:t>st</w:t>
      </w:r>
      <w:r>
        <w:rPr>
          <w:rFonts w:ascii="Times New Roman" w:cs="Times New Roman" w:eastAsia="Times New Roman" w:hAnsi="Times New Roman"/>
          <w:sz w:val="14"/>
          <w:szCs w:val="14"/>
          <w:color w:val="auto"/>
        </w:rPr>
        <w:t xml:space="preserve"> of the preceding year; or such lesser number of shares of Class A common stock as determined by our board of directors prior to January 1st of a given year. In addition, the 2019 ESPP provides that the total number of shares of our Class A common stock reserved for issuance thereunder will automatically increase on January 1st of each year for a period of up to ten years commencing on January 1, 2020 and ending on (and including) January 1, 2029, in an amount equal to the lesser of (i) 1% of the total number of shares of capital stock outstanding on December 31st of the preceding year, and (ii) 10,087,500 shares of Class A common stock; or such lesser number of shares of Class A common stock as determined by our board of directors prior to January 1st of a given year.</w:t>
      </w:r>
    </w:p>
    <w:p>
      <w:pPr>
        <w:spacing w:after="0" w:line="83" w:lineRule="exact"/>
        <w:rPr>
          <w:rFonts w:ascii="Times New Roman" w:cs="Times New Roman" w:eastAsia="Times New Roman" w:hAnsi="Times New Roman"/>
          <w:sz w:val="14"/>
          <w:szCs w:val="14"/>
          <w:color w:val="auto"/>
        </w:rPr>
      </w:pPr>
    </w:p>
    <w:p>
      <w:pPr>
        <w:ind w:left="50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Accordingly, on January 1, 2026, the number of shares of Class A common stock available for issuance under the 2019 Plan and the 2019 ESPP increased by 17,626,298 shares and 3,525,259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to our Chief Executive Officer and our other named executive officers and certain aspects of our financial performance. Compensation actually paid was calculated for purposes of this disclosure in accordance with the applicable SEC rules and does not reflect the actual amount of compensation earned by or paid to our Chief Executive Officer or our other named executive officers during the applicable years. The compensation committee does not use compensation actually paid as a basis for making compensation decisions. For information concerning how and why our compensation committee arrived at specific compensation decisions for 2025, please refer to “Executive Compensation – Compensation Discussion and Analysis.”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5"/>
                <w:szCs w:val="15"/>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40" w:type="dxa"/>
            <w:vAlign w:val="bottom"/>
          </w:tcPr>
          <w:p>
            <w:pPr>
              <w:spacing w:after="0"/>
              <w:rPr>
                <w:sz w:val="15"/>
                <w:szCs w:val="15"/>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non-CEO</w:t>
            </w:r>
          </w:p>
        </w:tc>
        <w:tc>
          <w:tcPr>
            <w:tcW w:w="15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3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8"/>
              <w:spacing w:after="0" w:line="202" w:lineRule="exact"/>
              <w:rPr>
                <w:sz w:val="20"/>
                <w:szCs w:val="20"/>
                <w:color w:val="auto"/>
              </w:rPr>
            </w:pPr>
            <w:r>
              <w:rPr>
                <w:rFonts w:ascii="Times New Roman" w:cs="Times New Roman" w:eastAsia="Times New Roman" w:hAnsi="Times New Roman"/>
                <w:sz w:val="14"/>
                <w:szCs w:val="14"/>
                <w:b w:val="1"/>
                <w:bCs w:val="1"/>
                <w:color w:val="auto"/>
                <w:w w:val="96"/>
              </w:rPr>
              <w:t>CEO ($)</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7"/>
              <w:spacing w:after="0" w:line="202" w:lineRule="exact"/>
              <w:rPr>
                <w:sz w:val="20"/>
                <w:szCs w:val="20"/>
                <w:color w:val="auto"/>
              </w:rPr>
            </w:pPr>
            <w:r>
              <w:rPr>
                <w:rFonts w:ascii="Times New Roman" w:cs="Times New Roman" w:eastAsia="Times New Roman" w:hAnsi="Times New Roman"/>
                <w:sz w:val="14"/>
                <w:szCs w:val="14"/>
                <w:b w:val="1"/>
                <w:bCs w:val="1"/>
                <w:color w:val="auto"/>
                <w:w w:val="96"/>
              </w:rPr>
              <w:t>CEO ($)</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3"/>
              <w:spacing w:after="0" w:line="202" w:lineRule="exact"/>
              <w:rPr>
                <w:sz w:val="20"/>
                <w:szCs w:val="20"/>
                <w:color w:val="auto"/>
              </w:rPr>
            </w:pPr>
            <w:r>
              <w:rPr>
                <w:rFonts w:ascii="Times New Roman" w:cs="Times New Roman" w:eastAsia="Times New Roman" w:hAnsi="Times New Roman"/>
                <w:sz w:val="14"/>
                <w:szCs w:val="14"/>
                <w:b w:val="1"/>
                <w:bCs w:val="1"/>
                <w:color w:val="auto"/>
                <w:w w:val="97"/>
              </w:rPr>
              <w:t>NEOs ($)</w:t>
            </w:r>
            <w:r>
              <w:rPr>
                <w:rFonts w:ascii="Times New Roman" w:cs="Times New Roman" w:eastAsia="Times New Roman" w:hAnsi="Times New Roman"/>
                <w:sz w:val="18"/>
                <w:szCs w:val="18"/>
                <w:b w:val="1"/>
                <w:bCs w:val="1"/>
                <w:color w:val="auto"/>
                <w:w w:val="97"/>
                <w:vertAlign w:val="superscript"/>
              </w:rPr>
              <w:t>(3)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7"/>
              <w:spacing w:after="0" w:line="202" w:lineRule="exact"/>
              <w:rPr>
                <w:sz w:val="20"/>
                <w:szCs w:val="20"/>
                <w:color w:val="auto"/>
              </w:rPr>
            </w:pPr>
            <w:r>
              <w:rPr>
                <w:rFonts w:ascii="Times New Roman" w:cs="Times New Roman" w:eastAsia="Times New Roman" w:hAnsi="Times New Roman"/>
                <w:sz w:val="14"/>
                <w:szCs w:val="14"/>
                <w:b w:val="1"/>
                <w:bCs w:val="1"/>
                <w:color w:val="auto"/>
                <w:w w:val="98"/>
              </w:rPr>
              <w:t>CEO NEOs ($)</w:t>
            </w:r>
            <w:r>
              <w:rPr>
                <w:rFonts w:ascii="Times New Roman" w:cs="Times New Roman" w:eastAsia="Times New Roman" w:hAnsi="Times New Roman"/>
                <w:sz w:val="18"/>
                <w:szCs w:val="18"/>
                <w:b w:val="1"/>
                <w:bCs w:val="1"/>
                <w:color w:val="auto"/>
                <w:w w:val="98"/>
                <w:vertAlign w:val="superscript"/>
              </w:rPr>
              <w:t>(4)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18"/>
                <w:szCs w:val="18"/>
                <w:b w:val="1"/>
                <w:bCs w:val="1"/>
                <w:color w:val="auto"/>
                <w:w w:val="95"/>
                <w:vertAlign w:val="superscript"/>
              </w:rPr>
              <w:t>(5)</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Return</w:t>
            </w:r>
            <w:r>
              <w:rPr>
                <w:rFonts w:ascii="Times New Roman" w:cs="Times New Roman" w:eastAsia="Times New Roman" w:hAnsi="Times New Roman"/>
                <w:sz w:val="18"/>
                <w:szCs w:val="18"/>
                <w:b w:val="1"/>
                <w:bCs w:val="1"/>
                <w:color w:val="auto"/>
                <w:w w:val="98"/>
                <w:vertAlign w:val="superscript"/>
              </w:rPr>
              <w:t>(6)</w:t>
            </w:r>
          </w:p>
        </w:tc>
        <w:tc>
          <w:tcPr>
            <w:tcW w:w="2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line="202" w:lineRule="exact"/>
              <w:rPr>
                <w:sz w:val="20"/>
                <w:szCs w:val="20"/>
                <w:color w:val="auto"/>
              </w:rPr>
            </w:pPr>
            <w:r>
              <w:rPr>
                <w:rFonts w:ascii="Times New Roman" w:cs="Times New Roman" w:eastAsia="Times New Roman" w:hAnsi="Times New Roman"/>
                <w:sz w:val="14"/>
                <w:szCs w:val="14"/>
                <w:b w:val="1"/>
                <w:bCs w:val="1"/>
                <w:color w:val="auto"/>
                <w:w w:val="98"/>
              </w:rPr>
              <w:t>($ Millions)</w:t>
            </w:r>
            <w:r>
              <w:rPr>
                <w:rFonts w:ascii="Times New Roman" w:cs="Times New Roman" w:eastAsia="Times New Roman" w:hAnsi="Times New Roman"/>
                <w:sz w:val="18"/>
                <w:szCs w:val="18"/>
                <w:b w:val="1"/>
                <w:bCs w:val="1"/>
                <w:color w:val="auto"/>
                <w:w w:val="98"/>
                <w:vertAlign w:val="superscript"/>
              </w:rPr>
              <w:t>(7)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5"/>
              <w:spacing w:after="0" w:line="202" w:lineRule="exact"/>
              <w:rPr>
                <w:sz w:val="20"/>
                <w:szCs w:val="20"/>
                <w:color w:val="auto"/>
              </w:rPr>
            </w:pPr>
            <w:r>
              <w:rPr>
                <w:rFonts w:ascii="Times New Roman" w:cs="Times New Roman" w:eastAsia="Times New Roman" w:hAnsi="Times New Roman"/>
                <w:sz w:val="14"/>
                <w:szCs w:val="14"/>
                <w:b w:val="1"/>
                <w:bCs w:val="1"/>
                <w:color w:val="auto"/>
                <w:w w:val="98"/>
              </w:rPr>
              <w:t>($ Millions)</w:t>
            </w:r>
            <w:r>
              <w:rPr>
                <w:rFonts w:ascii="Times New Roman" w:cs="Times New Roman" w:eastAsia="Times New Roman" w:hAnsi="Times New Roman"/>
                <w:sz w:val="18"/>
                <w:szCs w:val="18"/>
                <w:b w:val="1"/>
                <w:bCs w:val="1"/>
                <w:color w:val="auto"/>
                <w:w w:val="98"/>
                <w:vertAlign w:val="superscript"/>
              </w:rPr>
              <w:t>(8)</w:t>
            </w:r>
          </w:p>
        </w:tc>
        <w:tc>
          <w:tcPr>
            <w:tcW w:w="0" w:type="dxa"/>
            <w:vAlign w:val="bottom"/>
          </w:tcPr>
          <w:p>
            <w:pPr>
              <w:spacing w:after="0"/>
              <w:rPr>
                <w:sz w:val="1"/>
                <w:szCs w:val="1"/>
                <w:color w:val="auto"/>
              </w:rPr>
            </w:pPr>
          </w:p>
        </w:tc>
      </w:tr>
      <w:tr>
        <w:trPr>
          <w:trHeight w:val="250"/>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27,055,482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50,088,037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15,628,429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27,836,881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19,842,554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29,463,769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16,774,715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23,980,392</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57"/>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11,644,934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33,077,635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10,196,713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25,279,012</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11,249,243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(85,747,704)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11,665,984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(32,708,200)</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3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8,632,636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107,014,429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10,849,308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60,711,468</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compensation reported for Mr. Pomel for each applicable year in the “Summary Compensation Table”.</w:t>
      </w:r>
    </w:p>
    <w:p>
      <w:pPr>
        <w:spacing w:after="0" w:line="1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adjustments were made to Mr. Pomel’s total compensation for each applicable year to determine the compensation actually paid: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Plus (or less): Year over</w:t>
            </w: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Plus: Year End Fair Value</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Change in Fair</w:t>
            </w: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Less: Summary</w:t>
            </w:r>
          </w:p>
        </w:tc>
        <w:tc>
          <w:tcPr>
            <w:tcW w:w="12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Outstanding and</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Outstanding</w:t>
            </w: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Plus (or less): Change in Fair Value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2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 Equity Awards</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Unvested Equity</w:t>
            </w: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Equity Awards Granted in Prior</w:t>
            </w:r>
          </w:p>
        </w:tc>
        <w:tc>
          <w:tcPr>
            <w:tcW w:w="14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 Awards and</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 in Covered Fiscal</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Granted in Prior</w:t>
            </w: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that Vested in Covered</w:t>
            </w:r>
          </w:p>
        </w:tc>
        <w:tc>
          <w:tcPr>
            <w:tcW w:w="14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Actually Paid to</w:t>
            </w:r>
          </w:p>
        </w:tc>
      </w:tr>
      <w:tr>
        <w:trPr>
          <w:trHeight w:val="190"/>
        </w:trPr>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for CEO ($)</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Years ($)</w:t>
            </w:r>
          </w:p>
        </w:tc>
        <w:tc>
          <w:tcPr>
            <w:tcW w:w="400" w:type="dxa"/>
            <w:vAlign w:val="bottom"/>
          </w:tcPr>
          <w:p>
            <w:pPr>
              <w:spacing w:after="0"/>
              <w:rPr>
                <w:sz w:val="16"/>
                <w:szCs w:val="16"/>
                <w:color w:val="auto"/>
              </w:rPr>
            </w:pP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Fiscal Year ($)</w:t>
            </w:r>
          </w:p>
        </w:tc>
        <w:tc>
          <w:tcPr>
            <w:tcW w:w="140" w:type="dxa"/>
            <w:vAlign w:val="bottom"/>
          </w:tcPr>
          <w:p>
            <w:pPr>
              <w:spacing w:after="0"/>
              <w:rPr>
                <w:sz w:val="16"/>
                <w:szCs w:val="16"/>
                <w:color w:val="auto"/>
              </w:rPr>
            </w:pPr>
          </w:p>
        </w:tc>
        <w:tc>
          <w:tcPr>
            <w:tcW w:w="12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CEO ($)</w:t>
            </w:r>
          </w:p>
        </w:tc>
      </w:tr>
      <w:tr>
        <w:trPr>
          <w:trHeight w:val="23"/>
        </w:trPr>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27,055,482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25,831,947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52,140,606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(1,076,172)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50,088,037</w:t>
            </w:r>
          </w:p>
        </w:tc>
      </w:tr>
      <w:tr>
        <w:trPr>
          <w:trHeight w:val="25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19,842,554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19,049,976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24,851,429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29,463,769</w:t>
            </w:r>
          </w:p>
        </w:tc>
      </w:tr>
      <w:tr>
        <w:trPr>
          <w:trHeight w:val="257"/>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11,644,934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10,908,938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20,302,262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6,859,862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33,077,635</w:t>
            </w:r>
          </w:p>
        </w:tc>
      </w:tr>
      <w:tr>
        <w:trPr>
          <w:trHeight w:val="25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11,249,243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10,248,721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6,895,767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(51,079,647)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(42,564,346)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(85,747,704)</w:t>
            </w:r>
          </w:p>
        </w:tc>
      </w:tr>
      <w:tr>
        <w:trPr>
          <w:trHeight w:val="234"/>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8,632,636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7,405,809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14,934,880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77,786,712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107,014,429</w:t>
            </w:r>
          </w:p>
        </w:tc>
      </w:tr>
      <w:tr>
        <w:trPr>
          <w:trHeight w:val="22"/>
        </w:trPr>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14"/>
          <w:szCs w:val="14"/>
          <w:color w:val="auto"/>
        </w:rPr>
        <w:t>In the table above, grant date fair values are computed in accordance with ASC Topic 718. Stock option grant date fair values reflected in the Summary Compensation Table were estimated using the Black-Scholes option pricing model as of the date of grant. Adjustments have been made using stock option fair values as of each measurement date, which may be either year end or as of each date of vesting, using the stock price and updated assumptions as of the measurement date. Assumptions include expected term, stock price volatility,</w:t>
      </w:r>
    </w:p>
    <w:p>
      <w:pPr>
        <w:spacing w:after="0" w:line="1" w:lineRule="exact"/>
        <w:rPr>
          <w:sz w:val="20"/>
          <w:szCs w:val="20"/>
          <w:color w:val="auto"/>
        </w:rPr>
      </w:pPr>
    </w:p>
    <w:p>
      <w:pPr>
        <w:jc w:val="both"/>
        <w:ind w:left="500"/>
        <w:spacing w:after="0" w:line="231" w:lineRule="auto"/>
        <w:rPr>
          <w:sz w:val="20"/>
          <w:szCs w:val="20"/>
          <w:color w:val="auto"/>
        </w:rPr>
      </w:pPr>
      <w:r>
        <w:rPr>
          <w:rFonts w:ascii="Times New Roman" w:cs="Times New Roman" w:eastAsia="Times New Roman" w:hAnsi="Times New Roman"/>
          <w:sz w:val="14"/>
          <w:szCs w:val="14"/>
          <w:color w:val="auto"/>
        </w:rPr>
        <w:t>dividend yield and risk free interest rates. PSU grant date fair values reflected in the Summary Compensation Table were calculated using the stock price as of the date of grant assuming target performance. Adjustments have been made using the stock price and the probable outcome of the performance metric as of each measurement date, which may be either year end</w:t>
      </w:r>
    </w:p>
    <w:p>
      <w:pPr>
        <w:spacing w:after="0" w:line="1" w:lineRule="exact"/>
        <w:rPr>
          <w:sz w:val="20"/>
          <w:szCs w:val="20"/>
          <w:color w:val="auto"/>
        </w:rPr>
      </w:pPr>
    </w:p>
    <w:p>
      <w:pPr>
        <w:jc w:val="both"/>
        <w:ind w:left="500" w:right="20"/>
        <w:spacing w:after="0" w:line="241" w:lineRule="auto"/>
        <w:rPr>
          <w:sz w:val="20"/>
          <w:szCs w:val="20"/>
          <w:color w:val="auto"/>
        </w:rPr>
      </w:pPr>
      <w:r>
        <w:rPr>
          <w:rFonts w:ascii="Times New Roman" w:cs="Times New Roman" w:eastAsia="Times New Roman" w:hAnsi="Times New Roman"/>
          <w:sz w:val="14"/>
          <w:szCs w:val="14"/>
          <w:color w:val="auto"/>
        </w:rPr>
        <w:t>or as of each date of vesting. RSU grant date fair values reflected in the Summary Compensation Table were calculated using the stock price as of the date of grant. Adjustments have been made using the stock price as of each measurement date, which may be either year end or as of each date of vesting. The assumptions used in calculating the grant date fair value of the stock options, RSUs and PSUs are set forth in the notes to our audited consolidated financial statements included in our Annual Report on Form 10-K for each applicable year.</w:t>
      </w:r>
    </w:p>
    <w:p>
      <w:pPr>
        <w:spacing w:after="0" w:line="1" w:lineRule="exact"/>
        <w:rPr>
          <w:sz w:val="20"/>
          <w:szCs w:val="20"/>
          <w:color w:val="auto"/>
        </w:rPr>
      </w:pPr>
    </w:p>
    <w:p>
      <w:pPr>
        <w:jc w:val="both"/>
        <w:ind w:left="500" w:hanging="492"/>
        <w:spacing w:after="0" w:line="247" w:lineRule="auto"/>
        <w:tabs>
          <w:tab w:leader="none" w:pos="4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of the total compensation reported for our named executive officers as a group (excluding Mr. Pomel) for each applicable year in the Summary Compensation Table. The names of each named executive officer included for each applicable year are as follows: (i) 2025, Mr. Obstler, Mr. Blitzer, Mr. Lê-Quôc and Mr. Walters; (ii) 2024, Mr. Obstler, Mr. Blitzer, Mr. Lê-Quôc and Dr. Li; (iii) 2023 and 2022, Mr. Obstler, Mr. Lê-Quôc, Mr. Agarwal, and Mr. Walters and (iv) 2021, Mr. Obstler, Mr. Lê-Quôc, Mr. Agarwal and Mr. Blitzer.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hanging="492"/>
        <w:spacing w:after="0" w:line="282"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adjustments were made to the average amount of total compensation for each applicable year to determine the average compensation actually paid to our named executive officers as a group (excluding Mr. Pomel), calculated using the same methodology and assumptions as described in footnote 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Plus: Average Year End</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Plus (or less): Average Year</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Plus (or less): Average</w:t>
            </w: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over Year Change in Fair</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Less: Average Summary</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 and</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Outstanding and</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Awards Granted</w:t>
            </w: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Unvested Equity</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Equity Awards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Prior Fiscal Years that</w:t>
            </w:r>
          </w:p>
        </w:tc>
        <w:tc>
          <w:tcPr>
            <w:tcW w:w="140" w:type="dxa"/>
            <w:vAlign w:val="bottom"/>
          </w:tcPr>
          <w:p>
            <w:pPr>
              <w:spacing w:after="0"/>
              <w:rPr>
                <w:sz w:val="14"/>
                <w:szCs w:val="14"/>
                <w:color w:val="auto"/>
              </w:rPr>
            </w:pPr>
          </w:p>
        </w:tc>
        <w:tc>
          <w:tcPr>
            <w:tcW w:w="16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Average Compensation</w:t>
            </w:r>
          </w:p>
        </w:tc>
      </w:t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for non-CEO</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Awards and Option</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 in Prior Fiscal</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Vested in Covered Fiscal</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 non-CEO</w:t>
            </w:r>
          </w:p>
        </w:tc>
      </w:tr>
      <w:tr>
        <w:trPr>
          <w:trHeight w:val="190"/>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4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Awards ($)</w:t>
            </w: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Covered Fiscal Year ($)</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w:t>
            </w:r>
          </w:p>
        </w:tc>
        <w:tc>
          <w:tcPr>
            <w:tcW w:w="12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w:t>
            </w:r>
          </w:p>
        </w:tc>
        <w:tc>
          <w:tcPr>
            <w:tcW w:w="140" w:type="dxa"/>
            <w:vAlign w:val="bottom"/>
          </w:tcPr>
          <w:p>
            <w:pPr>
              <w:spacing w:after="0"/>
              <w:rPr>
                <w:sz w:val="16"/>
                <w:szCs w:val="16"/>
                <w:color w:val="auto"/>
              </w:rPr>
            </w:pPr>
          </w:p>
        </w:tc>
        <w:tc>
          <w:tcPr>
            <w:tcW w:w="16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NEOs ($)</w:t>
            </w:r>
          </w:p>
        </w:tc>
      </w:tr>
      <w:tr>
        <w:trPr>
          <w:trHeight w:val="23"/>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15,628,429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14,494,531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29,256,549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8"/>
              </w:rPr>
              <w:t>27,836,881</w:t>
            </w:r>
          </w:p>
        </w:tc>
      </w:tr>
      <w:tr>
        <w:trPr>
          <w:trHeight w:val="23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16,017,439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20,834,219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8"/>
              </w:rPr>
              <w:t>23,980,392</w:t>
            </w:r>
          </w:p>
        </w:tc>
      </w:tr>
      <w:tr>
        <w:trPr>
          <w:trHeight w:val="22"/>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10,196,713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9,431,679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17,553,156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3,962,549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2,998,273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8"/>
              </w:rPr>
              <w:t>25,279,012</w:t>
            </w:r>
          </w:p>
        </w:tc>
      </w:tr>
      <w:tr>
        <w:trPr>
          <w:trHeight w:val="23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11,665,984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10,907,973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6,634,204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(20,960,631)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(32,708,200)</w:t>
            </w:r>
          </w:p>
        </w:tc>
      </w:tr>
      <w:tr>
        <w:trPr>
          <w:trHeight w:val="22"/>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4"/>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9,730,396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17,819,549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34,645,561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7,127,446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8"/>
              </w:rPr>
              <w:t>60,711,468</w:t>
            </w:r>
          </w:p>
        </w:tc>
      </w:tr>
      <w:tr>
        <w:trPr>
          <w:trHeight w:val="22"/>
        </w:trPr>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left="500" w:right="400" w:hanging="492"/>
        <w:spacing w:after="0" w:line="243"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02124"/>
        </w:rPr>
        <w:t>Represents the cumulative total shareholder return of our Class A common stock for the measurement periods ending on December 31 of each of 2025, 2024, 2023, 2022 and 2021, respectively.</w:t>
      </w:r>
    </w:p>
    <w:p>
      <w:pPr>
        <w:ind w:left="500" w:right="140" w:hanging="492"/>
        <w:spacing w:after="0" w:line="241"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02124"/>
        </w:rPr>
        <w:t>Represents the weighted cumulative total shareholder return of the Nasdaq Computer Index for the measurement periods ending on December 31 of each of 2025, 2024, 2023, 2022 and 2021, respectively.</w:t>
      </w:r>
    </w:p>
    <w:p>
      <w:pPr>
        <w:ind w:left="480" w:hanging="472"/>
        <w:spacing w:after="0"/>
        <w:tabs>
          <w:tab w:leader="none" w:pos="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income (loss) reported in our consolidated income statements in our Annual Report on Form 10-K for each applicable year.</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revenue reported in our consolidated income statements in our Annual Report on Form 10-K for each applicable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Listed below are the most important financial performance measures used by us to link executive compensation actually paid to Mr. Pomel and our other named executive officers, for 2025, to our performance. For further information regarding these financial performance measures as well as other factors used in our long-term equity incentive and performance-based cash bonus programs, please refer to “Executive Compensation — Compensation Discussion and Analysis.”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 (Unranked)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36830</wp:posOffset>
            </wp:positionV>
            <wp:extent cx="3703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03320" cy="171450"/>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Net New ARR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-127635</wp:posOffset>
            </wp:positionV>
            <wp:extent cx="3703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03320" cy="16319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Information Presented in the Pay-Versus-Performance Table</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While our executive compensation program aims to provide incentives that motivate and reward achievement of our key performance goals and align our named executive officers’ interests with those of our stockholders by linking their long-term incentive compensation opportunities to stockholder value creation and their cash incentives to our annual performance, the compensation committee does not specifically select the performance measures that it uses in our executive compensation program to align with compensation actually paid, as calculated in accordance with the applicable SEC rules. Although compensation actually paid may be impacted by the performance metrics we use in our annual cash bonus plan and the design of our PSU awards, given our significant use of long-term incentive compensation, it may fluctuate significantly from year to year.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Datadog and Peer Group TSR</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chart shows the relationships between compensation actually paid to Mr. Pomel and the average compensation actually paid to our other named executive officers as a group and the cumulative total shareholder return of our Class A common stock and the Nasdaq Computer Index for each</w:t>
      </w:r>
    </w:p>
    <w:p>
      <w:pPr>
        <w:spacing w:after="0" w:line="266" w:lineRule="auto"/>
        <w:rPr>
          <w:sz w:val="20"/>
          <w:szCs w:val="20"/>
          <w:color w:val="auto"/>
        </w:rPr>
      </w:pPr>
      <w:r>
        <w:rPr>
          <w:rFonts w:ascii="Times New Roman" w:cs="Times New Roman" w:eastAsia="Times New Roman" w:hAnsi="Times New Roman"/>
          <w:sz w:val="18"/>
          <w:szCs w:val="18"/>
          <w:color w:val="auto"/>
        </w:rPr>
        <w:t>covered fiscal year. We do not currently use total shareholder return of our Class A common stock as a financial performance measure in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-13335</wp:posOffset>
            </wp:positionV>
            <wp:extent cx="4937760" cy="2632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776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Net Income</w:t>
      </w:r>
    </w:p>
    <w:p>
      <w:pPr>
        <w:spacing w:after="0" w:line="243" w:lineRule="exact"/>
        <w:rPr>
          <w:sz w:val="20"/>
          <w:szCs w:val="20"/>
          <w:color w:val="auto"/>
        </w:rPr>
      </w:pPr>
    </w:p>
    <w:p>
      <w:pPr>
        <w:jc w:val="center"/>
        <w:ind w:left="340"/>
        <w:spacing w:after="0" w:line="250" w:lineRule="auto"/>
        <w:rPr>
          <w:sz w:val="20"/>
          <w:szCs w:val="20"/>
          <w:color w:val="auto"/>
        </w:rPr>
      </w:pPr>
      <w:r>
        <w:rPr>
          <w:rFonts w:ascii="Times New Roman" w:cs="Times New Roman" w:eastAsia="Times New Roman" w:hAnsi="Times New Roman"/>
          <w:sz w:val="18"/>
          <w:szCs w:val="18"/>
          <w:color w:val="auto"/>
        </w:rPr>
        <w:t>The following chart shows the relationship between compensation actually paid to Mr. Pomel and the average compensation actually paid to our other named executive officers as a group and our reported net income (loss) for each covered fiscal year. We do not currently use net income (loss) as a financial performance measure in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-4445</wp:posOffset>
            </wp:positionV>
            <wp:extent cx="4937760" cy="25971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7760" cy="259715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Revenue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following chart shows the relationship between compensation actually paid to Mr. Pomel and the average compensation actually paid to our other named executive officers as a group and our reported revenue for each covered fiscal year. The growth of annual revenue is a significant performance target in the design of our PSU awards granted in 2025, 2024, 2023 and 2022 and impacts the number of shares underlying those awards that are earned. While PSU awards comprised 50% of the target value of the long-term equity compensation granted to our named executive officers in 2022, compensation actually paid decreased sharply in 2022 as the price of the shares of our Class A common stock decreased during this period. Compensation actually paid, as calculated in accordance with the applicable SEC rules, includes adjusted values to unvested and vested equity awards granted in both prior and the covered fiscal years and generally fluctuates due to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903470" cy="254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0347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presented below is the ratio of the annual total compensation of our Chief Executive Officer to the annual total compensation of our median employee (except our Chief Executive Officer).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employees who were included as employees on our payroll records as of a determination date of November 30, 2025. We did not include any contractors or other non-employee workers in our employee population. We used a consistently applied compensation measure consisting of annual base salary, annual bonus or commission targets, and the grant date fair value of equity awards granted during fiscal 2025. We annualized base salary, target annual bonus and commission for any full-time and part-time employees who commenced work during fiscal 2025 to reflect a full calendar year, and non-United States employees’ pay was converted to U.S. dollar equivalents using applicable exchange rates as of the determination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fiscal year 2025 annual total compensation as determined under Item 402 of Regulation S-K for our Chief Executive Officer was $27,055,481, as reported in the 2025 Summary Compensation Table. The annual total compensation as determined under Item 402 of Regulation S-K of our median employee for fiscal 2025 was $$206,250. The ratio of our Chief Executive Officer’s annual total compensation to the median of the annual total compensation of all our employees for fiscal year 2025 is 131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non-employee directors for the year ended 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3"/>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60" w:type="dxa"/>
            <w:vAlign w:val="bottom"/>
            <w:gridSpan w:val="3"/>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8"/>
                <w:szCs w:val="18"/>
                <w:color w:val="auto"/>
              </w:rPr>
            </w:pPr>
          </w:p>
        </w:tc>
        <w:tc>
          <w:tcPr>
            <w:tcW w:w="1640" w:type="dxa"/>
            <w:vAlign w:val="bottom"/>
            <w:gridSpan w:val="3"/>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660" w:type="dxa"/>
            <w:vAlign w:val="bottom"/>
            <w:gridSpan w:val="3"/>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w w:val="91"/>
              </w:rPr>
              <w:t>Awards</w:t>
            </w:r>
            <w:r>
              <w:rPr>
                <w:rFonts w:ascii="Times New Roman" w:cs="Times New Roman" w:eastAsia="Times New Roman" w:hAnsi="Times New Roman"/>
                <w:sz w:val="18"/>
                <w:szCs w:val="18"/>
                <w:b w:val="1"/>
                <w:bCs w:val="1"/>
                <w:color w:val="auto"/>
                <w:w w:val="91"/>
                <w:vertAlign w:val="superscript"/>
              </w:rPr>
              <w:t>(1)(2)</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Amit Agarwal</w:t>
            </w:r>
            <w:r>
              <w:rPr>
                <w:rFonts w:ascii="Times New Roman" w:cs="Times New Roman" w:eastAsia="Times New Roman" w:hAnsi="Times New Roman"/>
                <w:sz w:val="23"/>
                <w:szCs w:val="23"/>
                <w:color w:val="auto"/>
                <w:vertAlign w:val="superscript"/>
              </w:rPr>
              <w:t>(3)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Titi Cole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315,898</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Callahan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332,398</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339,898</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Jacobson</w:t>
            </w:r>
            <w:r>
              <w:rPr>
                <w:rFonts w:ascii="Times New Roman" w:cs="Times New Roman" w:eastAsia="Times New Roman" w:hAnsi="Times New Roman"/>
                <w:sz w:val="9"/>
                <w:szCs w:val="9"/>
                <w:color w:val="auto"/>
              </w:rPr>
              <w:t>(3)</w:t>
            </w: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Richardson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334,898</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Shardul Shah</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318,398</w:t>
            </w: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 Vora</w:t>
            </w:r>
            <w:r>
              <w:rPr>
                <w:rFonts w:ascii="Times New Roman" w:cs="Times New Roman" w:eastAsia="Times New Roman" w:hAnsi="Times New Roman"/>
                <w:sz w:val="9"/>
                <w:szCs w:val="9"/>
                <w:color w:val="auto"/>
              </w:rPr>
              <w:t>(4)</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615,093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00" w:hanging="492"/>
        <w:spacing w:after="0" w:line="261"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RSUs granted to our non-employee directors during 2025 under our 2019 Plan, computed in accordance with ASC Topic 718, excluding the effect of estimated forfeitures. The assumptions used in calculating the grant date fair value of the RSUs reported in this column are set forth in the notes to our audited consolidated financial statements included in the Annual Report. This amount does not reflect the actual economic value that may be realized by the non-employee director.</w:t>
      </w:r>
    </w:p>
    <w:p>
      <w:pPr>
        <w:ind w:left="480" w:hanging="472"/>
        <w:spacing w:after="0"/>
        <w:tabs>
          <w:tab w:leader="none" w:pos="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aggregate number of shares underlying outstanding options and RSU awards held by each of our non-employee directors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95"/>
        </w:trPr>
        <w:tc>
          <w:tcPr>
            <w:tcW w:w="7720" w:type="dxa"/>
            <w:vAlign w:val="bottom"/>
            <w:gridSpan w:val="2"/>
            <w:vMerge w:val="continue"/>
          </w:tcPr>
          <w:p>
            <w:pPr>
              <w:spacing w:after="0"/>
              <w:rPr>
                <w:sz w:val="16"/>
                <w:szCs w:val="16"/>
                <w:color w:val="auto"/>
              </w:rPr>
            </w:pP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Amit Agarwal</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Titi Cole</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Callahan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Jacobson</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Richardson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Shardul Shah</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Ami Vora</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80" w:hanging="472"/>
        <w:spacing w:after="0"/>
        <w:tabs>
          <w:tab w:leader="none" w:pos="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Agarwal and Mr. Jacobson have waived any compensation payable under our non-employee director compensation policy described below.</w:t>
      </w:r>
    </w:p>
    <w:p>
      <w:pPr>
        <w:spacing w:after="0" w:line="1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Vora joined the board of directors in September 2025.</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Mr. Pomel, our co-founder and Chief Executive Officer, and Mr. Lê-Quôc, our co-founder and Chief Technology Officer, is also a member of our board of directors but does not receive any additional compensation for his service as a director. See the section titled “Executive Compensation” for more information regarding the compensation earned by these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Amended and Restated Non-Employee Director Compensation Policy, each of our non-employee directors is eligible to receive compensation for service on our board of directors and committees of our board of directors as set forth below. The non-employee director compensation was amended on March 16, 2026, solely to increase the size of the initial grant, and such policy as amended and restated is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Non-Employee Director Compensation Policy provides our non-employee directors with the following cash compensation for their services:</w:t>
      </w:r>
    </w:p>
    <w:p>
      <w:pPr>
        <w:spacing w:after="0" w:line="54" w:lineRule="exact"/>
        <w:rPr>
          <w:sz w:val="20"/>
          <w:szCs w:val="20"/>
          <w:color w:val="auto"/>
        </w:rPr>
      </w:pPr>
    </w:p>
    <w:p>
      <w:pPr>
        <w:ind w:left="480" w:hanging="310"/>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per year for each non-employee director;</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$74,000 per year for the lead non-employee director (if applicable) in lieu of the annual amount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 w:hanging="31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chair of the audit committee or $12,500 per year for each other member of the audit committee;</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chair of the compensation committee or $10,000 per year for each other member of the compensation committee; and</w:t>
      </w:r>
    </w:p>
    <w:p>
      <w:pPr>
        <w:spacing w:after="0" w:line="117"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per year for chair of the nominating and corporate governance committee or $6,000 per year for each other member of the nominating and corporate governance committee.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cash compensation above is payable to our eligible non-employee directors in equal quarterly installments in arrears, prorated for any partial quarter of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cash compensation structure described above, the Amended and Restated Non-Employee Director Compensation Policy provides the following equity incentive compensation program for our non-employee directors. All such equity compensation is to be granted under the 2019 Plan or any successor equity plan.</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Retainer Grant. </w:t>
      </w:r>
      <w:r>
        <w:rPr>
          <w:rFonts w:ascii="Times New Roman" w:cs="Times New Roman" w:eastAsia="Times New Roman" w:hAnsi="Times New Roman"/>
          <w:sz w:val="18"/>
          <w:szCs w:val="18"/>
          <w:color w:val="auto"/>
        </w:rPr>
        <w:t>Each non-employee director may elect to convert his or her cash compensation under the policy into an award of RSUs (the “retainer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If a non-employee director timely makes this election, each such retainer grant will be automatically granted on the first business day following the date the corresponding cash compensation otherwise would be paid under the policy. Each retainer grant will cover a number of shares of our Class A common stock equal to (A) the aggregate amount of the corresponding cash compensation otherwise payable to the non-employee director divided by</w:t>
      </w:r>
    </w:p>
    <w:p>
      <w:pPr>
        <w:spacing w:after="0" w:line="1" w:lineRule="exact"/>
        <w:rPr>
          <w:sz w:val="20"/>
          <w:szCs w:val="20"/>
          <w:color w:val="auto"/>
        </w:rPr>
      </w:pPr>
    </w:p>
    <w:p>
      <w:pPr>
        <w:jc w:val="both"/>
        <w:ind w:firstLine="8"/>
        <w:spacing w:after="0" w:line="255" w:lineRule="auto"/>
        <w:tabs>
          <w:tab w:leader="none" w:pos="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sales price per share of our Class A common stock on the date the corresponding cash compensation otherwise would be paid (or, if such date is not a business day, on the first business day thereafter), rounded down to the nearest whole share. In addition, each retainer grant will be fully vested on the grant date.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 Each non-employee director who joins our board of directors will automatically, upon the date of his or her initial election or appointment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non-employee director (or, if such date is not a business day, on the first business day thereafter), be granted a one-time, initial RSU award (the “initial grant”), covering a number of shares of our Class A common stock equal to (A) $600,000 divided by (B) the closing sales price per share of our Class A common stock on the applicable grant date, rounded down to the nearest whole share. Each initial grant will vest in three equal annual installments over the three-year period following the grant date, subject to continuous service through each applicable vesting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 On the date of each annual meeting of our stockholders, each person who is then a non-employee director of ours will automatically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an annual RSU award (the “annual grant”), covering a number of shares of our Class A common stock equal to (A) $250,000 divided by (B) the closing sales price per share of our Class A common stock on the date of the applicable annual stockholder meeting (or, if such date is not a business day, the first business day thereafter). Each annual grant will vest in full on the earlier of the one-year anniversary of the award’s grant date or the date of our next annual stockholder meeting following the award’s grant date, subject to continuous service through the vesting date.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non-employee director’s then-outstanding equity awards granted under the policy (and any other then-outstanding equity awards held by the non-employee director that were outstanding and unvested immediately prior to the date of the execution of the underwriting agreement related to our initial public offering) will become fully vested upon a change in control (as defined in our 2019 Plan), subject to the non-employee director remaining in continuous service until immediately prior to the closing of the change in control.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time Ms. Vora joined our board of directors, our non-employee director compensation policy provided that a non-employee director would automatically be granted an initial grant equal to $400,000. As an inducement for Ms. Vora to join our board of directors in a highly competitive market, in recognition of her extensive professional experience and expected contributions to the company, and in order to further align her interests with those of our stockholders, the board of directors increased the amount of her initial RSU grant under the Amended and Restated Director Compensation Policy upon her appointment from $400,000 to $600,000. Ms. Vora’s initial grant covers the number of shares of our Class A common stock equal to (A) $600,000 divided by (B) the closing sales price per share of our Class A common stock on the grant date, and will vest in three equal annual installments over the three-year period following the grant date, subject to continuous service through each applicable vesting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DELOITTE &amp; TOUCHE LLP AS OUR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selected Deloitte &amp; Touche LLP as our independent registered public accounting firm for the fiscal year ending December 31, 2026 and has further directed that management submit the selection of its independent registered public accounting firm for ratification by the stockholders at the Annual Meeting. Deloitte &amp; Touche LLP has audited our financial statements since 2016. Representatives of Deloitte &amp; Touche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Deloitte &amp; Touche LLP as our independent registered public accounting firm. However, the audit committee is submitting the selection of Deloitte &amp; Touche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Datadog and our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by Deloitte &amp; Touche LLP, the member firms of Deloitte Touche Tohmatsu Limited, and their related entities for the periods set forth below.</w:t>
      </w: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500" w:hanging="492"/>
        <w:spacing w:after="0" w:line="272" w:lineRule="auto"/>
        <w:tabs>
          <w:tab w:leader="none" w:pos="49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for professional services provided in connection with the audit of our annual consolidated financial statements, the review of our quarterly consolidated financial statements, and audit services that are normally provided by an independent registered public accounting firm in connection with statutory and regulatory filings or engagements for those fiscal years. The audit fees for fiscal year 2024 also included fees for a comfort letter and professional services provided in connection with our offering of convertible senior notes.</w:t>
      </w:r>
    </w:p>
    <w:p>
      <w:pPr>
        <w:spacing w:after="0" w:line="15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consisted of fees related to audit procedures performed in connection with acquisitions completed in fiscal year 2025.</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consisted of fees related to other non-audit consulting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approves all audit and non-audit related services that our independent registered public accounting firm provides to us before the engagement begins. Pre-approval may be given as part of our audit committee’s approval of the scope of the engagement of the independent registered public accounting firm or on an individual, explicit, case-by-case basis before the independent registered public accounting firm is engaged to provide each service.</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UR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ECOMMENDS</w:t>
      </w:r>
      <w:r>
        <w:rPr>
          <w:rFonts w:ascii="Times New Roman" w:cs="Times New Roman" w:eastAsia="Times New Roman" w:hAnsi="Times New Roman"/>
          <w:sz w:val="18"/>
          <w:szCs w:val="18"/>
          <w:b w:val="1"/>
          <w:bCs w:val="1"/>
          <w:color w:val="auto"/>
        </w:rPr>
        <w:t xml:space="preserve"> A V</w:t>
      </w:r>
      <w:r>
        <w:rPr>
          <w:rFonts w:ascii="Times New Roman" w:cs="Times New Roman" w:eastAsia="Times New Roman" w:hAnsi="Times New Roman"/>
          <w:sz w:val="13"/>
          <w:szCs w:val="13"/>
          <w:b w:val="1"/>
          <w:bCs w:val="1"/>
          <w:color w:val="auto"/>
        </w:rPr>
        <w:t>OTE</w:t>
      </w:r>
      <w:r>
        <w:rPr>
          <w:rFonts w:ascii="Times New Roman" w:cs="Times New Roman" w:eastAsia="Times New Roman" w:hAnsi="Times New Roman"/>
          <w:sz w:val="18"/>
          <w:szCs w:val="18"/>
          <w:b w:val="1"/>
          <w:bCs w:val="1"/>
          <w:color w:val="auto"/>
        </w:rPr>
        <w:t xml:space="preserve"> FOR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ATIFICATION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ELOITTE</w:t>
      </w:r>
      <w:r>
        <w:rPr>
          <w:rFonts w:ascii="Times New Roman" w:cs="Times New Roman" w:eastAsia="Times New Roman" w:hAnsi="Times New Roman"/>
          <w:sz w:val="18"/>
          <w:szCs w:val="18"/>
          <w:b w:val="1"/>
          <w:bCs w:val="1"/>
          <w:color w:val="auto"/>
        </w:rPr>
        <w:t xml:space="preserve"> &amp; T</w:t>
      </w:r>
      <w:r>
        <w:rPr>
          <w:rFonts w:ascii="Times New Roman" w:cs="Times New Roman" w:eastAsia="Times New Roman" w:hAnsi="Times New Roman"/>
          <w:sz w:val="13"/>
          <w:szCs w:val="13"/>
          <w:b w:val="1"/>
          <w:bCs w:val="1"/>
          <w:color w:val="auto"/>
        </w:rPr>
        <w:t>OUCHE</w:t>
      </w:r>
      <w:r>
        <w:rPr>
          <w:rFonts w:ascii="Times New Roman" w:cs="Times New Roman" w:eastAsia="Times New Roman" w:hAnsi="Times New Roman"/>
          <w:sz w:val="18"/>
          <w:szCs w:val="18"/>
          <w:b w:val="1"/>
          <w:bCs w:val="1"/>
          <w:color w:val="auto"/>
        </w:rPr>
        <w:t xml:space="preserve"> LLP A</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UR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3"/>
          <w:szCs w:val="13"/>
          <w:b w:val="1"/>
          <w:bCs w:val="1"/>
          <w:color w:val="auto"/>
        </w:rPr>
        <w:t>IRM</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5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STOCKHOLDER PROPOSAL REQUESTING THE ADOPTION OF A SIMPLE MAJORITY VOTING PROVISION, IF PROPERLY PRESENTED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advised by John Chevedden, 2215 Nelson Avenue, No. 205, Redondo Beach, CA 90278, who has informed the Company that he beneficially owns 40 shares of the Class A common stock, that he intends to submit the stockholder proposal set forth below at the Annual Meeting. If Mr. Chevedden, or a representative who is qualified under state law, is present at our Annual Meeting and submits the proposal for a vote, then the proposal will be voted upon. The stockholder proposal, including any supporting statements, is included exactly as submitted to us by Mr. Chevedden. The board of directors’ recommendation on the proposal is presented immediately following our opposing statement to the proposal.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Govern by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51735" cy="488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17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Shareholders request that the Board of Directors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means the closest standard to a majority of the votes cast for and against such proposals consistent with applicable laws. This proposal includes that Datadog shall state in its governing documents that it shall not have any super-majority voting standards, which includes default super-majority voting standards, upon adoption of this proposal.</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Shareholders are willing to pay a premium for shares of companies that have excellent corporate governance. The supermajority voting requirements, like those of Datadog, have been found to be one of 6 entrenching mechanisms that are negatively related to company performance according to "What Matters in Corporate Governance" by Lucien Bebchuk, Alma Cohen and Allen Ferrell of the Harvard Law School. Supermajority requirements can be used to block proposals supported by most shareowners but opposed by management.</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proposal topic won from 74% to 88% support at Weyerhaeuser, Alcoa, Waste Management, Goldman Sachs, FirstEnergy and Macy's. These votes would have been higher than 74% to 88% if more shareholders had access to independent proxy voting advice.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proposal topic received 98% support each in 2024 at annual meetings of Domino's Pizza, FMC Corporation, ConocoPhillips, Masco Corporation and Power Integrations.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vote yes: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 by Majority Vote - Proposal 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Board’s Statement of Opposition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Board has carefully considered this proposal and believes that its adoption would not be in the interests of the company and its stockholders at this time. The Board believes that the supermajority voting provisions contained in our articles of incorporation and our bylaws are appropriately limited and designed to protect all of our stockholders and promote stability and the long-term strategic focus of our Board and management team.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Supermajority Voting Provisions Are Narrowly Tailored</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our existing articles of incorporation and bylaws, most matters submitted for stockholder approval are determined by a majority of votes cast, other than the election of directors, which is determined by a plurality of votes cast.</w:t>
      </w:r>
    </w:p>
    <w:p>
      <w:pPr>
        <w:spacing w:after="0" w:line="18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provisions in our articles of incorporation and bylaws that require a greater than majority vote relate to amendments. Specifically, the affirmative vote of the holders of at least two-thirds of the voting power of our then-</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outstanding shares of common stock entitled to vote generally in the election of directors, voting together as single class, is required for the following (the “Supermajority Voting Requirements”):</w:t>
      </w:r>
    </w:p>
    <w:p>
      <w:pPr>
        <w:spacing w:after="0" w:line="54"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amendment or repeal of our bylaws by stockholders;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amendment or repeal of Article V, Article VI or Article VII of our articles of incorporation (which govern the composition and election of the Board, stockholder action by written consent, bylaw and articles of incorporation amendments, director and officer exculpation and forum selection).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believes that fundamental changes to our corporate governance that could potentially have long-lasting impacts on the company should have the support of a broad consensus of our stockholders, rather than a simple majority as this proposal requests. For this reason, our governing documents intentionally narrowly circumscribe when the Supermajority Vote Requirements apply only to amendments to certain articles of incorporation provisions and our bylaws because of their critical importance to the governance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Limited Supermajority Vote Requirements Are Designed to Preserve and Maximize Long-Term Value for All Stockholders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believes that these Supermajority Vote Requirements protect the interests of all stockholders against potentially self-interested actions by short-term investors who do not have fiduciary duties to other stockholders. For example, if the Supermajority Vote Requirements were removed and only a simple majority of votes cast applied to all matters, it would be possible for a few large stockholders, who may own their shares only as of a voting record date or may have hedged their economic exposure, and who are not bound by a fiduciary duty to act in our or our stockholders’ best interests, to make sweeping corporate governance changes for reasons that may not be in the company’s or our stockholders’ best long-term interests. Our narrow Supermajority Vote Requirements, which are limited to only matters critical to our corporate governance, are designed to avoid this result and help preserve and maximize long-term value for all our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Governance Approach Supports Our Excellent Long-Term Performance Record</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believe the effectiveness of our current corporate governance approach is demonstrated by our strong financial performance and delivery of value to our stockholders since IPO. For example, total shareholder return for the three-year period ended December 31, 2025 was 85%. In the fiscal year ending December 31, 2025, the company reported $3.43 billion in revenue, representing growth of 28% year-over-year, and 468% over the past five years. As of the fiscal year ending December 31, 2025, the company generated operating cash flow of $1,050 million, and $915 million in free cash flow. This represents operating cash flow growth of 863% over the past five years, and free cash flow growth of 999% over the past five years. For a full reconciliation of each non-GAAP financial measure to the most directly comparable financial measure stated in accordance with GAAP please see Appendix A to this proxy statement.</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our success can be attributed, in large part, to our history of investment in innovation. We have established our technology leadership through continued innovation and new products, expanding the functionality of our current platform and adding capabilities that address new market opportunities. By promoting stability in the corporate governance of the company, our Supermajority Vote Requirements have enabled our management team and Board to remain focused on making the right strategic decisions for the long-term success of the company without being diverted by short-term stockholder agendas that have disrupted and distracted other companies from executing on business plans that are in the long-term best interests of all of their stockholders. As a result, our Board, founders and management team are better able to stay focused on performance and driving innovation through investments in research and development, acquisitions, partnerships and other long-term projects that we believe will to propel the company forward as an industry leader and enable the company to continue to deliver sustainable, long-term value to our stockholders.</w:t>
      </w:r>
    </w:p>
    <w:p>
      <w:pPr>
        <w:spacing w:after="0" w:line="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Accordingly, we believe our narrowly tailored Supermajority Vote Requirements strike the appropriate balance between promoting the long-term success and stability of the company and protecting the interests and rights of all our stockholders and, therefore, that this proposal is not in the company’s or our stockholders’ best interest at this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reasons discussed above, the Board recommends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March 31, 2026 by:</w:t>
      </w:r>
    </w:p>
    <w:p>
      <w:pPr>
        <w:spacing w:after="0" w:line="117" w:lineRule="exact"/>
        <w:rPr>
          <w:sz w:val="20"/>
          <w:szCs w:val="20"/>
          <w:color w:val="auto"/>
        </w:rPr>
      </w:pPr>
    </w:p>
    <w:p>
      <w:pPr>
        <w:ind w:left="480" w:hanging="31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be beneficial owners of more than five percent of our Class A common stock or Class B common stock;</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percentage ownership is based on 330,573,793 shares of Class A common stock and 25,271,775 shares of Class B common stock outstanding as of March 31, 2026. In computing the number of shares beneficially owned by a person and the percentage ownership of such person, we deemed to be outstanding all shares subject to options, restricted stock units (“RSUs”) and performance-based restricted stock units (“PSUs”) held by the person that are currently exercisable, or exercisable or would vest based on service-based vesting conditions, as applicable, within 60 days of March 31, 2026. However, except as described above, we did not deem such shares outstanding for the purpose of computing the percentage ownership of any other person.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Datadog, Inc., 620 8th Avenue, 45th Floor, New York, New York 10018.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ind w:left="6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left="334"/>
              <w:spacing w:after="0" w:line="14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restart"/>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Borders>
              <w:bottom w:val="single" w:sz="8" w:color="auto"/>
            </w:tcBorders>
            <w:gridSpan w:val="3"/>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bottom w:val="single" w:sz="8" w:color="auto"/>
            </w:tcBorders>
            <w:gridSpan w:val="3"/>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40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8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8"/>
        </w:trPr>
        <w:tc>
          <w:tcPr>
            <w:tcW w:w="6100" w:type="dxa"/>
            <w:vAlign w:val="bottom"/>
            <w:gridSpan w:val="2"/>
            <w:vMerge w:val="continue"/>
          </w:tcPr>
          <w:p>
            <w:pPr>
              <w:spacing w:after="0"/>
              <w:rPr>
                <w:sz w:val="17"/>
                <w:szCs w:val="17"/>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28"/>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41,902,109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26,588,343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16,347,067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Olivier Pomel</w:t>
            </w:r>
            <w:r>
              <w:rPr>
                <w:rFonts w:ascii="Times New Roman" w:cs="Times New Roman" w:eastAsia="Times New Roman" w:hAnsi="Times New Roman"/>
                <w:sz w:val="23"/>
                <w:szCs w:val="23"/>
                <w:color w:val="auto"/>
                <w:vertAlign w:val="superscript"/>
              </w:rPr>
              <w:t>(4)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Obstler</w:t>
            </w:r>
            <w:r>
              <w:rPr>
                <w:rFonts w:ascii="Times New Roman" w:cs="Times New Roman" w:eastAsia="Times New Roman" w:hAnsi="Times New Roman"/>
                <w:sz w:val="23"/>
                <w:szCs w:val="23"/>
                <w:color w:val="auto"/>
                <w:vertAlign w:val="superscript"/>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Alexis Lê-Quôc</w:t>
            </w:r>
            <w:r>
              <w:rPr>
                <w:rFonts w:ascii="Times New Roman" w:cs="Times New Roman" w:eastAsia="Times New Roman" w:hAnsi="Times New Roman"/>
                <w:sz w:val="23"/>
                <w:szCs w:val="23"/>
                <w:color w:val="auto"/>
                <w:vertAlign w:val="superscript"/>
              </w:rPr>
              <w:t>(6)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Blitzer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Walters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Amit Agarwal</w:t>
            </w:r>
            <w:r>
              <w:rPr>
                <w:rFonts w:ascii="Times New Roman" w:cs="Times New Roman" w:eastAsia="Times New Roman" w:hAnsi="Times New Roman"/>
                <w:sz w:val="23"/>
                <w:szCs w:val="23"/>
                <w:color w:val="auto"/>
                <w:vertAlign w:val="superscript"/>
              </w:rPr>
              <w:t>(7)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Titi Cole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Callahan</w:t>
            </w:r>
            <w:r>
              <w:rPr>
                <w:rFonts w:ascii="Times New Roman" w:cs="Times New Roman" w:eastAsia="Times New Roman" w:hAnsi="Times New Roman"/>
                <w:sz w:val="23"/>
                <w:szCs w:val="23"/>
                <w:color w:val="auto"/>
                <w:vertAlign w:val="superscript"/>
              </w:rPr>
              <w:t>(8)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Matthew Jacobson</w:t>
            </w:r>
            <w:r>
              <w:rPr>
                <w:rFonts w:ascii="Times New Roman" w:cs="Times New Roman" w:eastAsia="Times New Roman" w:hAnsi="Times New Roman"/>
                <w:sz w:val="23"/>
                <w:szCs w:val="23"/>
                <w:color w:val="auto"/>
                <w:vertAlign w:val="superscript"/>
              </w:rPr>
              <w:t>(10)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675,558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Dominic Phillips</w:t>
            </w:r>
          </w:p>
        </w:tc>
        <w:tc>
          <w:tcPr>
            <w:tcW w:w="1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Julie Richardson</w:t>
            </w:r>
            <w:r>
              <w:rPr>
                <w:rFonts w:ascii="Times New Roman" w:cs="Times New Roman" w:eastAsia="Times New Roman" w:hAnsi="Times New Roman"/>
                <w:sz w:val="23"/>
                <w:szCs w:val="23"/>
                <w:color w:val="auto"/>
                <w:vertAlign w:val="superscript"/>
              </w:rPr>
              <w:t>(11)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Shardul Shah</w:t>
            </w:r>
            <w:r>
              <w:rPr>
                <w:rFonts w:ascii="Times New Roman" w:cs="Times New Roman" w:eastAsia="Times New Roman" w:hAnsi="Times New Roman"/>
                <w:sz w:val="23"/>
                <w:szCs w:val="23"/>
                <w:color w:val="auto"/>
                <w:vertAlign w:val="superscript"/>
              </w:rPr>
              <w:t>(12)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324,869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Ami Vora</w:t>
            </w:r>
            <w:r>
              <w:rPr>
                <w:rFonts w:ascii="Times New Roman" w:cs="Times New Roman" w:eastAsia="Times New Roman" w:hAnsi="Times New Roman"/>
                <w:sz w:val="23"/>
                <w:szCs w:val="23"/>
                <w:color w:val="auto"/>
                <w:vertAlign w:val="superscript"/>
              </w:rPr>
              <w:t>(13)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All executive officers and directors as a group (17 persons)</w:t>
            </w:r>
            <w:r>
              <w:rPr>
                <w:rFonts w:ascii="Times New Roman" w:cs="Times New Roman" w:eastAsia="Times New Roman" w:hAnsi="Times New Roman"/>
                <w:sz w:val="23"/>
                <w:szCs w:val="23"/>
                <w:color w:val="auto"/>
                <w:vertAlign w:val="superscript"/>
              </w:rPr>
              <w:t>(14)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1,930,950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21,124,123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Less than one percent.</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are entitled to ten votes per share, and holders of our Class A common stock are entitled to one vote per share.</w:t>
      </w:r>
    </w:p>
    <w:p>
      <w:pPr>
        <w:spacing w:after="0" w:line="13"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by The Vanguard Group (“Vanguard”) on October 30, 2025, which reported that Vanguard had shared</w:t>
      </w:r>
    </w:p>
    <w:p>
      <w:pPr>
        <w:spacing w:after="0" w:line="4" w:lineRule="exact"/>
        <w:rPr>
          <w:rFonts w:ascii="Times New Roman" w:cs="Times New Roman" w:eastAsia="Times New Roman" w:hAnsi="Times New Roman"/>
          <w:sz w:val="14"/>
          <w:szCs w:val="14"/>
          <w:color w:val="auto"/>
        </w:rPr>
      </w:pPr>
    </w:p>
    <w:p>
      <w:pPr>
        <w:jc w:val="both"/>
        <w:ind w:left="500" w:right="26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power over 1,929,003 shares of Class A common stock, sole dispositive power over 38,829,130 shares of Class A common stock, and shared dispositive power over 3,072,979 shares of Class A common stock. Vanguard subsequently reported that due to an internal realignment it no longer has, or is deemed to have, beneficial ownership over ordinary shares beneficially owned by Vanguard subsidiaries and business divisions. Vanguard also reported that certain subsidiaries or business divisions that formerly had, or were deemed to have, beneficial ownership with Vanguard, will report beneficial ownership separately (on a disaggregated basis). The address of Vanguard is 100 Vanguard Blvd., Malvern, PA 19355.</w:t>
      </w:r>
    </w:p>
    <w:p>
      <w:pPr>
        <w:spacing w:after="0" w:line="1" w:lineRule="exact"/>
        <w:rPr>
          <w:rFonts w:ascii="Times New Roman" w:cs="Times New Roman" w:eastAsia="Times New Roman" w:hAnsi="Times New Roman"/>
          <w:sz w:val="14"/>
          <w:szCs w:val="14"/>
          <w:color w:val="auto"/>
        </w:rPr>
      </w:pPr>
    </w:p>
    <w:p>
      <w:pPr>
        <w:ind w:left="500" w:right="160" w:hanging="492"/>
        <w:spacing w:after="0" w:line="251"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Schedule 13G/A filed by BlackRock, Inc. on October 17, 2025, which reported that BlackRock, Inc. had sole voting power over 24,752,831 shares of Class A common stock and sole dispositive power over 26,588,343 shares of Class A common stock. The address of BlackRock, Inc. is 50 Hudson Yards, New York, NY 10001.</w:t>
      </w:r>
    </w:p>
    <w:p>
      <w:pPr>
        <w:ind w:left="500" w:right="140" w:hanging="492"/>
        <w:spacing w:after="0" w:line="261"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Schedule 13G/A filed by FMR LLC on November 5, 2025, which reported that FMR LLC had sole voting power over 15,756,010 shares of Class A common stock and sole dispositive power over 16,347,067.76 shares of Class A common stock. The address of FMR LLC is 245 Summer Street, Boston, Massachusetts 02210.</w:t>
      </w:r>
    </w:p>
    <w:p>
      <w:pPr>
        <w:ind w:left="500" w:hanging="492"/>
        <w:spacing w:after="0" w:line="254"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288,481 shares of Class A common stock and 8,994,615 shares of Class B common stock held by Mr. Pomel and (b) 1,264,751 shares of Class B common stock issuable upon the exercise of options within 60 days of March 31, 2026.</w:t>
      </w:r>
    </w:p>
    <w:p>
      <w:pPr>
        <w:ind w:left="500" w:hanging="492"/>
        <w:spacing w:after="0" w:line="259"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220,926 shares of Class A common stock and 15,603 shares of Class B common stock held by Mr. Obstler and (b) 92,397 shares of Class B common stock held by the Obstler Children 2019 Trust.</w:t>
      </w:r>
    </w:p>
    <w:p>
      <w:pPr>
        <w:jc w:val="both"/>
        <w:ind w:left="500" w:hanging="492"/>
        <w:spacing w:after="0" w:line="256"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108,516 shares of Class A common stock and 2,608,734 shares of Class B common stock held by Mr. Lê-Quôc, (b) 169 shares of Class A common stock and 6,203,835 shares of Class B common stock held by the Alexis Lê-Quôc Revocable Trust, and (c) 243,750 shares of Class B common stock issuable upon the exercise of options within 60 days of March 31, 2026.</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0"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27,999 shares of Class A common stock held by Mr. Agarwal, (b) 6,541 shares of Class A and 603,434 shares of Class B common stock held by the Amit Agarwal 2019 Family Trust, (c) 1,640 shares of Class A common stock and 530,059 shares of Class B common stock held by the Amit Agarwal 2018 Family Trust and (d) 53,063 shares of Class B common stock held by Mr. Agarwal’s spouse.</w:t>
      </w:r>
    </w:p>
    <w:p>
      <w:pPr>
        <w:ind w:left="500" w:right="20" w:hanging="492"/>
        <w:spacing w:after="0" w:line="254"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17,506 shares of Class A common stock held by Mr. Callahan, (b) 12,246 shares of Class A common stock and 240,542 shares of Class B common stock held by The Callahan-Thernstrom Family Trust, and (c) 5,182 shares of Class B common stock issuable upon the exercise of options within 60 days of March 31, 2026.</w:t>
      </w:r>
    </w:p>
    <w:p>
      <w:pPr>
        <w:ind w:left="500" w:right="20" w:hanging="492"/>
        <w:spacing w:after="0" w:line="259" w:lineRule="auto"/>
        <w:tabs>
          <w:tab w:leader="none" w:pos="4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37,129 shares of Class A common stock held by Mr. Ittycheria, (b) 90,899 shares of Class A common stock held by LIDI 11 21 LLC, and (c) 240,000 shares of Class B common stock issuable upon the exercise of options within 60 days of March 31, 2026.</w:t>
      </w:r>
    </w:p>
    <w:p>
      <w:pPr>
        <w:ind w:left="500" w:hanging="492"/>
        <w:spacing w:after="0"/>
        <w:tabs>
          <w:tab w:leader="none" w:pos="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held by Mr. Jacobson through a trust of which he is trustee and another estate planning trust having an independent trustee.</w:t>
      </w:r>
    </w:p>
    <w:p>
      <w:pPr>
        <w:spacing w:after="0" w:line="14" w:lineRule="exact"/>
        <w:rPr>
          <w:rFonts w:ascii="Times New Roman" w:cs="Times New Roman" w:eastAsia="Times New Roman" w:hAnsi="Times New Roman"/>
          <w:sz w:val="14"/>
          <w:szCs w:val="14"/>
          <w:color w:val="auto"/>
        </w:rPr>
      </w:pPr>
    </w:p>
    <w:p>
      <w:pPr>
        <w:ind w:left="500" w:hanging="492"/>
        <w:spacing w:after="0" w:line="254" w:lineRule="auto"/>
        <w:tabs>
          <w:tab w:leader="none" w:pos="49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2,564 shares of Class A common stock held by Ms. Richardson and 28,128 shares of Class B common stock issuable upon the exercise of options within 60 days of March 31, 2026.</w:t>
      </w:r>
    </w:p>
    <w:p>
      <w:pPr>
        <w:ind w:left="500" w:hanging="492"/>
        <w:spacing w:after="0"/>
        <w:tabs>
          <w:tab w:leader="none" w:pos="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held by the 2019 Shah Family Trust.</w:t>
      </w:r>
    </w:p>
    <w:p>
      <w:pPr>
        <w:spacing w:after="0" w:line="11" w:lineRule="exact"/>
        <w:rPr>
          <w:rFonts w:ascii="Times New Roman" w:cs="Times New Roman" w:eastAsia="Times New Roman" w:hAnsi="Times New Roman"/>
          <w:sz w:val="14"/>
          <w:szCs w:val="14"/>
          <w:color w:val="auto"/>
        </w:rPr>
      </w:pPr>
    </w:p>
    <w:p>
      <w:pPr>
        <w:ind w:left="500" w:hanging="492"/>
        <w:spacing w:after="0" w:line="261" w:lineRule="auto"/>
        <w:tabs>
          <w:tab w:leader="none" w:pos="49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7,808 shares of Class A common stock held by a trust of which Ms. Vora’s spouse is the trustee and 1,004 shares of Class A common stock, 182 shares of Class A common stock, 174 shares of Class A common stock and 157 shares of Class A common stock held by separate trusts of which Ms. Vora in each case is the trustee.</w:t>
      </w:r>
    </w:p>
    <w:p>
      <w:pPr>
        <w:ind w:left="500" w:hanging="492"/>
        <w:spacing w:after="0"/>
        <w:tabs>
          <w:tab w:leader="none" w:pos="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1,781,811 shares of Class B common stock issuable upon the exercise of options within 60 days of March 31, 2026.</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common stock and other equity securities of Datadog. Officers, directors and greater than ten percent stockholders are required by SEC regulation to furnish us with copies of all Section 16(a) forms they file.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our knowledge, based on a review of the copies of such reports filed on the SEC’s EDGAR system and written representations that no other reports were required, during the fiscal year ended December 31, 2025, all Section 16(a) filing requirements applicable to our officers, directors and greater than ten percent beneficial owners were complied with; except that four gifts of common stock and the associated conversion of Class B common stock to Class A common stock were reported late on two Form 4 filings on behalf of Mr. Agarwal.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transactions since January 1, 2025 to which we were a party or will be a party, in which:</w:t>
      </w:r>
    </w:p>
    <w:p>
      <w:pPr>
        <w:spacing w:after="0" w:line="117" w:lineRule="exact"/>
        <w:rPr>
          <w:sz w:val="20"/>
          <w:szCs w:val="20"/>
          <w:color w:val="auto"/>
        </w:rPr>
      </w:pPr>
    </w:p>
    <w:p>
      <w:pPr>
        <w:ind w:left="480" w:hanging="310"/>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Class A common stock or Class B common stock, or any member of the immediate family of, or person sharing the household with, the foregoing persons, had or will have a direct or indirect material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 us to indemnify our directors, officers, employees and other agents to the fullest extent permitted by Nevada law. Our bylaws require us to indemnify our directors and executive officers to the fullest extent permitted by Nevada law and provide that we may indemnify our other officers, employees and other agents. Our bylaws also provide that, on satisfaction of certain conditions, we will advance expenses incurred by a director or executive officer in advance of the final disposition of any action or proceeding, and permit us to secure insurance on behalf of any executive officer, director, other officer, employee or other agent for any liability arising out of his or her actions in that capacity regardless of whether we would otherwise be permitted to indemnify him or her under the provisions of Nevada law. In addition, we have entered into an indemnification agreement with each of our directors and executive officers, which requires us to indemnify them.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year, a number of brokers with account holders who are our stockholders will likely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us via email at </w:t>
      </w:r>
      <w:r>
        <w:rPr>
          <w:rFonts w:ascii="Times New Roman" w:cs="Times New Roman" w:eastAsia="Times New Roman" w:hAnsi="Times New Roman"/>
          <w:sz w:val="18"/>
          <w:szCs w:val="18"/>
          <w:i w:val="1"/>
          <w:iCs w:val="1"/>
          <w:color w:val="auto"/>
        </w:rPr>
        <w:t>IR@datadoghq.com</w:t>
      </w:r>
      <w:r>
        <w:rPr>
          <w:rFonts w:ascii="Times New Roman" w:cs="Times New Roman" w:eastAsia="Times New Roman" w:hAnsi="Times New Roman"/>
          <w:sz w:val="18"/>
          <w:szCs w:val="18"/>
          <w:color w:val="auto"/>
        </w:rPr>
        <w:t>. Stockholders who currently receive multiple copies of the Notice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2366010" cy="643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660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Kerry Acocella</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December 31, 2025 with the SEC. It is available free of charge at the SEC’s web site at www.sec.gov. Stockholders can also access this proxy statement and our Annual Report on Form 10-K at investors.datadoghq.com. A copy of our Annual Report on Form 10-K for the fiscal year ended December 31, 2025 is also available without charge upon written request to us via email at IR@datadoghq.com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Financial Measures</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68"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5"/>
        </w:trPr>
        <w:tc>
          <w:tcPr>
            <w:tcW w:w="70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operating income (loss) and operating margin</w:t>
            </w:r>
          </w:p>
        </w:tc>
        <w:tc>
          <w:tcPr>
            <w:tcW w:w="3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income (loss)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(44,373)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Plus: Stock-based compensation expense</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750,671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360" w:type="dxa"/>
            <w:vAlign w:val="bottom"/>
          </w:tcPr>
          <w:p>
            <w:pPr>
              <w:spacing w:after="0"/>
              <w:rPr>
                <w:sz w:val="19"/>
                <w:szCs w:val="19"/>
                <w:color w:val="auto"/>
              </w:rPr>
            </w:pP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Plus: Employer payroll taxes on employee stock transactions</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53,799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Plus: M&amp;A transaction costs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768,045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gridSpan w:val="6"/>
            <w:vMerge w:val="continue"/>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Pr>
          <w:p>
            <w:pPr>
              <w:jc w:val="right"/>
              <w:ind w:right="53"/>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0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0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net income</w:t>
            </w:r>
          </w:p>
        </w:tc>
        <w:tc>
          <w:tcPr>
            <w:tcW w:w="3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107,741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Plus: Stock-based compensation expense</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750,671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360" w:type="dxa"/>
            <w:vAlign w:val="bottom"/>
          </w:tcPr>
          <w:p>
            <w:pPr>
              <w:spacing w:after="0"/>
              <w:rPr>
                <w:sz w:val="19"/>
                <w:szCs w:val="19"/>
                <w:color w:val="auto"/>
              </w:rPr>
            </w:pP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Plus: Employer payroll taxes on employee stock transactions</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53,799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Plus: M&amp;A transaction costs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Plus: Amortization of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23"/>
        </w:trPr>
        <w:tc>
          <w:tcPr>
            <w:tcW w:w="70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before non-GAAP tax adjustments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925,760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Income tax effects and adjustments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179,178</w:t>
            </w:r>
          </w:p>
        </w:tc>
        <w:tc>
          <w:tcPr>
            <w:tcW w:w="0" w:type="dxa"/>
            <w:vAlign w:val="bottom"/>
          </w:tcPr>
          <w:p>
            <w:pPr>
              <w:spacing w:after="0"/>
              <w:rPr>
                <w:sz w:val="1"/>
                <w:szCs w:val="1"/>
                <w:color w:val="auto"/>
              </w:rPr>
            </w:pPr>
          </w:p>
        </w:tc>
      </w:tr>
      <w:tr>
        <w:trPr>
          <w:trHeight w:val="230"/>
        </w:trPr>
        <w:tc>
          <w:tcPr>
            <w:tcW w:w="70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after non-GAAP tax adjustments</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746,582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per share before non-GAAP tax adjustments - basic</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Net income per share before non-GAAP tax adjustments - diluted</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26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Net income per share after non-GAAP tax adjustments - basic</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per share after non-GAAP tax adjustments - diluted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in non-GAAP net income per share calculations:</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347,309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363,471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GAAP Cash Flow from Operating Activities to Free Cash Flow</w:t>
            </w:r>
          </w:p>
        </w:tc>
        <w:tc>
          <w:tcPr>
            <w:tcW w:w="3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6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(85,840)</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441" w:right="9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040" w:type="dxa"/>
            <w:vAlign w:val="bottom"/>
          </w:tcPr>
          <w:p>
            <w:pPr>
              <w:spacing w:after="0"/>
              <w:rPr>
                <w:sz w:val="17"/>
                <w:szCs w:val="17"/>
                <w:color w:val="auto"/>
              </w:rPr>
            </w:pPr>
          </w:p>
        </w:tc>
      </w:tr>
      <w:tr>
        <w:trPr>
          <w:trHeight w:val="642"/>
        </w:trPr>
        <w:tc>
          <w:tcPr>
            <w:tcW w:w="6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6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Free Cash Flow Growth</w:t>
            </w:r>
          </w:p>
        </w:tc>
        <w:tc>
          <w:tcPr>
            <w:tcW w:w="3040" w:type="dxa"/>
            <w:vAlign w:val="bottom"/>
            <w:shd w:val="clear" w:color="auto" w:fill="CCEEFF"/>
          </w:tcPr>
          <w:p>
            <w:pPr>
              <w:jc w:val="right"/>
              <w:ind w:right="710"/>
              <w:spacing w:after="0" w:line="189" w:lineRule="exact"/>
              <w:rPr>
                <w:sz w:val="20"/>
                <w:szCs w:val="20"/>
                <w:color w:val="auto"/>
              </w:rPr>
            </w:pPr>
            <w:r>
              <w:rPr>
                <w:rFonts w:ascii="Times New Roman" w:cs="Times New Roman" w:eastAsia="Times New Roman" w:hAnsi="Times New Roman"/>
                <w:sz w:val="18"/>
                <w:szCs w:val="18"/>
                <w:b w:val="1"/>
                <w:bCs w:val="1"/>
                <w:color w:val="auto"/>
              </w:rPr>
              <w:t>5 Year (2020-2025)</w:t>
            </w:r>
          </w:p>
        </w:tc>
      </w:tr>
      <w:tr>
        <w:trPr>
          <w:trHeight w:val="20"/>
        </w:trPr>
        <w:tc>
          <w:tcPr>
            <w:tcW w:w="680" w:type="dxa"/>
            <w:vAlign w:val="bottom"/>
            <w:tcBorders>
              <w:right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8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cash flow growth</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863 %</w:t>
            </w:r>
          </w:p>
        </w:tc>
      </w:tr>
      <w:tr>
        <w:trPr>
          <w:trHeight w:val="229"/>
        </w:trPr>
        <w:tc>
          <w:tcPr>
            <w:tcW w:w="680" w:type="dxa"/>
            <w:vAlign w:val="bottom"/>
            <w:tcBorders>
              <w:right w:val="single" w:sz="8" w:color="CCEEFF"/>
            </w:tcBorders>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680" w:type="dxa"/>
            <w:vAlign w:val="bottom"/>
          </w:tcPr>
          <w:p>
            <w:pPr>
              <w:spacing w:after="0"/>
              <w:rPr>
                <w:sz w:val="19"/>
                <w:szCs w:val="19"/>
                <w:color w:val="auto"/>
              </w:rPr>
            </w:pPr>
          </w:p>
        </w:tc>
        <w:tc>
          <w:tcPr>
            <w:tcW w:w="6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23"/>
        </w:trPr>
        <w:tc>
          <w:tcPr>
            <w:tcW w:w="680" w:type="dxa"/>
            <w:vAlign w:val="bottom"/>
            <w:tcBorders>
              <w:right w:val="single" w:sz="8" w:color="CCEEFF"/>
            </w:tcBorders>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growth</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0801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40" w:hanging="332"/>
        <w:spacing w:after="0" w:line="260" w:lineRule="auto"/>
        <w:tabs>
          <w:tab w:leader="none" w:pos="337" w:val="left"/>
        </w:tabs>
        <w:numPr>
          <w:ilvl w:val="0"/>
          <w:numId w:val="57"/>
        </w:numPr>
        <w:rPr>
          <w:rFonts w:ascii="Times New Roman" w:cs="Times New Roman" w:eastAsia="Times New Roman" w:hAnsi="Times New Roman"/>
          <w:sz w:val="13"/>
          <w:szCs w:val="13"/>
          <w:color w:val="333333"/>
        </w:rPr>
      </w:pPr>
      <w:r>
        <w:rPr>
          <w:rFonts w:ascii="Times New Roman" w:cs="Times New Roman" w:eastAsia="Times New Roman" w:hAnsi="Times New Roman"/>
          <w:sz w:val="13"/>
          <w:szCs w:val="13"/>
          <w:color w:val="333333"/>
        </w:rPr>
        <w:t>The year ended December 31, 2025 is adjusted for M&amp;A transaction costs, and these adjustments are applied prospectively, as these costs were not material to the consolidated results of operations in the prior periods.</w:t>
      </w:r>
    </w:p>
    <w:p>
      <w:pPr>
        <w:ind w:left="340" w:hanging="332"/>
        <w:spacing w:after="0" w:line="239" w:lineRule="auto"/>
        <w:tabs>
          <w:tab w:leader="none" w:pos="33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financial information for the periods shown are adjusted for an assumed provision for income taxes based on our long-term projected tax rate of 21%. Due to the differences in the tax treatment of items excluded from non-GAAP earnings, our estimated tax rate on non-GAAP income may differ from our GAAP tax rate and from our actual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558800</wp:posOffset>
            </wp:positionV>
            <wp:extent cx="5657850" cy="7286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728662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404495</wp:posOffset>
            </wp:positionV>
            <wp:extent cx="5657850" cy="7320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0" w:num="1">
        <w:col w:w="10139"/>
      </w:cols>
      <w:pgMar w:left="32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x"/>
      <w:numFmt w:val="bullet"/>
      <w:start w:val="1"/>
    </w:lvl>
  </w:abstractNum>
  <w:abstractNum w:abstractNumId="2">
    <w:nsid w:val="8138641"/>
    <w:multiLevelType w:val="hybridMultilevel"/>
    <w:lvl w:ilvl="0">
      <w:lvlJc w:val="left"/>
      <w:lvlText w:val="o"/>
      <w:numFmt w:val="bullet"/>
      <w:start w:val="1"/>
    </w:lvl>
  </w:abstractNum>
  <w:abstractNum w:abstractNumId="3">
    <w:nsid w:val="1E7FF521"/>
    <w:multiLevelType w:val="hybridMultilevel"/>
    <w:lvl w:ilvl="0">
      <w:lvlJc w:val="left"/>
      <w:lvlText w:val="x"/>
      <w:numFmt w:val="bullet"/>
      <w:start w:val="1"/>
    </w:lvl>
  </w:abstractNum>
  <w:abstractNum w:abstractNumId="4">
    <w:nsid w:val="7C3DBD3D"/>
    <w:multiLevelType w:val="hybridMultilevel"/>
    <w:lvl w:ilvl="0">
      <w:lvlJc w:val="left"/>
      <w:lvlText w:val="o"/>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lvl w:ilvl="1">
      <w:lvlJc w:val="left"/>
      <w:lvlText w:val="•"/>
      <w:numFmt w:val="bullet"/>
      <w:start w:val="1"/>
    </w:lvl>
  </w:abstractNum>
  <w:abstractNum w:abstractNumId="11">
    <w:nsid w:val="419AC241"/>
    <w:multiLevelType w:val="hybridMultilevel"/>
    <w:lvl w:ilvl="0">
      <w:lvlJc w:val="left"/>
      <w:lvlText w:val="•"/>
      <w:numFmt w:val="bullet"/>
      <w:start w:val="1"/>
    </w:lvl>
    <w:lvl w:ilvl="1">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3"/>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3"/>
    </w:lvl>
  </w:abstractNum>
  <w:abstractNum w:abstractNumId="42">
    <w:nsid w:val="749ABB43"/>
    <w:multiLevelType w:val="hybridMultilevel"/>
    <w:lvl w:ilvl="0">
      <w:lvlJc w:val="left"/>
      <w:lvlText w:val="(%1)"/>
      <w:numFmt w:val="decimal"/>
      <w:start w:val="4"/>
    </w:lvl>
  </w:abstractNum>
  <w:abstractNum w:abstractNumId="43">
    <w:nsid w:val="3DC240FB"/>
    <w:multiLevelType w:val="hybridMultilevel"/>
    <w:lvl w:ilvl="0">
      <w:lvlJc w:val="left"/>
      <w:lvlText w:val="(%1)"/>
      <w:numFmt w:val="decimal"/>
      <w:start w:val="5"/>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3"/>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upperLetter"/>
      <w:start w:val="2"/>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2026-04-29T08:36:54Z</dcterms:created>
  <dcterms:modified xsi:type="dcterms:W3CDTF">2026-04-29T08:36:54Z</dcterms:modified>
</cp:coreProperties>
</file>