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09"/>
        </w:trPr>
        <w:tc>
          <w:tcPr>
            <w:tcW w:w="1360" w:type="dxa"/>
            <w:vAlign w:val="bottom"/>
          </w:tcPr>
          <w:p>
            <w:pPr>
              <w:spacing w:after="0"/>
              <w:rPr>
                <w:sz w:val="24"/>
                <w:szCs w:val="24"/>
                <w:color w:val="auto"/>
              </w:rPr>
            </w:pPr>
          </w:p>
        </w:tc>
        <w:tc>
          <w:tcPr>
            <w:tcW w:w="7300" w:type="dxa"/>
            <w:vAlign w:val="bottom"/>
            <w:gridSpan w:val="5"/>
          </w:tcPr>
          <w:p>
            <w:pPr>
              <w:jc w:val="center"/>
              <w:ind w:right="568"/>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tc>
      </w:tr>
      <w:tr>
        <w:trPr>
          <w:trHeight w:val="238"/>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_________________________________________________________</w:t>
            </w:r>
          </w:p>
        </w:tc>
      </w:tr>
      <w:tr>
        <w:trPr>
          <w:trHeight w:val="475"/>
        </w:trPr>
        <w:tc>
          <w:tcPr>
            <w:tcW w:w="1360" w:type="dxa"/>
            <w:vAlign w:val="bottom"/>
          </w:tcPr>
          <w:p>
            <w:pPr>
              <w:spacing w:after="0"/>
              <w:rPr>
                <w:sz w:val="24"/>
                <w:szCs w:val="24"/>
                <w:color w:val="auto"/>
              </w:rPr>
            </w:pPr>
          </w:p>
        </w:tc>
        <w:tc>
          <w:tcPr>
            <w:tcW w:w="4380" w:type="dxa"/>
            <w:vAlign w:val="bottom"/>
            <w:gridSpan w:val="2"/>
          </w:tcPr>
          <w:p>
            <w:pPr>
              <w:jc w:val="center"/>
              <w:ind w:left="2162"/>
              <w:spacing w:after="0"/>
              <w:rPr>
                <w:sz w:val="20"/>
                <w:szCs w:val="20"/>
                <w:color w:val="auto"/>
              </w:rPr>
            </w:pPr>
            <w:r>
              <w:rPr>
                <w:rFonts w:ascii="Times New Roman" w:cs="Times New Roman" w:eastAsia="Times New Roman" w:hAnsi="Times New Roman"/>
                <w:sz w:val="36"/>
                <w:szCs w:val="36"/>
                <w:b w:val="1"/>
                <w:bCs w:val="1"/>
                <w:color w:val="auto"/>
              </w:rPr>
              <w:t>Datadog, Inc.</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34"/>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w:t>
            </w:r>
          </w:p>
        </w:tc>
      </w:tr>
      <w:tr>
        <w:trPr>
          <w:trHeight w:val="365"/>
        </w:trPr>
        <w:tc>
          <w:tcPr>
            <w:tcW w:w="1360" w:type="dxa"/>
            <w:vAlign w:val="bottom"/>
          </w:tcPr>
          <w:p>
            <w:pPr>
              <w:spacing w:after="0"/>
              <w:rPr>
                <w:sz w:val="24"/>
                <w:szCs w:val="24"/>
                <w:color w:val="auto"/>
              </w:rPr>
            </w:pPr>
          </w:p>
        </w:tc>
        <w:tc>
          <w:tcPr>
            <w:tcW w:w="4380" w:type="dxa"/>
            <w:vAlign w:val="bottom"/>
            <w:gridSpan w:val="2"/>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27-2825503</w:t>
            </w:r>
          </w:p>
        </w:tc>
      </w:tr>
      <w:tr>
        <w:trPr>
          <w:trHeight w:val="191"/>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4"/>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620 8th Avenue,</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45th Floor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0"/>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New York,</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29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19"/>
        </w:trPr>
        <w:tc>
          <w:tcPr>
            <w:tcW w:w="574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329-4466</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33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8"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April 26, 2023, there were 296,268,680 shares of the registrant’s Class A common stock and 25,606,382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19"/>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2023 and December 31,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2023 and 2022</w:t>
            </w:r>
          </w:p>
        </w:tc>
        <w:tc>
          <w:tcPr>
            <w:tcW w:w="1460" w:type="dxa"/>
            <w:vAlign w:val="bottom"/>
            <w:gridSpan w:val="4"/>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 for the Three Months Ended March 31, 2023 and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(Deficit) for the Three Months Ended March 31, 2023 and 2022</w:t>
            </w:r>
          </w:p>
        </w:tc>
        <w:tc>
          <w:tcPr>
            <w:tcW w:w="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2023 and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420" w:type="dxa"/>
            <w:vAlign w:val="bottom"/>
            <w:gridSpan w:val="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2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7780" w:type="dxa"/>
            <w:vAlign w:val="bottom"/>
            <w:gridSpan w:val="15"/>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500" w:type="dxa"/>
            <w:vAlign w:val="bottom"/>
            <w:tcBorders>
              <w:top w:val="single" w:sz="8" w:color="0000FF"/>
            </w:tcBorders>
          </w:tcPr>
          <w:p>
            <w:pPr>
              <w:spacing w:after="0"/>
              <w:rPr>
                <w:sz w:val="21"/>
                <w:szCs w:val="21"/>
                <w:color w:val="auto"/>
              </w:rPr>
            </w:pPr>
          </w:p>
        </w:tc>
        <w:tc>
          <w:tcPr>
            <w:tcW w:w="6280" w:type="dxa"/>
            <w:vAlign w:val="bottom"/>
            <w:gridSpan w:val="9"/>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6"/>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w:t>
      </w:r>
    </w:p>
    <w:p>
      <w:pPr>
        <w:spacing w:after="0" w:line="20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338,985</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1,545,341</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$8,071 and $5,626 as of</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31, 2023 and December 31, 2022,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399,551</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33,054</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27,303</w:t>
            </w: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2,462,992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2,344,234</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125,346</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87,629</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348,277</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55,338</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r>
      <w:tr>
        <w:trPr>
          <w:trHeight w:val="264"/>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3,139,744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3,004,852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23,474</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171,158</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22,092</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543,024</w:t>
            </w: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759,748</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76,582</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738,847</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1,627,645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1,594,347</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March 31, 2023 and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 295,958,300 and 293,573,825 shares issued and outstanding as of March 31, 2023 and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1"/>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March 31, 2023 and</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 25,487,943 and 25,616,018 shares issued and outstanding as of March 31, 2023 and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1,625,190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(202,266)</w:t>
            </w:r>
          </w:p>
        </w:tc>
      </w:tr>
      <w:tr>
        <w:trPr>
          <w:trHeight w:val="23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1,512,099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1,410,505</w:t>
            </w: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3,139,744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3,004,852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9" w:right="339" w:bottom="68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686"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363,030</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74,462</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288,568</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150,608</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26,380</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416,770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278,154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6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basic net (loss)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319,286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313,456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(loss) income per share: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345,668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w:t>
            </w: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(DEFICIT)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BALANCE—December 31, 2022</w:t>
      </w:r>
    </w:p>
    <w:p>
      <w:pPr>
        <w:spacing w:after="0" w:line="46" w:lineRule="exact"/>
        <w:rPr>
          <w:sz w:val="20"/>
          <w:szCs w:val="20"/>
          <w:color w:val="auto"/>
        </w:rPr>
      </w:pPr>
    </w:p>
    <w:p>
      <w:pPr>
        <w:ind w:left="180" w:hanging="161"/>
        <w:spacing w:after="0" w:line="290" w:lineRule="auto"/>
        <w:rPr>
          <w:sz w:val="20"/>
          <w:szCs w:val="20"/>
          <w:color w:val="auto"/>
        </w:rPr>
      </w:pPr>
      <w:r>
        <w:rPr>
          <w:rFonts w:ascii="Times New Roman" w:cs="Times New Roman" w:eastAsia="Times New Roman" w:hAnsi="Times New Roman"/>
          <w:sz w:val="16"/>
          <w:szCs w:val="16"/>
          <w:color w:val="auto"/>
        </w:rPr>
        <w:t>Issuance of common stock upon exercise of stock options</w:t>
      </w:r>
    </w:p>
    <w:p>
      <w:pPr>
        <w:spacing w:after="0" w:line="1" w:lineRule="exact"/>
        <w:rPr>
          <w:sz w:val="20"/>
          <w:szCs w:val="20"/>
          <w:color w:val="auto"/>
        </w:rPr>
      </w:pPr>
    </w:p>
    <w:p>
      <w:pPr>
        <w:ind w:left="180" w:right="220" w:hanging="161"/>
        <w:spacing w:after="0" w:line="290" w:lineRule="auto"/>
        <w:rPr>
          <w:sz w:val="20"/>
          <w:szCs w:val="20"/>
          <w:color w:val="auto"/>
        </w:rPr>
      </w:pPr>
      <w:r>
        <w:rPr>
          <w:rFonts w:ascii="Times New Roman" w:cs="Times New Roman" w:eastAsia="Times New Roman" w:hAnsi="Times New Roman"/>
          <w:sz w:val="16"/>
          <w:szCs w:val="16"/>
          <w:color w:val="auto"/>
        </w:rPr>
        <w:t>Vesting of restricted and performance stock units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59" w:lineRule="exact"/>
        <w:rPr>
          <w:sz w:val="20"/>
          <w:szCs w:val="20"/>
          <w:color w:val="auto"/>
        </w:rPr>
      </w:pPr>
    </w:p>
    <w:p>
      <w:pPr>
        <w:ind w:left="180" w:right="760" w:hanging="161"/>
        <w:spacing w:after="0" w:line="290" w:lineRule="auto"/>
        <w:rPr>
          <w:sz w:val="20"/>
          <w:szCs w:val="20"/>
          <w:color w:val="auto"/>
        </w:rPr>
      </w:pPr>
      <w:r>
        <w:rPr>
          <w:rFonts w:ascii="Times New Roman" w:cs="Times New Roman" w:eastAsia="Times New Roman" w:hAnsi="Times New Roman"/>
          <w:sz w:val="16"/>
          <w:szCs w:val="16"/>
          <w:color w:val="auto"/>
        </w:rPr>
        <w:t>Change in accumulated other comprehensive income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BALANCE—December 31, 2021</w:t>
      </w:r>
    </w:p>
    <w:p>
      <w:pPr>
        <w:spacing w:after="0" w:line="46" w:lineRule="exact"/>
        <w:rPr>
          <w:sz w:val="20"/>
          <w:szCs w:val="20"/>
          <w:color w:val="auto"/>
        </w:rPr>
      </w:pPr>
    </w:p>
    <w:p>
      <w:pPr>
        <w:ind w:left="180" w:hanging="161"/>
        <w:spacing w:after="0" w:line="280" w:lineRule="auto"/>
        <w:rPr>
          <w:sz w:val="20"/>
          <w:szCs w:val="20"/>
          <w:color w:val="auto"/>
        </w:rPr>
      </w:pPr>
      <w:r>
        <w:rPr>
          <w:rFonts w:ascii="Times New Roman" w:cs="Times New Roman" w:eastAsia="Times New Roman" w:hAnsi="Times New Roman"/>
          <w:sz w:val="16"/>
          <w:szCs w:val="16"/>
          <w:color w:val="auto"/>
        </w:rPr>
        <w:t>Issuance of common stock upon exercise of stock options</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Vesting of early exercised stock options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59" w:lineRule="exact"/>
        <w:rPr>
          <w:sz w:val="20"/>
          <w:szCs w:val="20"/>
          <w:color w:val="auto"/>
        </w:rPr>
      </w:pPr>
    </w:p>
    <w:p>
      <w:pPr>
        <w:ind w:left="180" w:right="760" w:hanging="161"/>
        <w:spacing w:after="0" w:line="280" w:lineRule="auto"/>
        <w:rPr>
          <w:sz w:val="20"/>
          <w:szCs w:val="20"/>
          <w:color w:val="auto"/>
        </w:rPr>
      </w:pPr>
      <w:r>
        <w:rPr>
          <w:rFonts w:ascii="Times New Roman" w:cs="Times New Roman" w:eastAsia="Times New Roman" w:hAnsi="Times New Roman"/>
          <w:sz w:val="16"/>
          <w:szCs w:val="16"/>
          <w:color w:val="auto"/>
        </w:rPr>
        <w:t>Change in accumulated other comprehensive loss</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Class A and Class B</w:t>
      </w:r>
    </w:p>
    <w:p>
      <w:pPr>
        <w:spacing w:after="0" w:line="1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18415</wp:posOffset>
            </wp:positionV>
            <wp:extent cx="17227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9" w:lineRule="exact"/>
        <w:rPr>
          <w:sz w:val="20"/>
          <w:szCs w:val="20"/>
          <w:color w:val="auto"/>
        </w:rPr>
      </w:pPr>
    </w:p>
    <w:p>
      <w:pPr>
        <w:ind w:left="60"/>
        <w:spacing w:after="0"/>
        <w:tabs>
          <w:tab w:leader="none" w:pos="1400" w:val="left"/>
        </w:tabs>
        <w:rPr>
          <w:sz w:val="20"/>
          <w:szCs w:val="20"/>
          <w:color w:val="auto"/>
        </w:rPr>
      </w:pPr>
      <w:r>
        <w:rPr>
          <w:rFonts w:ascii="Times New Roman" w:cs="Times New Roman" w:eastAsia="Times New Roman" w:hAnsi="Times New Roman"/>
          <w:sz w:val="13"/>
          <w:szCs w:val="13"/>
          <w:b w:val="1"/>
          <w:bCs w:val="1"/>
          <w:color w:val="auto"/>
        </w:rPr>
        <w:t>Shares</w:t>
      </w:r>
      <w:r>
        <w:rPr>
          <w:sz w:val="20"/>
          <w:szCs w:val="20"/>
          <w:color w:val="auto"/>
        </w:rPr>
        <w:tab/>
      </w:r>
      <w:r>
        <w:rPr>
          <w:rFonts w:ascii="Times New Roman" w:cs="Times New Roman" w:eastAsia="Times New Roman" w:hAnsi="Times New Roman"/>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29210</wp:posOffset>
            </wp:positionV>
            <wp:extent cx="1722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53" w:lineRule="exact"/>
        <w:rPr>
          <w:sz w:val="20"/>
          <w:szCs w:val="20"/>
          <w:color w:val="auto"/>
        </w:rPr>
      </w:pPr>
    </w:p>
    <w:p>
      <w:pPr>
        <w:spacing w:after="0"/>
        <w:tabs>
          <w:tab w:leader="none" w:pos="1000" w:val="left"/>
          <w:tab w:leader="none" w:pos="2120" w:val="left"/>
          <w:tab w:leader="none" w:pos="2400" w:val="left"/>
        </w:tabs>
        <w:rPr>
          <w:sz w:val="20"/>
          <w:szCs w:val="20"/>
          <w:color w:val="auto"/>
        </w:rPr>
      </w:pPr>
      <w:r>
        <w:rPr>
          <w:rFonts w:ascii="Times New Roman" w:cs="Times New Roman" w:eastAsia="Times New Roman" w:hAnsi="Times New Roman"/>
          <w:sz w:val="16"/>
          <w:szCs w:val="16"/>
          <w:color w:val="auto"/>
        </w:rPr>
        <w:t>319,189,843</w:t>
        <w:tab/>
        <w:t>$</w:t>
      </w:r>
      <w:r>
        <w:rPr>
          <w:sz w:val="20"/>
          <w:szCs w:val="20"/>
          <w:color w:val="auto"/>
        </w:rPr>
        <w:tab/>
      </w:r>
      <w:r>
        <w:rPr>
          <w:rFonts w:ascii="Times New Roman" w:cs="Times New Roman" w:eastAsia="Times New Roman" w:hAnsi="Times New Roman"/>
          <w:sz w:val="16"/>
          <w:szCs w:val="16"/>
          <w:color w:val="auto"/>
        </w:rPr>
        <w:t>3</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29210</wp:posOffset>
            </wp:positionV>
            <wp:extent cx="713232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42" w:lineRule="exact"/>
        <w:rPr>
          <w:sz w:val="20"/>
          <w:szCs w:val="20"/>
          <w:color w:val="auto"/>
        </w:rPr>
      </w:pPr>
    </w:p>
    <w:p>
      <w:pPr>
        <w:ind w:left="180"/>
        <w:spacing w:after="0"/>
        <w:tabs>
          <w:tab w:leader="none" w:pos="2040" w:val="left"/>
        </w:tabs>
        <w:rPr>
          <w:sz w:val="20"/>
          <w:szCs w:val="20"/>
          <w:color w:val="auto"/>
        </w:rPr>
      </w:pPr>
      <w:r>
        <w:rPr>
          <w:rFonts w:ascii="Times New Roman" w:cs="Times New Roman" w:eastAsia="Times New Roman" w:hAnsi="Times New Roman"/>
          <w:sz w:val="16"/>
          <w:szCs w:val="16"/>
          <w:color w:val="auto"/>
        </w:rPr>
        <w:t>1,208,185</w:t>
      </w:r>
      <w:r>
        <w:rPr>
          <w:sz w:val="20"/>
          <w:szCs w:val="20"/>
          <w:color w:val="auto"/>
        </w:rPr>
        <w:tab/>
      </w: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180"/>
        <w:spacing w:after="0"/>
        <w:tabs>
          <w:tab w:leader="none" w:pos="2040" w:val="left"/>
        </w:tabs>
        <w:rPr>
          <w:sz w:val="20"/>
          <w:szCs w:val="20"/>
          <w:color w:val="auto"/>
        </w:rPr>
      </w:pPr>
      <w:r>
        <w:rPr>
          <w:rFonts w:ascii="Times New Roman" w:cs="Times New Roman" w:eastAsia="Times New Roman" w:hAnsi="Times New Roman"/>
          <w:sz w:val="16"/>
          <w:szCs w:val="16"/>
          <w:color w:val="auto"/>
        </w:rPr>
        <w:t>1,048,215</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29210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29210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29210</wp:posOffset>
            </wp:positionV>
            <wp:extent cx="17227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53" w:lineRule="exact"/>
        <w:rPr>
          <w:sz w:val="20"/>
          <w:szCs w:val="20"/>
          <w:color w:val="auto"/>
        </w:rPr>
      </w:pPr>
    </w:p>
    <w:p>
      <w:pPr>
        <w:spacing w:after="0"/>
        <w:tabs>
          <w:tab w:leader="none" w:pos="1000" w:val="left"/>
          <w:tab w:leader="none" w:pos="2120" w:val="left"/>
          <w:tab w:leader="none" w:pos="2400" w:val="left"/>
        </w:tabs>
        <w:rPr>
          <w:sz w:val="20"/>
          <w:szCs w:val="20"/>
          <w:color w:val="auto"/>
        </w:rPr>
      </w:pPr>
      <w:r>
        <w:rPr>
          <w:rFonts w:ascii="Times New Roman" w:cs="Times New Roman" w:eastAsia="Times New Roman" w:hAnsi="Times New Roman"/>
          <w:sz w:val="16"/>
          <w:szCs w:val="16"/>
          <w:color w:val="auto"/>
        </w:rPr>
        <w:t>321,446,243</w:t>
        <w:tab/>
        <w:t>$</w:t>
      </w:r>
      <w:r>
        <w:rPr>
          <w:sz w:val="20"/>
          <w:szCs w:val="20"/>
          <w:color w:val="auto"/>
        </w:rPr>
        <w:tab/>
      </w:r>
      <w:r>
        <w:rPr>
          <w:rFonts w:ascii="Times New Roman" w:cs="Times New Roman" w:eastAsia="Times New Roman" w:hAnsi="Times New Roman"/>
          <w:sz w:val="16"/>
          <w:szCs w:val="16"/>
          <w:color w:val="auto"/>
        </w:rPr>
        <w:t>3</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29210</wp:posOffset>
            </wp:positionV>
            <wp:extent cx="172275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2275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Class A and Class B</w:t>
      </w:r>
    </w:p>
    <w:p>
      <w:pPr>
        <w:spacing w:after="0" w:line="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19050</wp:posOffset>
            </wp:positionV>
            <wp:extent cx="1722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31" w:lineRule="exact"/>
        <w:rPr>
          <w:sz w:val="20"/>
          <w:szCs w:val="20"/>
          <w:color w:val="auto"/>
        </w:rPr>
      </w:pPr>
    </w:p>
    <w:p>
      <w:pPr>
        <w:ind w:left="60"/>
        <w:spacing w:after="0"/>
        <w:tabs>
          <w:tab w:leader="none" w:pos="1400" w:val="left"/>
        </w:tabs>
        <w:rPr>
          <w:sz w:val="20"/>
          <w:szCs w:val="20"/>
          <w:color w:val="auto"/>
        </w:rPr>
      </w:pPr>
      <w:r>
        <w:rPr>
          <w:rFonts w:ascii="Times New Roman" w:cs="Times New Roman" w:eastAsia="Times New Roman" w:hAnsi="Times New Roman"/>
          <w:sz w:val="13"/>
          <w:szCs w:val="13"/>
          <w:b w:val="1"/>
          <w:bCs w:val="1"/>
          <w:color w:val="auto"/>
        </w:rPr>
        <w:t>Shares</w:t>
      </w:r>
      <w:r>
        <w:rPr>
          <w:sz w:val="20"/>
          <w:szCs w:val="20"/>
          <w:color w:val="auto"/>
        </w:rPr>
        <w:tab/>
      </w:r>
      <w:r>
        <w:rPr>
          <w:rFonts w:ascii="Times New Roman" w:cs="Times New Roman" w:eastAsia="Times New Roman" w:hAnsi="Times New Roman"/>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29210</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spacing w:after="0"/>
        <w:tabs>
          <w:tab w:leader="none" w:pos="1000" w:val="left"/>
          <w:tab w:leader="none" w:pos="2120" w:val="left"/>
          <w:tab w:leader="none" w:pos="2400" w:val="left"/>
        </w:tabs>
        <w:rPr>
          <w:sz w:val="20"/>
          <w:szCs w:val="20"/>
          <w:color w:val="auto"/>
        </w:rPr>
      </w:pPr>
      <w:r>
        <w:rPr>
          <w:rFonts w:ascii="Times New Roman" w:cs="Times New Roman" w:eastAsia="Times New Roman" w:hAnsi="Times New Roman"/>
          <w:sz w:val="16"/>
          <w:szCs w:val="16"/>
          <w:color w:val="auto"/>
        </w:rPr>
        <w:t>313,365,437</w:t>
        <w:tab/>
        <w:t>$</w:t>
      </w:r>
      <w:r>
        <w:rPr>
          <w:sz w:val="20"/>
          <w:szCs w:val="20"/>
          <w:color w:val="auto"/>
        </w:rPr>
        <w:tab/>
      </w:r>
      <w:r>
        <w:rPr>
          <w:rFonts w:ascii="Times New Roman" w:cs="Times New Roman" w:eastAsia="Times New Roman" w:hAnsi="Times New Roman"/>
          <w:sz w:val="16"/>
          <w:szCs w:val="16"/>
          <w:color w:val="auto"/>
        </w:rPr>
        <w:t>3</w:t>
        <w:tab/>
        <w:t>$</w:t>
      </w:r>
    </w:p>
    <w:p>
      <w:pPr>
        <w:spacing w:after="0" w:line="262" w:lineRule="exact"/>
        <w:rPr>
          <w:sz w:val="20"/>
          <w:szCs w:val="20"/>
          <w:color w:val="auto"/>
        </w:rPr>
      </w:pPr>
    </w:p>
    <w:p>
      <w:pPr>
        <w:ind w:left="180"/>
        <w:spacing w:after="0"/>
        <w:tabs>
          <w:tab w:leader="none" w:pos="2040" w:val="left"/>
        </w:tabs>
        <w:rPr>
          <w:sz w:val="20"/>
          <w:szCs w:val="20"/>
          <w:color w:val="auto"/>
        </w:rPr>
      </w:pPr>
      <w:r>
        <w:rPr>
          <w:rFonts w:ascii="Times New Roman" w:cs="Times New Roman" w:eastAsia="Times New Roman" w:hAnsi="Times New Roman"/>
          <w:sz w:val="16"/>
          <w:szCs w:val="16"/>
          <w:color w:val="auto"/>
        </w:rPr>
        <w:t>1,167,000</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29210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300"/>
        <w:spacing w:after="0"/>
        <w:tabs>
          <w:tab w:leader="none" w:pos="2040" w:val="left"/>
        </w:tabs>
        <w:rPr>
          <w:sz w:val="20"/>
          <w:szCs w:val="20"/>
          <w:color w:val="auto"/>
        </w:rPr>
      </w:pPr>
      <w:r>
        <w:rPr>
          <w:rFonts w:ascii="Times New Roman" w:cs="Times New Roman" w:eastAsia="Times New Roman" w:hAnsi="Times New Roman"/>
          <w:sz w:val="16"/>
          <w:szCs w:val="16"/>
          <w:color w:val="auto"/>
        </w:rPr>
        <w:t>388,568</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29210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29210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29210</wp:posOffset>
            </wp:positionV>
            <wp:extent cx="17227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53" w:lineRule="exact"/>
        <w:rPr>
          <w:sz w:val="20"/>
          <w:szCs w:val="20"/>
          <w:color w:val="auto"/>
        </w:rPr>
      </w:pPr>
    </w:p>
    <w:p>
      <w:pPr>
        <w:spacing w:after="0"/>
        <w:tabs>
          <w:tab w:leader="none" w:pos="1000" w:val="left"/>
          <w:tab w:leader="none" w:pos="2120" w:val="left"/>
          <w:tab w:leader="none" w:pos="2400" w:val="left"/>
        </w:tabs>
        <w:rPr>
          <w:sz w:val="20"/>
          <w:szCs w:val="20"/>
          <w:color w:val="auto"/>
        </w:rPr>
      </w:pPr>
      <w:r>
        <w:rPr>
          <w:rFonts w:ascii="Times New Roman" w:cs="Times New Roman" w:eastAsia="Times New Roman" w:hAnsi="Times New Roman"/>
          <w:sz w:val="16"/>
          <w:szCs w:val="16"/>
          <w:color w:val="auto"/>
        </w:rPr>
        <w:t>314,921,005</w:t>
        <w:tab/>
        <w:t>$</w:t>
      </w:r>
      <w:r>
        <w:rPr>
          <w:sz w:val="20"/>
          <w:szCs w:val="20"/>
          <w:color w:val="auto"/>
        </w:rPr>
        <w:tab/>
      </w:r>
      <w:r>
        <w:rPr>
          <w:rFonts w:ascii="Times New Roman" w:cs="Times New Roman" w:eastAsia="Times New Roman" w:hAnsi="Times New Roman"/>
          <w:sz w:val="16"/>
          <w:szCs w:val="16"/>
          <w:color w:val="auto"/>
        </w:rPr>
        <w:t>3</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29210</wp:posOffset>
            </wp:positionV>
            <wp:extent cx="172275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2275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Acumulated Other</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9"/>
        </w:trPr>
        <w:tc>
          <w:tcPr>
            <w:tcW w:w="106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200" w:type="dxa"/>
            <w:vAlign w:val="bottom"/>
          </w:tcPr>
          <w:p>
            <w:pPr>
              <w:spacing w:after="0"/>
              <w:rPr>
                <w:sz w:val="12"/>
                <w:szCs w:val="12"/>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89"/>
        </w:trPr>
        <w:tc>
          <w:tcPr>
            <w:tcW w:w="1060" w:type="dxa"/>
            <w:vAlign w:val="bottom"/>
          </w:tcPr>
          <w:p>
            <w:pPr>
              <w:jc w:val="right"/>
              <w:ind w:right="48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20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6"/>
                <w:szCs w:val="16"/>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r>
      <w:tr>
        <w:trPr>
          <w:trHeight w:val="224"/>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1,625,190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(202,266)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1,410,505</w:t>
            </w:r>
          </w:p>
        </w:tc>
      </w:tr>
      <w:tr>
        <w:trPr>
          <w:trHeight w:val="445"/>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2,076</w:t>
            </w:r>
          </w:p>
        </w:tc>
        <w:tc>
          <w:tcPr>
            <w:tcW w:w="1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r>
      <w:tr>
        <w:trPr>
          <w:trHeight w:val="446"/>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116,955</w:t>
            </w:r>
          </w:p>
        </w:tc>
        <w:tc>
          <w:tcPr>
            <w:tcW w:w="1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116,955</w:t>
            </w:r>
          </w:p>
        </w:tc>
      </w:tr>
      <w:tr>
        <w:trPr>
          <w:trHeight w:val="446"/>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6,649</w:t>
            </w:r>
          </w:p>
        </w:tc>
      </w:tr>
      <w:tr>
        <w:trPr>
          <w:trHeight w:val="256"/>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(24,086)</w:t>
            </w:r>
          </w:p>
        </w:tc>
      </w:tr>
      <w:tr>
        <w:trPr>
          <w:trHeight w:val="237"/>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1,744,221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(226,352)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1,512,099</w:t>
            </w:r>
          </w:p>
        </w:tc>
      </w:tr>
      <w:tr>
        <w:trPr>
          <w:trHeight w:val="27"/>
        </w:trPr>
        <w:tc>
          <w:tcPr>
            <w:tcW w:w="1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-33655</wp:posOffset>
            </wp:positionV>
            <wp:extent cx="8318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-7620</wp:posOffset>
            </wp:positionV>
            <wp:extent cx="8318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-196215</wp:posOffset>
            </wp:positionV>
            <wp:extent cx="8318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-1516380</wp:posOffset>
            </wp:positionV>
            <wp:extent cx="8318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jc w:val="center"/>
              <w:ind w:right="424"/>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48"/>
        </w:trPr>
        <w:tc>
          <w:tcPr>
            <w:tcW w:w="1060" w:type="dxa"/>
            <w:vAlign w:val="bottom"/>
          </w:tcPr>
          <w:p>
            <w:pPr>
              <w:jc w:val="center"/>
              <w:ind w:right="424"/>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2"/>
                <w:szCs w:val="12"/>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8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2"/>
                <w:szCs w:val="12"/>
                <w:color w:val="auto"/>
              </w:rPr>
            </w:pPr>
          </w:p>
        </w:tc>
        <w:tc>
          <w:tcPr>
            <w:tcW w:w="114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80"/>
        </w:trPr>
        <w:tc>
          <w:tcPr>
            <w:tcW w:w="1060" w:type="dxa"/>
            <w:vAlign w:val="bottom"/>
          </w:tcPr>
          <w:p>
            <w:pPr>
              <w:jc w:val="center"/>
              <w:ind w:right="384"/>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8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5"/>
                <w:szCs w:val="15"/>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r>
      <w:tr>
        <w:trPr>
          <w:trHeight w:val="30"/>
        </w:trPr>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1,197,136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1,041,203</w:t>
            </w:r>
          </w:p>
        </w:tc>
      </w:tr>
      <w:tr>
        <w:trPr>
          <w:trHeight w:val="445"/>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4,218</w:t>
            </w:r>
          </w:p>
        </w:tc>
        <w:tc>
          <w:tcPr>
            <w:tcW w:w="100" w:type="dxa"/>
            <w:vAlign w:val="bottom"/>
          </w:tcPr>
          <w:p>
            <w:pPr>
              <w:spacing w:after="0"/>
              <w:rPr>
                <w:sz w:val="24"/>
                <w:szCs w:val="24"/>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w:t>
            </w:r>
          </w:p>
        </w:tc>
      </w:tr>
      <w:tr>
        <w:trPr>
          <w:trHeight w:val="230"/>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43"/>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70,390</w:t>
            </w:r>
          </w:p>
        </w:tc>
        <w:tc>
          <w:tcPr>
            <w:tcW w:w="10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70,390</w:t>
            </w:r>
          </w:p>
        </w:tc>
      </w:tr>
      <w:tr>
        <w:trPr>
          <w:trHeight w:val="445"/>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w:t>
            </w:r>
          </w:p>
        </w:tc>
      </w:tr>
      <w:tr>
        <w:trPr>
          <w:trHeight w:val="256"/>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w:t>
            </w:r>
          </w:p>
        </w:tc>
      </w:tr>
      <w:tr>
        <w:trPr>
          <w:trHeight w:val="236"/>
        </w:trPr>
        <w:tc>
          <w:tcPr>
            <w:tcW w:w="10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1,271,777</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(142,368)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1,116,857</w:t>
            </w:r>
          </w:p>
        </w:tc>
      </w:tr>
      <w:tr>
        <w:trPr>
          <w:trHeight w:val="27"/>
        </w:trPr>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-33655</wp:posOffset>
            </wp:positionV>
            <wp:extent cx="8318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-7620</wp:posOffset>
            </wp:positionV>
            <wp:extent cx="8318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-196215</wp:posOffset>
            </wp:positionV>
            <wp:extent cx="8318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680" w:space="600"/>
            <w:col w:w="2500" w:space="260"/>
            <w:col w:w="5200"/>
          </w:cols>
          <w:pgMar w:left="320" w:top="1089" w:right="339" w:bottom="1440" w:gutter="0" w:footer="0" w:header="0"/>
          <w:type w:val="continuous"/>
        </w:sect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7" w:name="page8"/>
    <w:bookmarkEnd w:id="7"/>
    <w:p>
      <w:pPr>
        <w:ind w:left="526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360" w:type="dxa"/>
            <w:vAlign w:val="bottom"/>
          </w:tcPr>
          <w:p>
            <w:pPr>
              <w:spacing w:after="0"/>
              <w:rPr>
                <w:sz w:val="14"/>
                <w:szCs w:val="14"/>
                <w:color w:val="auto"/>
              </w:rPr>
            </w:pPr>
          </w:p>
        </w:tc>
        <w:tc>
          <w:tcPr>
            <w:tcW w:w="2720" w:type="dxa"/>
            <w:vAlign w:val="bottom"/>
            <w:gridSpan w:val="5"/>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29"/>
        </w:trPr>
        <w:tc>
          <w:tcPr>
            <w:tcW w:w="8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8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9"/>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(loss) income</w:t>
            </w:r>
          </w:p>
        </w:tc>
        <w:tc>
          <w:tcPr>
            <w:tcW w:w="78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(24,086)</w:t>
            </w:r>
          </w:p>
        </w:tc>
        <w:tc>
          <w:tcPr>
            <w:tcW w:w="10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9,738</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Adjustments to reconcile net (loss) income to net cash provided by operating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7,394</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(Accretion) amortization of (discounts) premiums on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3,959</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Amortization of issuance costs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Amortization of deferred contract costs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6,022</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Stock-based compensation, net of amounts capitalized</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112,728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66,884</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Non-cash lease expense</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4,411</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Allowance for credit losses on accounts receivable</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r>
      <w:tr>
        <w:trPr>
          <w:trHeight w:val="173"/>
        </w:trPr>
        <w:tc>
          <w:tcPr>
            <w:tcW w:w="83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Accounts receivable, net</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(7,319)</w:t>
            </w:r>
          </w:p>
        </w:tc>
      </w:tr>
      <w:tr>
        <w:trPr>
          <w:trHeight w:val="173"/>
        </w:trPr>
        <w:tc>
          <w:tcPr>
            <w:tcW w:w="83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Deferred contract costs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(8,166)</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(8,391)</w:t>
            </w:r>
          </w:p>
        </w:tc>
      </w:tr>
      <w:tr>
        <w:trPr>
          <w:trHeight w:val="173"/>
        </w:trPr>
        <w:tc>
          <w:tcPr>
            <w:tcW w:w="83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Other assets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Accounts payable</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(7,624)</w:t>
            </w:r>
          </w:p>
        </w:tc>
      </w:tr>
      <w:tr>
        <w:trPr>
          <w:trHeight w:val="173"/>
        </w:trPr>
        <w:tc>
          <w:tcPr>
            <w:tcW w:w="83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Deferred revenue</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81,735</w:t>
            </w:r>
          </w:p>
        </w:tc>
      </w:tr>
      <w:tr>
        <w:trPr>
          <w:trHeight w:val="167"/>
        </w:trPr>
        <w:tc>
          <w:tcPr>
            <w:tcW w:w="836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7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133,787</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147,388</w:t>
            </w:r>
          </w:p>
        </w:tc>
      </w:tr>
      <w:tr>
        <w:trPr>
          <w:trHeight w:val="29"/>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88"/>
        </w:trPr>
        <w:tc>
          <w:tcPr>
            <w:tcW w:w="83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173"/>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(757,787)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(329,706)</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497,648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199,703</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21,341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(9,514)</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Capitalized software development costs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(7,973)</w:t>
            </w: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 paid for acquisition of businesses; net of cash acquired</w:t>
            </w:r>
          </w:p>
        </w:tc>
        <w:tc>
          <w:tcPr>
            <w:tcW w:w="7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(4,871)</w:t>
            </w:r>
          </w:p>
        </w:tc>
      </w:tr>
      <w:tr>
        <w:trPr>
          <w:trHeight w:val="30"/>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(256,248)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(150,354)</w:t>
            </w:r>
          </w:p>
        </w:tc>
      </w:tr>
      <w:tr>
        <w:trPr>
          <w:trHeight w:val="88"/>
        </w:trPr>
        <w:tc>
          <w:tcPr>
            <w:tcW w:w="83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r>
      <w:tr>
        <w:trPr>
          <w:trHeight w:val="182"/>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4,245</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Repayments of convertible senior notes</w:t>
            </w:r>
          </w:p>
        </w:tc>
        <w:tc>
          <w:tcPr>
            <w:tcW w:w="7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7"/>
        </w:trPr>
        <w:tc>
          <w:tcPr>
            <w:tcW w:w="836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7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2,098</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4,242</w:t>
            </w:r>
          </w:p>
        </w:tc>
      </w:tr>
      <w:tr>
        <w:trPr>
          <w:trHeight w:val="30"/>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2"/>
        </w:trPr>
        <w:tc>
          <w:tcPr>
            <w:tcW w:w="8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73"/>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49"/>
        </w:trPr>
        <w:tc>
          <w:tcPr>
            <w:tcW w:w="8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bl>
    <w:p>
      <w:pPr>
        <w:spacing w:after="0" w:line="9" w:lineRule="exact"/>
        <w:rPr>
          <w:sz w:val="20"/>
          <w:szCs w:val="20"/>
          <w:color w:val="auto"/>
        </w:rPr>
      </w:pPr>
    </w:p>
    <w:p>
      <w:pPr>
        <w:sectPr>
          <w:pgSz w:w="11900" w:h="16838" w:orient="portrait"/>
          <w:cols w:equalWidth="0" w:num="1">
            <w:col w:w="11080"/>
          </w:cols>
          <w:pgMar w:left="320" w:top="1089" w:right="499" w:bottom="1440" w:gutter="0" w:footer="0" w:header="0"/>
        </w:sectPr>
      </w:pPr>
    </w:p>
    <w:p>
      <w:pPr>
        <w:ind w:left="20" w:right="2660"/>
        <w:spacing w:after="0" w:line="348" w:lineRule="auto"/>
        <w:rPr>
          <w:sz w:val="20"/>
          <w:szCs w:val="20"/>
          <w:color w:val="auto"/>
        </w:rPr>
      </w:pPr>
      <w:r>
        <w:rPr>
          <w:rFonts w:ascii="Times New Roman" w:cs="Times New Roman" w:eastAsia="Times New Roman" w:hAnsi="Times New Roman"/>
          <w:sz w:val="13"/>
          <w:szCs w:val="13"/>
          <w:color w:val="auto"/>
        </w:rPr>
        <w:t>NET (DECREASE) INCREASE IN CASH, CASH EQUIVALENTS AND RESTRICTED CASH CASH, CASH EQUIVALENTS AND RESTRICTED CASH—Beginning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02945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0" cy="1289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02945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420" w:type="dxa"/>
            <w:vAlign w:val="bottom"/>
          </w:tcPr>
          <w:p>
            <w:pPr>
              <w:spacing w:after="0"/>
              <w:rPr>
                <w:sz w:val="14"/>
                <w:szCs w:val="14"/>
                <w:color w:val="auto"/>
              </w:rPr>
            </w:pPr>
          </w:p>
        </w:tc>
        <w:tc>
          <w:tcPr>
            <w:tcW w:w="880" w:type="dxa"/>
            <w:vAlign w:val="bottom"/>
          </w:tcPr>
          <w:p>
            <w:pPr>
              <w:jc w:val="center"/>
              <w:ind w:left="277"/>
              <w:spacing w:after="0"/>
              <w:rPr>
                <w:sz w:val="20"/>
                <w:szCs w:val="20"/>
                <w:color w:val="auto"/>
              </w:rPr>
            </w:pPr>
            <w:r>
              <w:rPr>
                <w:rFonts w:ascii="Times New Roman" w:cs="Times New Roman" w:eastAsia="Times New Roman" w:hAnsi="Times New Roman"/>
                <w:sz w:val="13"/>
                <w:szCs w:val="13"/>
                <w:color w:val="auto"/>
                <w:w w:val="98"/>
              </w:rPr>
              <w:t>(119,740)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r>
      <w:tr>
        <w:trPr>
          <w:trHeight w:val="203"/>
        </w:trPr>
        <w:tc>
          <w:tcPr>
            <w:tcW w:w="420" w:type="dxa"/>
            <w:vAlign w:val="bottom"/>
          </w:tcPr>
          <w:p>
            <w:pPr>
              <w:spacing w:after="0"/>
              <w:rPr>
                <w:sz w:val="17"/>
                <w:szCs w:val="17"/>
                <w:color w:val="auto"/>
              </w:rPr>
            </w:pPr>
          </w:p>
        </w:tc>
        <w:tc>
          <w:tcPr>
            <w:tcW w:w="88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4"/>
              </w:rPr>
              <w:t>342,288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274,463</w:t>
            </w:r>
          </w:p>
        </w:tc>
      </w:tr>
      <w:tr>
        <w:trPr>
          <w:trHeight w:val="30"/>
        </w:trPr>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6"/>
        </w:trPr>
        <w:tc>
          <w:tcPr>
            <w:tcW w:w="42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center"/>
              <w:ind w:left="297"/>
              <w:spacing w:after="0"/>
              <w:rPr>
                <w:sz w:val="20"/>
                <w:szCs w:val="20"/>
                <w:color w:val="auto"/>
              </w:rPr>
            </w:pPr>
            <w:r>
              <w:rPr>
                <w:rFonts w:ascii="Times New Roman" w:cs="Times New Roman" w:eastAsia="Times New Roman" w:hAnsi="Times New Roman"/>
                <w:sz w:val="13"/>
                <w:szCs w:val="13"/>
                <w:color w:val="auto"/>
                <w:w w:val="94"/>
              </w:rPr>
              <w:t>222,548</w:t>
            </w:r>
          </w:p>
        </w:tc>
        <w:tc>
          <w:tcPr>
            <w:tcW w:w="100" w:type="dxa"/>
            <w:vAlign w:val="bottom"/>
          </w:tcPr>
          <w:p>
            <w:pPr>
              <w:spacing w:after="0"/>
              <w:rPr>
                <w:sz w:val="14"/>
                <w:szCs w:val="14"/>
                <w:color w:val="auto"/>
              </w:rPr>
            </w:pPr>
          </w:p>
        </w:tc>
        <w:tc>
          <w:tcPr>
            <w:tcW w:w="46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275,110</w:t>
            </w:r>
          </w:p>
        </w:tc>
      </w:tr>
      <w:tr>
        <w:trPr>
          <w:trHeight w:val="30"/>
        </w:trPr>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ectPr>
          <w:pgSz w:w="11900" w:h="16838" w:orient="portrait"/>
          <w:cols w:equalWidth="0" w:num="2">
            <w:col w:w="7640" w:space="720"/>
            <w:col w:w="2720"/>
          </w:cols>
          <w:pgMar w:left="320" w:top="1089" w:right="49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6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0"/>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1980" w:type="dxa"/>
            <w:vAlign w:val="bottom"/>
            <w:tcBorders>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3,022</w:t>
            </w:r>
          </w:p>
        </w:tc>
        <w:tc>
          <w:tcPr>
            <w:tcW w:w="60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r>
      <w:tr>
        <w:trPr>
          <w:trHeight w:val="108"/>
        </w:trPr>
        <w:tc>
          <w:tcPr>
            <w:tcW w:w="69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19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73"/>
        </w:trPr>
        <w:tc>
          <w:tcPr>
            <w:tcW w:w="6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property and equipment purchases</w:t>
            </w:r>
          </w:p>
        </w:tc>
        <w:tc>
          <w:tcPr>
            <w:tcW w:w="198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304</w:t>
            </w:r>
          </w:p>
        </w:tc>
        <w:tc>
          <w:tcPr>
            <w:tcW w:w="60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2,994</w:t>
            </w:r>
          </w:p>
        </w:tc>
      </w:tr>
      <w:tr>
        <w:trPr>
          <w:trHeight w:val="30"/>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Stock-based compensation included in capitalized software development costs</w:t>
            </w:r>
          </w:p>
        </w:tc>
        <w:tc>
          <w:tcPr>
            <w:tcW w:w="1980" w:type="dxa"/>
            <w:vAlign w:val="bottom"/>
            <w:tcBorders>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4,227</w:t>
            </w:r>
          </w:p>
        </w:tc>
        <w:tc>
          <w:tcPr>
            <w:tcW w:w="60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3,506</w:t>
            </w:r>
          </w:p>
        </w:tc>
      </w:tr>
      <w:tr>
        <w:trPr>
          <w:trHeight w:val="173"/>
        </w:trPr>
        <w:tc>
          <w:tcPr>
            <w:tcW w:w="6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198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30"/>
        </w:trPr>
        <w:tc>
          <w:tcPr>
            <w:tcW w:w="69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08"/>
        </w:trPr>
        <w:tc>
          <w:tcPr>
            <w:tcW w:w="690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bl>
    <w:p>
      <w:pPr>
        <w:spacing w:after="0" w:line="7" w:lineRule="exact"/>
        <w:rPr>
          <w:sz w:val="20"/>
          <w:szCs w:val="20"/>
          <w:color w:val="auto"/>
        </w:rPr>
      </w:pPr>
    </w:p>
    <w:p>
      <w:pPr>
        <w:ind w:left="20" w:right="420"/>
        <w:spacing w:after="0" w:line="265" w:lineRule="auto"/>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WITHIN THE CONDENSED CONSOLIDATED BALANCE SHEETS TO THE AMOUNTS SHOWN IN THE STATEMENTS OF CASH FLOWS ABOVE: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222,548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271,686</w:t>
            </w:r>
          </w:p>
        </w:tc>
      </w:tr>
      <w:tr>
        <w:trPr>
          <w:trHeight w:val="173"/>
        </w:trPr>
        <w:tc>
          <w:tcPr>
            <w:tcW w:w="8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46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3,424</w:t>
            </w:r>
          </w:p>
        </w:tc>
      </w:tr>
      <w:tr>
        <w:trPr>
          <w:trHeight w:val="30"/>
        </w:trPr>
        <w:tc>
          <w:tcPr>
            <w:tcW w:w="8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222,548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275,110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80"/>
          </w:cols>
          <w:pgMar w:left="320" w:top="1089" w:right="499" w:bottom="1440" w:gutter="0" w:footer="0" w:header="0"/>
          <w:type w:val="continuous"/>
        </w:sectPr>
      </w:pP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Datadog, Inc. (“Datadog” or the “Company”) was incorporated in the State of Delaware on June 4, 2010. The Company is the observability and security platform for cloud applications. The Company’s SaaS platform integrates and automates infrastructure monitoring, application performance monitoring, log management, real-user monitoring, and many other capabilities to provide unified, real-time observability and security of its customers’ entire technology stack. The Company is headquartered in 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2023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2022, as filed with the SEC on February 24, 2023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condensed consolidated balance sheets as of March 31, 2023 and December 31, 2022 (in thousands):</w:t>
      </w: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853,994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850,550</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318,931</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295,254</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169,685</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160,922</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1,799,395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1,795,342</w:t>
            </w: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813,598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806,108</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356,273</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173,530</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119,878</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1,555,403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1,545,341</w:t>
            </w: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2023, the fair values of available-for-sale marketable securities, by remaining contractual maturity, were as follows (in thousands):</w:t>
      </w:r>
    </w:p>
    <w:p>
      <w:pPr>
        <w:spacing w:after="0" w:line="270" w:lineRule="exact"/>
        <w:rPr>
          <w:sz w:val="20"/>
          <w:szCs w:val="20"/>
          <w:color w:val="auto"/>
        </w:rPr>
      </w:pPr>
    </w:p>
    <w:tbl>
      <w:tblPr>
        <w:tblLayout w:type="fixed"/>
        <w:tblInd w:w="2460" w:type="dxa"/>
        <w:tblCellMar>
          <w:top w:w="0" w:type="dxa"/>
          <w:left w:w="0" w:type="dxa"/>
          <w:bottom w:w="0" w:type="dxa"/>
          <w:right w:w="0" w:type="dxa"/>
        </w:tblCellMar>
      </w:tblP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1,113,746</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681,596</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1,795,342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March 31, 2023 and December 31, 2022, and indicate the fair value hierarchy of the valuation inputs utilized to determine such fair value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as of March 31, 2023</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196,835</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196,835</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850,550</w:t>
            </w: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318,931</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295,254</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169,685</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160,922</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196,835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1,795,342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1,992,177</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7"/>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2022</w:t>
            </w:r>
          </w:p>
        </w:tc>
        <w:tc>
          <w:tcPr>
            <w:tcW w:w="1020" w:type="dxa"/>
            <w:vAlign w:val="bottom"/>
          </w:tcPr>
          <w:p>
            <w:pPr>
              <w:spacing w:after="0"/>
              <w:rPr>
                <w:sz w:val="24"/>
                <w:szCs w:val="24"/>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302,902</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302,902</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806,108</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356,273</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173,530</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119,878</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89,552</w:t>
            </w:r>
          </w:p>
        </w:tc>
      </w:tr>
      <w:tr>
        <w:trPr>
          <w:trHeight w:val="248"/>
        </w:trPr>
        <w:tc>
          <w:tcPr>
            <w:tcW w:w="564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302,902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1,850,736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classifies its highly liquid money market funds and securities purchased within three months of maturity within Level 1 of the fair value hierarchy because they are valued based on quoted market prices in active markets. The Company classifies its commercial paper, corporate debt securities, certificates of deposit, U.S. government agency securities,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condensed consolidated financial statements for further details.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13,315</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27,683</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134,890</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209,264</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(83,918)</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capitalizes costs related to the development of computer software for internal use and is included in capitalized software development costs within property and equipment, net.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approximately $8.1 million and $5.8 million for the three months ended March 31,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entered into four purchase agreements for acquisitions of businesses, each of which were accounted for as business combinations in accordance with ASC 805, Business Combinations. The Company does not consider these acquisitions to be material, individually or in aggregate. The total purchase price was allocated to intangible assets in the amount of $8.2 million and goodwill in the amount of $56.6 million based on the respective estimated fair values.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Intangible amortization expense was approximately $2.2 million and $1.6 million for the three months ended March 31, 2023 and 2022,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left="500"/>
        <w:spacing w:after="0"/>
        <w:rPr>
          <w:sz w:val="20"/>
          <w:szCs w:val="20"/>
          <w:color w:val="auto"/>
        </w:rPr>
      </w:pPr>
      <w:r>
        <w:rPr>
          <w:rFonts w:ascii="Times New Roman" w:cs="Times New Roman" w:eastAsia="Times New Roman" w:hAnsi="Times New Roman"/>
          <w:sz w:val="18"/>
          <w:szCs w:val="18"/>
          <w:color w:val="auto"/>
        </w:rPr>
        <w:t>As of March 31, 2023, future amortization expense by year is expected to be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23"/>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348,277</w:t>
            </w:r>
          </w:p>
        </w:tc>
        <w:tc>
          <w:tcPr>
            <w:tcW w:w="0" w:type="dxa"/>
            <w:vAlign w:val="bottom"/>
          </w:tcPr>
          <w:p>
            <w:pPr>
              <w:spacing w:after="0"/>
              <w:rPr>
                <w:sz w:val="1"/>
                <w:szCs w:val="1"/>
                <w:color w:val="auto"/>
              </w:rPr>
            </w:pP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348,536</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March 15, 2025 only under the following circumstances:</w:t>
      </w:r>
    </w:p>
    <w:p>
      <w:pPr>
        <w:spacing w:after="0" w:line="54" w:lineRule="exact"/>
        <w:rPr>
          <w:sz w:val="20"/>
          <w:szCs w:val="20"/>
          <w:color w:val="auto"/>
        </w:rPr>
      </w:pPr>
    </w:p>
    <w:p>
      <w:pPr>
        <w:jc w:val="both"/>
        <w:ind w:left="980" w:hanging="486"/>
        <w:spacing w:after="0" w:line="261"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2025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the conditional conversion feature of the 2025 Notes was not triggered as the last reported sale price of the Company's Class A common stock was not greater than or equal to 130% of the conversion price for at least 20 trading days (whether or not consecutive) during a period of 30 consecutive trading days ending on, and including, the last trading day of the quarter ended March 31, 2023. Therefore the 2025 Notes are not convertible, in whole or in part, at the option of the holders between April 1, 2023 through June 30, 2023. Whether the 2025 Notes will be convertible following such period will depend on the continued satisfaction of this condition or another conversion condition in the future.</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When a conversion notice is received, the Company has the option to pay or deliver cash, shares of the Company’s common stock, or a combination thereof. During the year ended December 31, 2022, the Company received and settled an immaterial amount of conversion notices from the holders in cash and as of March 31, 2023, the 2025 Notes were classified as long-term debt on the Company's condensed consolidated balance sheet.</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may not redeem the 2025 Notes prior to June 20, 2023. On or after June 20, 2023, and prior to the 31st scheduled trading day immediately preceding the maturity date, the Company may redeem for cash all or any portion of the 2025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8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2021 the Company adopted ASU No.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xml:space="preserve"> (“ASU No. 2020-06”)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 result of the adoption, the debt conversion option of $177.2 million and debt issuance costs of $4.1 million previously attributable to the equity 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condensed consolidated balance sheet.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2025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940" w:type="dxa"/>
            <w:vAlign w:val="bottom"/>
            <w:shd w:val="clear" w:color="auto" w:fill="CCEEFF"/>
          </w:tcPr>
          <w:p>
            <w:pPr>
              <w:jc w:val="center"/>
              <w:ind w:right="5690"/>
              <w:spacing w:after="0"/>
              <w:rPr>
                <w:sz w:val="20"/>
                <w:szCs w:val="20"/>
                <w:color w:val="auto"/>
              </w:rPr>
            </w:pPr>
            <w:r>
              <w:rPr>
                <w:rFonts w:ascii="Times New Roman" w:cs="Times New Roman" w:eastAsia="Times New Roman" w:hAnsi="Times New Roman"/>
                <w:sz w:val="18"/>
                <w:szCs w:val="18"/>
                <w:color w:val="auto"/>
                <w:w w:val="99"/>
              </w:rPr>
              <w:t>Convertible senior notes, net: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747,496</w:t>
            </w: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r>
      <w:tr>
        <w:trPr>
          <w:trHeight w:val="223"/>
        </w:trPr>
        <w:tc>
          <w:tcPr>
            <w:tcW w:w="7940" w:type="dxa"/>
            <w:vAlign w:val="bottom"/>
          </w:tcPr>
          <w:p>
            <w:pPr>
              <w:jc w:val="center"/>
              <w:ind w:right="5650"/>
              <w:spacing w:after="0"/>
              <w:rPr>
                <w:sz w:val="20"/>
                <w:szCs w:val="20"/>
                <w:color w:val="auto"/>
              </w:rPr>
            </w:pPr>
            <w:r>
              <w:rPr>
                <w:rFonts w:ascii="Times New Roman" w:cs="Times New Roman" w:eastAsia="Times New Roman" w:hAnsi="Times New Roman"/>
                <w:sz w:val="18"/>
                <w:szCs w:val="18"/>
                <w:color w:val="auto"/>
                <w:w w:val="99"/>
              </w:rPr>
              <w:t>Net carrying amount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738,847</w:t>
            </w: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2023, the total estimated fair value of the 2025 Notes was approximately $806.7 million. The fair value was determined based on the closing trading price or quoted market price per $100 of the 2025 Notes as of the last day of trading for the period. The fair value of the 2025 Notes is primarily affected by the trading price of the Company’s Class A common stock and market interest rates.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interest expense related to the 2025 Notes for the three months ended March 31, 2023 and 2022 (in thousands):</w:t>
      </w:r>
    </w:p>
    <w:p>
      <w:pPr>
        <w:spacing w:after="0" w:line="130"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48"/>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Non-cancelable Material Commitments—</w:t>
      </w:r>
      <w:r>
        <w:rPr>
          <w:rFonts w:ascii="Times New Roman" w:cs="Times New Roman" w:eastAsia="Times New Roman" w:hAnsi="Times New Roman"/>
          <w:sz w:val="18"/>
          <w:szCs w:val="18"/>
          <w:color w:val="auto"/>
        </w:rPr>
        <w:t>During the three months ended March 31, 2023, other than certain non-cancelable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described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other material changes outside the ordinary course of business to the Company's contractual obligations and commitments from those disclosed in the Annual Report.</w:t>
      </w:r>
    </w:p>
    <w:p>
      <w:pPr>
        <w:spacing w:after="0" w:line="17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—The Company sponsors a 401(k) defined contribution plan covering all eligible U.S. employees. The Company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costs of the 401(k) plan and makes matching contributions to the 401(k) plan. For the three months ended March 31, 2023 and 2022, the Company incurred expense of $1.4 million and $1.2 million, respectively, for matching contributions.</w:t>
      </w:r>
    </w:p>
    <w:p>
      <w:pPr>
        <w:spacing w:after="0" w:line="17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Matters</w:t>
      </w:r>
      <w:r>
        <w:rPr>
          <w:rFonts w:ascii="Times New Roman" w:cs="Times New Roman" w:eastAsia="Times New Roman" w:hAnsi="Times New Roman"/>
          <w:sz w:val="18"/>
          <w:szCs w:val="18"/>
          <w:color w:val="auto"/>
        </w:rPr>
        <w:t>—The Company is involved from time to time in various claims and legal actions arising in the ordinary course of business. While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—The Company enters into indemnification provisions under some agreements with other parties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leases for its facilities expiring between 2023 and 2033. Certain lease agreements contain an option for the Company to renew a lease for a term of up to five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with variable lease payments recognized in the period those payments are incurred.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8"/>
          <w:szCs w:val="18"/>
          <w:color w:val="auto"/>
        </w:rPr>
        <w:t>The components of lease cost recognized within the Company’s condensed consolidated statements of operations were as follows (in thousands):</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4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1"/>
                <w:szCs w:val="21"/>
                <w:color w:val="auto"/>
                <w:vertAlign w:val="superscript"/>
              </w:rPr>
              <w:t>(1)</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0369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lease expense of $5.9 million and $4.4 million for the three months ended March 31, 2023 and 2022, respectively.</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operating leases are as follows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522"/>
        </w:trPr>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operating leases are as follows (in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8"/>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17,490</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beyond</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56,224</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137,274</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(30,635)</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2023, the Company had various operating leases that had not yet commenced, which are excluded from the table above. The operating leases will commence between fiscal year 2023 and 2025 with total undiscounted future payments of $199.5 million and a weighted-average lease term of 8.9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4480" w:type="dxa"/>
            <w:vAlign w:val="bottom"/>
          </w:tcPr>
          <w:p>
            <w:pPr>
              <w:spacing w:after="0"/>
              <w:rPr>
                <w:sz w:val="16"/>
                <w:szCs w:val="16"/>
                <w:color w:val="auto"/>
              </w:rPr>
            </w:pPr>
          </w:p>
        </w:tc>
        <w:tc>
          <w:tcPr>
            <w:tcW w:w="676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53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5.43 %</w:t>
            </w:r>
          </w:p>
        </w:tc>
      </w:tr>
      <w:tr>
        <w:trPr>
          <w:trHeight w:val="859"/>
        </w:trPr>
        <w:tc>
          <w:tcPr>
            <w:tcW w:w="4480" w:type="dxa"/>
            <w:vAlign w:val="bottom"/>
          </w:tcPr>
          <w:p>
            <w:pPr>
              <w:spacing w:after="0"/>
              <w:rPr>
                <w:sz w:val="24"/>
                <w:szCs w:val="24"/>
                <w:color w:val="auto"/>
              </w:rPr>
            </w:pPr>
          </w:p>
        </w:tc>
        <w:tc>
          <w:tcPr>
            <w:tcW w:w="5300" w:type="dxa"/>
            <w:vAlign w:val="bottom"/>
          </w:tcPr>
          <w:p>
            <w:pPr>
              <w:jc w:val="right"/>
              <w:ind w:right="3976"/>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 thousands):</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259,862</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103,168</w:t>
            </w: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2023 and 2022, which was included in the deferred revenue balances at the beginning of each such period, was $245.3 million and $165.4 million, respectively.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March 31, 2023 and December 31, 2022, the aggregate transaction price allocated to remaining performance obligations was $1,138.3 million and $1,057.2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deemed uncollectible are charged against the allowance for credit losses when identified. During the three months ended March 31, 2023 and 2022, the Company charged $1.3 million and $0.4 million, respectively, of accounts receivable deemed uncollectible against the allowance for credit losses.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March 31, 2023 and December 31, 2022, unbilled accounts receivable of approximately $63.0 million and $60.0 million, respectively, was included in accounts receivable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condensed consolidated balance sheets were $91.5 million and $88.4 million as of March 31, 2023 and December 31, 2022, respectively. Amortization expense was $8.6 million and $6.0 million for the three months ended March 31, 2023 and 2022,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2023, 483,392 shares of Class B common stock were converted into Class A common stock.</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2023, the Company had authorized 2,000,000,000 shares of Class A common stock and 310,000,000 shares of Class B common stock, each at a par value per share of $0.00001, of which 295,958,300 shares of Class A common stock and 25,487,943 shares of Class B common stock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March 31, 2023, there were 17,309,434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awards, restricted stock units (“RSUs”) and performance stock units ("PSUs") and other awards, each equity award valued or based on the Company’s Class A common stock, to employees, directors, consultants and advisors of the Company. As of March 31, 2023, there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77,411,827 shares available for grant under the 2019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56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6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6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outstanding—December 31, 2022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18,551,857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1,303,464</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outstanding—March 31, 2023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17,337,771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1,201,788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Ending Exercisable—March 31, 2023</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16,674,200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1,160,959</w:t>
            </w:r>
          </w:p>
        </w:tc>
      </w:tr>
      <w:tr>
        <w:trPr>
          <w:trHeight w:val="21"/>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2023, there were 28,337 shares of Class A common stock and 17,309,434 shares of Class B common stock issuable upon the exercise of options outstanding. As of December 31, 2022, there were 28,557 shares of Class A common stock and 18,523,300 shares of Class B common stock issuable upon the exercise of options outstanding.</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awards not yet recognized was approximately $6.0 million and $10.1 million as of March 31, 2023 and December 31, 2022, respectively. The weighted-average period over which this compensation cost related to unvested employee awards will be recognized is 0.4 years and 0.6 years as of March 31, 2023 and December 31, 2022, respectively.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2023 and 2022. The Company received approximately $2.1 million and $4.2 million in cash proceeds from options exercised during the three months ended March 31, 2023 and 2022, respectively. The intrinsic value of options exercised during the three months ended March 31, 2023 and 2022</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was approximately $86.3 million and $165.5 million, respectively. The aggregate fair value of options vested during the three months ended March 31, 2023 and 2022 was $5.0 million and $6.5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Awards and Performance Stock Units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5"/>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Grant Date</w:t>
            </w:r>
          </w:p>
        </w:tc>
      </w:tr>
      <w:tr>
        <w:trPr>
          <w:trHeight w:val="190"/>
        </w:trPr>
        <w:tc>
          <w:tcPr>
            <w:tcW w:w="7640" w:type="dxa"/>
            <w:vAlign w:val="bottom"/>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76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w:t>
            </w:r>
          </w:p>
        </w:tc>
      </w:tr>
      <w:tr>
        <w:trPr>
          <w:trHeight w:val="27"/>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8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13,175,047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granted a total of 1,130,999 restricted shares of Class A common stock in connection with acquisitions during the period from November 2019 to November 2022, which are subject to service-based vesting conditions over approximately four years from the respective grant dates.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$1,161.0 million and $1,151.1 million as of March 31, 2023 and December 31, 2022, respectively. The weighted-average period over which this compensation cost related to unvested RSUs and restricted shares of common stock will be recognized is 2.9 years as of March 31, 2023 and December 31, 2022.</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PSUs not yet recognized was approximately $14.4 million and $19.0 million as of March 31, 2023 and December 31, 2022, respectively. The weighted-average period over which this compensation cost related to unvested PSUs will be recognized is 1.6 years and 1.4 years as of March 31, 2023 and December 31,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September 2019, the Board adopted and approved the 2019 Employee Stock Purchase Plan (the “ESPP”), which became effective on the date of the final prospectus for the IPO.</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$4.5 million of stock-based compensation expense related to the ESPP during the three months ended March 31, 2023. As of March 31, 2023, $16.4 million has been withheld on behalf of employees for a future purchase under the ESPP due to the timing of payroll deductions. There were no purchases related to ESPP in the three months ended March 31, 2023. As of March 31, 2023, 17,998,489 shares of Class A common stock remain available for grant under the ESPP.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considered probable that the performance condition will be satisfied and account for forfeitures as they occur.</w:t>
      </w:r>
    </w:p>
    <w:p>
      <w:pPr>
        <w:spacing w:after="0" w:line="19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included in the condensed consolidated statement of operations as follows (in thousands):</w:t>
      </w:r>
    </w:p>
    <w:p>
      <w:pPr>
        <w:spacing w:after="0" w:line="15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44,696</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66,884</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5" w:right="33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Interest income and other income, net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7487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18,520</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r>
      <w:tr>
        <w:trPr>
          <w:trHeight w:val="270"/>
        </w:trPr>
        <w:tc>
          <w:tcPr>
            <w:tcW w:w="320" w:type="dxa"/>
            <w:vAlign w:val="bottom"/>
          </w:tcPr>
          <w:p>
            <w:pPr>
              <w:spacing w:after="0"/>
              <w:rPr>
                <w:sz w:val="23"/>
                <w:szCs w:val="23"/>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(1,793)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16,727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60" w:space="720"/>
            <w:col w:w="2760"/>
          </w:cols>
          <w:pgMar w:left="320" w:top="1305"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an effective tax rate of (17.9)% and 10.3% for the three months ended March 31, 2023 and 2022, respectively. The Company has incurred U.S. operating losses and has minimal profits in its foreign jurisdictions during the quarter.</w:t>
      </w:r>
    </w:p>
    <w:p>
      <w:pPr>
        <w:ind w:left="500"/>
        <w:spacing w:after="0"/>
        <w:rPr>
          <w:sz w:val="20"/>
          <w:szCs w:val="20"/>
          <w:color w:val="auto"/>
        </w:rPr>
      </w:pPr>
      <w:r>
        <w:rPr>
          <w:rFonts w:ascii="Times New Roman" w:cs="Times New Roman" w:eastAsia="Times New Roman" w:hAnsi="Times New Roman"/>
          <w:sz w:val="18"/>
          <w:szCs w:val="18"/>
          <w:color w:val="auto"/>
        </w:rPr>
        <w:t xml:space="preserve">The Company has applied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it has uncertain positions that would result in a tax reserve deemed</w:t>
      </w:r>
    </w:p>
    <w:p>
      <w:pPr>
        <w:spacing w:after="0" w:line="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immaterial for each of the three months ended March 31, 2023 and 2022. The Company’s policy is to recognize interest and penalties related to uncertain tax positions in income tax expense. The Company is subject to U.S. federal tax authority, U.S. state tax authority and foreign tax authority examinations.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tax years beginning on or after January 1, 2022, the Tax Cuts and Jobs Act of 2017 eliminates the option to deduct research and development expenditures, as defined under IRC Section 174, in the year incurred. Instead, taxpayers are required to amortize such expenditures over five years if incurred in the U.S. and over fifteen years if incurred in a foreign jurisdiction. For the three months ended March 31, 2023, the Company conformed to this change in tax law.</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("the Act") was signed into law. The Act includes a 15.0% corporate alternative minimum tax on the adjusted financial statement income of applicable corporations and a 1.0% excise tax on all corporate stock buybacks of public companies for tax years beginning after December 31, 2022. For the three months ended March 31, 2023, the Act did not materially impact the Company's provision for income tax. The Company will continue to monitor any changes in tax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Income Per Share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Basic and diluted net (loss) income per common share is presented in conformity with the two-class method required for participating securities. Basic and diluted net (loss) income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(loss) income per share of Class A common stock, the undistributed earnings are equal to net (loss) income for that computation.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income per share (in thousands, except per share data):</w:t>
      </w:r>
    </w:p>
    <w:p>
      <w:pPr>
        <w:spacing w:after="0" w:line="151"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39370</wp:posOffset>
            </wp:positionV>
            <wp:extent cx="27343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6"/>
                <w:szCs w:val="16"/>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37"/>
        </w:trPr>
        <w:tc>
          <w:tcPr>
            <w:tcW w:w="6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(loss) income per share: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3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shares used in calculating net (loss) income per share, basic</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293,712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268,197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45,259</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(loss) income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
        </w:trPr>
        <w:tc>
          <w:tcPr>
            <w:tcW w:w="6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(loss) income per share: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Allocation of distributed net (loss) income for basic computation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37"/>
        </w:trPr>
        <w:tc>
          <w:tcPr>
            <w:tcW w:w="6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Reallocation of undistributed net (loss) income as a result of conversion of Class B to Class A shares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8"/>
        </w:trPr>
        <w:tc>
          <w:tcPr>
            <w:tcW w:w="69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Allocation of undistributed (loss)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Number of shares used in basic calculation</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45,259</w:t>
            </w:r>
          </w:p>
        </w:tc>
        <w:tc>
          <w:tcPr>
            <w:tcW w:w="0" w:type="dxa"/>
            <w:vAlign w:val="bottom"/>
          </w:tcPr>
          <w:p>
            <w:pPr>
              <w:spacing w:after="0"/>
              <w:rPr>
                <w:sz w:val="1"/>
                <w:szCs w:val="1"/>
                <w:color w:val="auto"/>
              </w:rPr>
            </w:pPr>
          </w:p>
        </w:tc>
      </w:tr>
      <w:tr>
        <w:trPr>
          <w:trHeight w:val="23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effect of diluted securities: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Conversion of Class B to Class A common shares outstanding</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1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Unvested early exercises</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stock units</w:t>
            </w:r>
          </w:p>
        </w:tc>
        <w:tc>
          <w:tcPr>
            <w:tcW w:w="1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Unvested restricted stock in connection with acquisition</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issuable upon conversion of the convertible senior notes</w:t>
            </w:r>
          </w:p>
        </w:tc>
        <w:tc>
          <w:tcPr>
            <w:tcW w:w="1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94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Number of shares used in diluted calculation</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319,286</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25,574</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345,668</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45,259</w:t>
            </w:r>
          </w:p>
        </w:tc>
        <w:tc>
          <w:tcPr>
            <w:tcW w:w="0" w:type="dxa"/>
            <w:vAlign w:val="bottom"/>
          </w:tcPr>
          <w:p>
            <w:pPr>
              <w:spacing w:after="0"/>
              <w:rPr>
                <w:sz w:val="1"/>
                <w:szCs w:val="1"/>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(loss) income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92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84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13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4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RSUs and PSUs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7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shares of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the convertible senior notes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ASU No. 2020-06 requires the application of the if-converted method to calculate the impact of convertible instruments on diluted earnings per share when the instruments may be settled in cash or shares. The Company uses the if-converted method for calculating any potential dilutive effect of the conversion options embedded in the 2025 Notes on diluted net income per share as required under ASU No. 2020-06 to determine the dilutive effect of the Notes. See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xml:space="preserve"> for more information.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2022, or the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Datadog is the observability and security platform for cloud applications.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real-user monitoring,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March 31, 2023, we had $222.5 million in cash and cash equivalents and $1.8 billion in marketable securities. We generated revenue of $481.7 million and $363.0 million in the three months ended March 31, 2023 and 2022, respectively, representing year-over-year growth of 33%. Substantially all of our revenue is from subscription software sales. We have continued to make significant expenditures and investments, including in personnel-related costs, sales and marketing, infrastructure and operations, and have incurred net (loss) income of $(24.1) million and $9.7 million for the three months ended March 31, 2023 and 2022, respectively. Our operating cash flow was $133.8 million and $147.4 million for the three months ended March 31, 2023 and 2022, respectively. Our free cash flow was $116.3 million and $129.9 million for the three months ended March 31, 2023 and 2022, respectively. See the section titled “—Liquidity and Capital Resources—Non-GAAP Free Cash Flow” below.</w:t>
      </w:r>
    </w:p>
    <w:p>
      <w:pPr>
        <w:spacing w:after="0" w:line="2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rising inflation, the U.S. Federal Reserve raising interest rates, the failure of Silicon Valley Bank and other financial institutions, the Russian invasion of Ukraine, and the COVID-19 pandemic have led to economic uncertainty. Historically, during periods of economic uncertainty and downturns, businesses may slow spending on information technology, which may impact our business and our customers’ businesses. In recent quarters, we have seen slower usage growth from some existing customers, which may be related to the uncertain macroeconomic environment.</w:t>
      </w: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Throughout the COVID-19 pandemic to the extent possible, we conducted business as usual, with necessary or advisable modifications to employee travel and employee work locations and canceling or holding virtually Datadog marketing events. Since the end of the quarter ended March 31, 2022, we have continued to increase our office activity, such as in-person meetings, events, and travel in compliance with applicable government orders and guidelines. As we continue to increase office activity globally, increase travel, participate in and hold more in-person meetings and events, continue hiring and increase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capital expenditures for additional office space, our costs and expenses may increase and our margins may decrease in future quarters.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II, Item 1A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March 31, 2023, we had approximately 25,500 customers spanning organizations of a broad range of sizes and industries, compared to approximately 19,800 as of March 31, 2022. Customers as of March 31, 2023 include approximately 1,400 customers from a prior acquisition, which did not contribute to meaningful revenue during the quarter. Our ability to attract new customers will depend on a number of factors, including the effectiveness and pricing of our products, offerings of our competitors and the effectiveness of our marketing efforts.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March 31, 2023, we had approximately 2,910 customers with annual run-rate revenue, or ARR, of $100,000 or more, representing 85% of our ARR, up from 2,250 customers as of March 31, 2022, representing 85%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We updated the definition of MRR as of the quarter ended September 30, 2021 to capture usage from subscriptions with committed contractual amounts and applied this change retrospectively.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each of March 31, 2023 and 2022, our trailing 12-month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 As the growth of our business has decelerated in recent quarters, our trailing 12-month dollar-based net retention rate has declined.</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increase sales to existing customers will depend on a number of factors, including our customers’ satisfaction with our solution, competition, pricing and overall changes in our customers’ spending levels.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17 products</w:t>
      </w:r>
      <w:r>
        <w:rPr>
          <w:rFonts w:ascii="Arial" w:cs="Arial" w:eastAsia="Arial" w:hAnsi="Arial"/>
          <w:sz w:val="18"/>
          <w:szCs w:val="18"/>
          <w:color w:val="333333"/>
        </w:rPr>
        <w:t>.</w:t>
      </w:r>
      <w:r>
        <w:rPr>
          <w:rFonts w:ascii="Times New Roman" w:cs="Times New Roman" w:eastAsia="Times New Roman" w:hAnsi="Times New Roman"/>
          <w:sz w:val="18"/>
          <w:szCs w:val="18"/>
          <w:color w:val="auto"/>
        </w:rPr>
        <w:t xml:space="preserve"> Approximately 81% of our customers were using more than one product as of each of the periods ended March 31, 2023 and 2022. Additionally, as of March 31, 2023, approximately 43% of our customers were using more than four products, up from approximately 35% a year earlier, and approximately 19% of our customers were using more than six products, up from approximately 12% a year earlier. We believe these metrics indicate strong expansion of product adoption across our platform.</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29% and 28% of total revenue for the three months ended March 31, 2023 and 2022, respectively.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including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Usage is measured primarily by the number of hosts or by the volume of data indexed. A host is generally defined as a server, either in the cloud or on-premise. Our infrastructure monitoring, APM and </w:t>
      </w:r>
      <w:r>
        <w:rPr>
          <w:rFonts w:ascii="Times New Roman" w:cs="Times New Roman" w:eastAsia="Times New Roman" w:hAnsi="Times New Roman"/>
          <w:sz w:val="18"/>
          <w:szCs w:val="18"/>
          <w:color w:val="333333"/>
        </w:rPr>
        <w:t>network performance monitoring</w:t>
      </w:r>
      <w:r>
        <w:rPr>
          <w:rFonts w:ascii="Times New Roman" w:cs="Times New Roman" w:eastAsia="Times New Roman" w:hAnsi="Times New Roman"/>
          <w:sz w:val="18"/>
          <w:szCs w:val="18"/>
          <w:color w:val="auto"/>
        </w:rPr>
        <w:t xml:space="preserve"> products are priced per host, our logs product is priced primarily per log events indexed and secondarily by events ingested. </w:t>
      </w:r>
      <w:r>
        <w:rPr>
          <w:rFonts w:ascii="Times New Roman" w:cs="Times New Roman" w:eastAsia="Times New Roman" w:hAnsi="Times New Roman"/>
          <w:sz w:val="18"/>
          <w:szCs w:val="18"/>
          <w:color w:val="333333"/>
        </w:rPr>
        <w:t>Customers also have the option to purchase additional products, such as additional container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serverless monitoring, custom metrics packages, anomaly detection, synthetic monitoring and app analytics.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related to compliance and reporting obligations and increased expenses for insurance, investor relations and professional services. We expect that our general and administrative expense will increase in absolute dollars as our business grows.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primarily due to income earned on money market funds included in cash and cash equivalents and on marketable securities, partially offset by interest expense due on the 2025 Notes and amortization of premiums on our marketable securities.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22225</wp:posOffset>
            </wp:positionV>
            <wp:extent cx="1748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7" w:lineRule="exact"/>
        <w:rPr>
          <w:sz w:val="20"/>
          <w:szCs w:val="20"/>
          <w:color w:val="auto"/>
        </w:rPr>
      </w:pPr>
    </w:p>
    <w:p>
      <w:pPr>
        <w:ind w:left="90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33655</wp:posOffset>
            </wp:positionV>
            <wp:extent cx="17487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9"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1"/>
          <w:szCs w:val="2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1"/>
          <w:szCs w:val="21"/>
          <w:color w:val="auto"/>
          <w:vertAlign w:val="superscript"/>
        </w:rPr>
        <w:t>(1)(3)</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1"/>
          <w:szCs w:val="2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1"/>
          <w:szCs w:val="21"/>
          <w:color w:val="auto"/>
          <w:vertAlign w:val="superscript"/>
        </w:rPr>
        <w:t>(1)(3)</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(loss)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1"/>
          <w:szCs w:val="21"/>
          <w:color w:val="auto"/>
          <w:vertAlign w:val="superscript"/>
        </w:rPr>
        <w:t>(4)</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481,714</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363,030</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99,914</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74,462</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288,568</w:t>
            </w:r>
          </w:p>
        </w:tc>
      </w:tr>
      <w:tr>
        <w:trPr>
          <w:trHeight w:val="540"/>
        </w:trPr>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229,478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150,608</w:t>
            </w:r>
          </w:p>
        </w:tc>
      </w:tr>
      <w:tr>
        <w:trPr>
          <w:trHeight w:val="270"/>
        </w:trPr>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101,166</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26,380</w:t>
            </w:r>
          </w:p>
        </w:tc>
      </w:tr>
      <w:tr>
        <w:trPr>
          <w:trHeight w:val="250"/>
        </w:trPr>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416,770</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278,154</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w:t>
            </w:r>
          </w:p>
        </w:tc>
      </w:tr>
      <w:tr>
        <w:trPr>
          <w:trHeight w:val="540"/>
        </w:trPr>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w:t>
            </w:r>
          </w:p>
        </w:tc>
      </w:tr>
      <w:tr>
        <w:trPr>
          <w:trHeight w:val="250"/>
        </w:trPr>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50"/>
        </w:trPr>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r>
      <w:tr>
        <w:trPr>
          <w:trHeight w:val="270"/>
        </w:trPr>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7487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7" w:lineRule="exact"/>
        <w:rPr>
          <w:sz w:val="20"/>
          <w:szCs w:val="20"/>
          <w:color w:val="auto"/>
        </w:rPr>
      </w:pPr>
    </w:p>
    <w:p>
      <w:pPr>
        <w:ind w:left="520"/>
        <w:spacing w:after="0"/>
        <w:tabs>
          <w:tab w:leader="none" w:pos="19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17487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7760" w:space="720"/>
            <w:col w:w="2760"/>
          </w:cols>
          <w:pgMar w:left="320" w:top="1309"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112,728</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48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9" w:right="339" w:bottom="1440" w:gutter="0" w:footer="0" w:header="0"/>
          <w:type w:val="continuous"/>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7" w:name="page28"/>
    <w:bookmarkEnd w:id="27"/>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acquired intangibles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Includes employer payroll taxes on employee stock transactions as follows:</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7487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0"/>
        </w:trPr>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93"/>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17487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7760" w:space="720"/>
            <w:col w:w="2760"/>
          </w:cols>
          <w:pgMar w:left="320" w:top="1089"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Includes amortization of issuance costs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80"/>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17487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7760" w:space="720"/>
            <w:col w:w="276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r>
      <w:tr>
        <w:trPr>
          <w:trHeight w:val="186"/>
        </w:trPr>
        <w:tc>
          <w:tcPr>
            <w:tcW w:w="7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5"/>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845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97"/>
        </w:trPr>
        <w:tc>
          <w:tcPr>
            <w:tcW w:w="11240" w:type="dxa"/>
            <w:vAlign w:val="bottom"/>
            <w:gridSpan w:val="8"/>
          </w:tcPr>
          <w:p>
            <w:pPr>
              <w:jc w:val="right"/>
              <w:ind w:right="432"/>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tc>
      </w:tr>
      <w:tr>
        <w:trPr>
          <w:trHeight w:val="299"/>
        </w:trPr>
        <w:tc>
          <w:tcPr>
            <w:tcW w:w="7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24"/>
                <w:szCs w:val="24"/>
                <w:color w:val="auto"/>
              </w:rPr>
            </w:pPr>
          </w:p>
        </w:tc>
      </w:tr>
      <w:tr>
        <w:trPr>
          <w:trHeight w:val="190"/>
        </w:trPr>
        <w:tc>
          <w:tcPr>
            <w:tcW w:w="7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3"/>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784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78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840" w:type="dxa"/>
            <w:vAlign w:val="bottom"/>
          </w:tcPr>
          <w:p>
            <w:pPr>
              <w:spacing w:after="0"/>
              <w:rPr>
                <w:sz w:val="3"/>
                <w:szCs w:val="3"/>
                <w:color w:val="auto"/>
              </w:rPr>
            </w:pPr>
          </w:p>
        </w:tc>
        <w:tc>
          <w:tcPr>
            <w:tcW w:w="3400" w:type="dxa"/>
            <w:vAlign w:val="bottom"/>
            <w:tcBorders>
              <w:bottom w:val="single" w:sz="8" w:color="auto"/>
            </w:tcBorders>
            <w:gridSpan w:val="7"/>
          </w:tcPr>
          <w:p>
            <w:pPr>
              <w:spacing w:after="0"/>
              <w:rPr>
                <w:sz w:val="3"/>
                <w:szCs w:val="3"/>
                <w:color w:val="auto"/>
              </w:rPr>
            </w:pPr>
          </w:p>
        </w:tc>
      </w:tr>
      <w:tr>
        <w:trPr>
          <w:trHeight w:val="250"/>
        </w:trPr>
        <w:tc>
          <w:tcPr>
            <w:tcW w:w="7840" w:type="dxa"/>
            <w:vAlign w:val="bottom"/>
          </w:tcPr>
          <w:p>
            <w:pPr>
              <w:spacing w:after="0"/>
              <w:rPr>
                <w:sz w:val="21"/>
                <w:szCs w:val="21"/>
                <w:color w:val="auto"/>
              </w:rPr>
            </w:pPr>
          </w:p>
        </w:tc>
        <w:tc>
          <w:tcPr>
            <w:tcW w:w="34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w:t>
            </w: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8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7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78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8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6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r>
      <w:tr>
        <w:trPr>
          <w:trHeight w:val="23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6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r>
      <w:tr>
        <w:trPr>
          <w:trHeight w:val="26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6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
        </w:trPr>
        <w:tc>
          <w:tcPr>
            <w:tcW w:w="7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ectPr>
          <w:pgSz w:w="11900" w:h="16838" w:orient="portrait"/>
          <w:cols w:equalWidth="0" w:num="1">
            <w:col w:w="11240"/>
          </w:cols>
          <w:pgMar w:left="320" w:top="1089" w:right="33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2023 and 2022</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481,714</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$118.7 million, or 33%, for the three months ended March 31, 2023 compared to the three months ended March 31, 2022. Approximately 65% of the increase in revenue was attributable to growth from existing customers, and the remaining 35%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99,914</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74,462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$25.5 million, or 34%, for the three months ended March 31, 2023 compared to the three months ended March 31, 2022. This increase was primarily due to an increase of $16.6 million in third-party cloud infrastructure hosting and software costs and an increase of $5.9 million in personnel expenses as a result of increased headcount.</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gross margin remained flat for the three months ended March 31, 2023 compared to the three months ended March 31, 2022, primarily as the result of revenue growing in proportion to the growth of third-party cloud infrastructure provider costs.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229,478</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150,608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$78.9 million, or 52%, for the three months ended March 31, 2023 compared to the three months ended March 31, 2022. This increase was primarily due to an increase of $64.0 million in personnel costs for our engineering, product and design teams as a result of increased headcount, an increase of $10.6 million in cloud infrastructure-related investments, and an increase of $3.7 million in allocated overhead costs as a result of an increase in overall costs necessary to support the growth of the business and related infrastructure.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144,971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101,166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Sales and marketing expense increased by $43.8 million, or 43%, for the three months ended March 31, 2023 compared to the three months ended March 31, 2022. This increase was primarily due to an increase of $33.8 million in personnel costs</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for our sales and marketing organization as a result of increased headcount and increased variable compensation for our sales personnel, an increase of $6.3 million in advertising, sales, marketing, and promotional activities and an increase of $3.7 million in allocated overhead costs as a result of an increase in overall costs necessary to support the growth of the business and related infrastructure.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42,321</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26,380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9 %</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$15.9 million, or 60%, for the three months ended March 31, 2023 compared to the three months ended March 31, 2022. This increase was primarily due to an increase of $11.5 million in personnel costs as a result of increased headcount and an increase of $2.9 million related to bad debt expense.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2"/>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14,546</w:t>
            </w:r>
          </w:p>
        </w:tc>
        <w:tc>
          <w:tcPr>
            <w:tcW w:w="94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3 %</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$14.1 million, or 3,206%, for the three months ended March 31, 2023 compared to the three months ended March 31, 2022. This increase was primarily driven by an increase of $13.0 million in interest income, mainly due to income earned from investments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three months ended March 31, 2023 and 2022. When assessing sources of liquidity, we also include cash and cash equivalents of $222.5 million and marketable securities of $1.8 billion as of March 31, 2023. We believe that our existing cash and cash equivalents, marketable securities and cash flow from operations will be sufficient to support our cash requirements for the next 12 months and beyond.</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working capital requirements are principally comprised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2025 Notes' coupons and principal. Purchase commitments for business operations are primarily related to cloud hosting and other software-based services. In June 2020, we issued $747.5 million aggregate principal amount of the 2025 Notes in a private placement to qualified institutional buyers pursuant to Rule 144A under the Securities Act.</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there have been no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0" w:name="page31"/>
    <w:bookmarkEnd w:id="30"/>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133,787</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147,388</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(256,248)</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(150,354)</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2,098</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2023 decreased $13.6 million compared to the three months ended March 31, 2022, primarily driven by a decrease in deferred revenue of $52.8 million, a decrease in accrued expenses and other liabilities of $25.2 million, and an increase in prepaid expenses and other currents assets of $7.4 million. The decrease in cash provided by operating activities was offset by an increase in non-cash charges of $45.9 million, a decrease in accounts receivable $36.1 million, and an increase in accounts payable of $26.2 million. The increase in non-cash charges related primarily to an increase of $45.8 million in stock-based compensation as we continued to increase headcount to support the growth of the business.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2023 increased $105.9 million compared to the three months ended March 31, 2023, primarily driven by an increase of $428.1 million in the investment in marketable securities. The increase in cash used in investing activities was offset by an increase of $297.9 million in proceeds from maturities of marketable securities, an increase of $19.3 million in proceeds from the sale of marketable securities, and a decrease of $4.9 million in cash paid for the acquisition of businesses net of cash acquired.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2023 decreased $2.1 million compared to the three months ended March 31, 2022, primarily due to a decrease in proceeds from the exercise of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report our financial results in accordance with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6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147,388</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116,337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129,901</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2023, we had $196.8 million in cash equivalents and $1.8 billion in marketable securities, </w:t>
      </w:r>
      <w:r>
        <w:rPr>
          <w:rFonts w:ascii="Times New Roman" w:cs="Times New Roman" w:eastAsia="Times New Roman" w:hAnsi="Times New Roman"/>
          <w:sz w:val="18"/>
          <w:szCs w:val="18"/>
          <w:color w:val="333333"/>
        </w:rPr>
        <w:t>which consisted</w:t>
      </w:r>
      <w:r>
        <w:rPr>
          <w:rFonts w:ascii="Times New Roman" w:cs="Times New Roman" w:eastAsia="Times New Roman" w:hAnsi="Times New Roman"/>
          <w:sz w:val="18"/>
          <w:szCs w:val="18"/>
          <w:color w:val="auto"/>
        </w:rPr>
        <w:t xml:space="preserve"> of commercial debt, commercial paper, U.S. government treasury securities, certificates of deposit, and U.S. government agency securities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Our cash and cash equivalents are held for working capital purposes. We do not enter into investments for trading or speculative purposes. </w:t>
      </w:r>
      <w:r>
        <w:rPr>
          <w:rFonts w:ascii="Times New Roman" w:cs="Times New Roman" w:eastAsia="Times New Roman" w:hAnsi="Times New Roman"/>
          <w:sz w:val="18"/>
          <w:szCs w:val="18"/>
          <w:color w:val="333333"/>
        </w:rPr>
        <w:t>Our investments are exposed to market risk 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 fluctuation in interest rates, which may affect our interest income and the fair market value of our investments. </w:t>
      </w:r>
      <w:r>
        <w:rPr>
          <w:rFonts w:ascii="Times New Roman" w:cs="Times New Roman" w:eastAsia="Times New Roman" w:hAnsi="Times New Roman"/>
          <w:sz w:val="18"/>
          <w:szCs w:val="18"/>
          <w:color w:val="000000"/>
        </w:rPr>
        <w:t>As of March 31, 2023, a hypothetical 10%</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relative change in interest rates would not have a material impact on our condensed consolidated financial statements.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March 31, 2023. Based on the evaluation of our disclosure controls and procedures as of March 31, 2023,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 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any related economic downturn could negatively impact our business, financial condition and results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inflation, rising interest rates, the failure of Silicon Valley Bank and other financial institutions, international trade relations, political turmoil, natural catastrophes, outbreaks of contagious diseases (such as the COVID-19 pandemic), warfare and terrorist attacks on the United States, Europe, the Asia Pacific region or elsewhere, could cause a decrease in business investments, including spending on information technology, disrupt the timing and cadence of key industry events, and negatively affect the growth of our business and our results of operations. The war in Ukraine and the related political and economic responses imposed on Russia such as sanctions, may exacerbate these issues and trends especially in Europe. More recently, in response to persistently high inflation, the U.S. Federal Reserve has increased interest rates, which may reduce economic growth and cause companies to decrease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was $481.7 million and $363.0 million for the three months ended March 31, 2023 and 2022, respectively, and $1,675.1 million and $1,028.8 million for the years ended December 31, 2022 and 2021,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5"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sustain profitability in the future.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generated net losses in each year since our inception, including net losses of $50.2 million and $20.7 million for the years ended December 31, 2022 and 2021, respectively. As of March 31, 2023, we had an accumulated deficit of $226.4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forecast our future results of operations.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or are unable to protect against cyber 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information, confidential information and other information necessary to provide our service, to operate our business, for legal and marketing purposes, and for other business-related purposes.</w:t>
      </w:r>
    </w:p>
    <w:p>
      <w:pPr>
        <w:spacing w:after="0" w:line="17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our third-party service providers,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many of our employees are working remotely, which may pose additional data security risks (including, for example, an increase in phishing and spam emails we began experiencing during 2020). The reliability and continuous availability of our platform is critical to our success. However, complex software such as ours can contain errors, defects, security vulnerabilities or software bugs that, despite testing by us, are difficult to detect and correct, particularly when such vulnerabilities are first introduced or when new versions or enhancements of our platform are released. Real or perceived errors, defects, security vulnerabilities or software bugs in our products could result in reputational harm, reduce the demand for our products and expose us to breach of contract claims, regulatory fines and related liabilities.</w:t>
      </w:r>
    </w:p>
    <w:p>
      <w:pPr>
        <w:spacing w:after="0" w:line="19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may use third-party service providers and sub-processors to help us deliver services to our customers. These vendors may store or process personal information on our behalf. We use third-party technology, systems and services in a variety of contexts, including, without limitation, encryption and authentication technology, employee email, content delivery to customers, back-office support, credit card processing and other functions.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and ransomware attacks), malicious code, denial-of-service attacks, credential harvesting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w:t>
      </w:r>
    </w:p>
    <w:p>
      <w:pPr>
        <w:spacing w:after="0" w:line="19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our third-party service providers have implemented will be effective against current or future security threats. While we have developed systems and processes designed to protect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Because many different security vulnerabilities exist and exploits of such vulnerabilities continue to evolve, we may be unable to anticipate attempted security breaches, react in a timely manner or implement adequate preventative measures.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have contractual and other legal obligations to notify relevant stakeholders of security incidents. For instance, most jurisdictions have enacted laws, such as the Health Insurance Portability and Accountability Act of 1996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reputation, business, financial condition and results of operations. Our risks are likely to increase as we continue to expand, grow our customer base, and process, store, and transmit increasingly large amounts of proprietary and sensitive data.</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1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 including those impacted by the COVID-19 pandemic and war in Ukraine;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The ongoing military conflict between Russia and Ukraine has also created extreme volatility in the global capital markets and is expected to have further global economic consequences.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as the pandemic's related social and economic impacts evolve.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and any related economic downturn could negatively impact our business, financial condition and results of operations.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COVID-19 pandemic adversely affected workforces, economies and financial markets globally, leading to a reduction or an inability for our customers, partners, suppliers or vendors or other parties with whom we do business to meet their contractual obligations, and for a period of time, a reduction in customer spending on our solutions, and such conditions may reoccur. While it is not possible at this time to predict the duration and extent of the impact that COVID-19 could have on worldwide economic activity and our business in particular, COVID-19 could adversely impact our business, financial condition and results of operations. For example, during the second quarter of 2020, we experienced some impact to the rate of usage growth from our existing customers.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Beginning in March 2020, we took measures intended to help minimize the risk of the virus to our employees and the communities in which we participate. These measures included temporarily suspending all non-essential travel worldwide for our employees, canceling, postponing or holding virtually any Datadog events and discouraging employee attendance at any industry events or in-person work-related meetings. Towards the end of the quarter ended March 31, 2022, we increased our office activity, such as in-person meetings and events, and we have also resumed travel in compliance with applicable government orders and guidelines. However, many of our employees continue to work remotely and in-person meetings have not fully returned to levels before the pandemic. We have a distributed workforce and our employees are accustomed to working remotely and working with others who are working remotely. However, the limitation of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continue to operate via a remote workforce.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7"/>
          <w:szCs w:val="17"/>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the COVID-19 pandemic and remote work arrangements.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Competitive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4" w:name="page45"/>
    <w:bookmarkEnd w:id="44"/>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600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service providers are subject to stringent and changing laws, regulations and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and appropriate use of personal information, confidential information, and other proprietary information that we, our third-party service providers or other partners process. We are subject to a variety of federal, state, local and international laws, directives, regulations, and industry standards, relating to the collection, use, retention, security, disclosure, transfer and other processing of personal information. The regulatory framework for privacy and security issues worldwide is rapidly evolving and as a result implementation standards and enforcement practices are likely to remain uncertain for the foreseeable future.</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our third-party service providers, or our customers must comply. The data protection landscape is currently unstable, resulting in possible significant operational costs for internal compliance and risk to our business. For example, the European Union's General Data Protection Regulation, or EU GDPR, contains numerous requirements and changes from previously existing law, including more robust obligations on data processors and heavier documentation requirements for data protection compliance programs by companies and data protection authorities.</w:t>
      </w:r>
    </w:p>
    <w:p>
      <w:pPr>
        <w:spacing w:after="0" w:line="183"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addition, certain jurisdictions have enacted data localization laws and cross-border personal data transfer laws. For example, absent appropriate safeguards or other circumstances, the European Economic Area (EEA) and the United Kingdom have significantly restricted the transfer of personal data to the United States and other countries whose privacy laws it believes are inadequate. In June 2021, the European Commission released a new set of Standard Contractual Clauses, or “EU SCCs,” that can lawfully be used for personal information transfers from Europe to the United States or most other countries. The EU SCCs require parties that rely upon that legal mechanism to comply with additional obligations, such as conducting transfer impact assessments and implementing additional security and privacy measures, which increases the difficulty of selling to European customers and may lead to longer sales cycles. While we have taken steps to mitigate the impact on us with respect to transfers of data, such as relying on the new EU SCCs, the efficacy and longevity of these transfer mechanisms remains uncertain. These mechanisms are subject to legal challenges and there is no assurance that we can satisfy or rely on these measures to lawfully transfer personal data to the United States. In addition, laws in Switzerland and the United Kingdom similarly restrict transfers of personal data outside of those jurisdictions to countries such as the United States that do not provide an adequate level of personal data protection but require their own, slightly modified transfer mechanisms, resulting in a patchwork of different methods and requirements for Europe alone. If there is no lawful manner for us to transfer personal data from the EEA, the UK, or other jurisdictions to the United States, or if the requirements for a legally-compliant transfer are too onerous, we could face significant costs relating to updating and amending vendor agreements to reflect changing transfer mechanisms or requirements.</w:t>
      </w:r>
    </w:p>
    <w:p>
      <w:pPr>
        <w:spacing w:after="0" w:line="19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China enacted its Personal Information Protection Law, and Canada introduced the Digital Charter Implementation Act.</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data to deliver targeted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 As a result of these developments, we may be required to change the way we market our products, which would impair our ability to reach new or existing customers.</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data) originating from the EEA, we may find it necessary to establish additional systems and processes to maintain such data in the EEA, which may involve substantial expense and distraction from other aspects of our business.</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California Consumer Privacy Act, or CCPA, HIPAA, and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amends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The CPRA also expands the scope of the CCPA to include job applicant and employee personal information. These changes to the CCPA could impact our business activities depending on how they are interpreted. These laws exemplify the vulnerability of our business to the evolving regulatory environment related to the protection of personal information. Some observers have noted that the CCPA and CPRA could mark the beginning of a trend toward more stringent privacy legislation in the United States, which could increase our potential liability and adversely affect our business, the results of our operations, and our financial condition. For example, Colorado, Utah, Virginia and Connecticut recently passed similar consumer privacy legislation, all of which differ from the CCPA and become effective in 2023.</w:t>
      </w:r>
    </w:p>
    <w:p>
      <w:pPr>
        <w:spacing w:after="0" w:line="19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not valid, may inhibit market adoption of our products, particularly in certain industries and foreign countries. If we are not able to adjust to these changing laws, regulations, and contractual obligations, our business may be harmed.</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As of December 31, 2022, we had NOL carryforwards for federal and state income tax purposes of approximately $243.4 million and $92.0 million, respectively, which may be available to offset taxable income in the future, and which expire in 2026 for state purposes if not utilized.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 taxable years beginning after December 31, 2020, is limited to 80% of taxable income. It is uncertain if and to what extent various states will conform to federal tax laws. A lack of future taxable income would adversely affect our ability to utilize portions of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post-change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the Tax Cuts and Jobs Act and the Inflation Reduction Act;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implementation of a global minimum tax, as agreed upon by the Organisation for Economic Co-operation and Development (OECD);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of these developments could adversely affect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Condensed Consolidated Financial Statements included 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191" w:lineRule="exact"/>
        <w:rPr>
          <w:sz w:val="20"/>
          <w:szCs w:val="20"/>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spacing w:after="0" w:line="252" w:lineRule="auto"/>
        <w:rPr>
          <w:sz w:val="20"/>
          <w:szCs w:val="20"/>
          <w:color w:val="auto"/>
        </w:rPr>
      </w:pPr>
      <w:r>
        <w:rPr>
          <w:rFonts w:ascii="Times New Roman" w:cs="Times New Roman" w:eastAsia="Times New Roman" w:hAnsi="Times New Roman"/>
          <w:sz w:val="18"/>
          <w:szCs w:val="18"/>
          <w:color w:val="auto"/>
        </w:rPr>
        <w:t>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29% and 28% for the three months ended March 31, 2023 and 2022, respectively.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March 31, 2023, approximately 39% of our full-time employees were located outside of the United States, 33%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U.K. operations and local employees due to Brexit;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w:t>
      </w:r>
    </w:p>
    <w:p>
      <w:pPr>
        <w:spacing w:after="0" w:line="117"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55" w:name="page56"/>
    <w:bookmarkEnd w:id="55"/>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March 31, 2023, our outstanding shares of Class B common stock represented approximately 46%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Further, as of March 31, 2023,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As a result, demand for our Class A common stock could decrease, which might cause our stock price to decline and could decrease the trading volume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incurred significant legal, accounting, insurance, and other expenses as a public company, which we expect to further increase.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ind w:left="980" w:right="2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2025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2025 Notes may adversely affect our financial condition and operating results.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2025 Notes is triggered, as it was during the quarter ended March 31, 2022, holders of the 2025 Notes are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2025 Notes and our Class A common stock.</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5" w:lineRule="exact"/>
        <w:rPr>
          <w:sz w:val="20"/>
          <w:szCs w:val="20"/>
          <w:color w:val="auto"/>
        </w:rPr>
      </w:pPr>
    </w:p>
    <w:p>
      <w:pPr>
        <w:ind w:left="500" w:right="7360" w:hanging="492"/>
        <w:spacing w:after="0" w:line="500" w:lineRule="auto"/>
        <w:tabs>
          <w:tab w:leader="none" w:pos="33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60" w:name="page61"/>
    <w:bookmarkEnd w:id="60"/>
    <w:p>
      <w:pPr>
        <w:ind w:left="55"/>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tbl>
      <w:tblPr>
        <w:tblLayout w:type="fixed"/>
        <w:tblInd w:w="55" w:type="dxa"/>
        <w:tblCellMar>
          <w:top w:w="0" w:type="dxa"/>
          <w:left w:w="0" w:type="dxa"/>
          <w:bottom w:w="0" w:type="dxa"/>
          <w:right w:w="0" w:type="dxa"/>
        </w:tblCellMar>
      </w:tblPr>
      <w:tr>
        <w:trPr>
          <w:trHeight w:val="234"/>
        </w:trPr>
        <w:tc>
          <w:tcPr>
            <w:tcW w:w="4920" w:type="dxa"/>
            <w:vAlign w:val="bottom"/>
            <w:gridSpan w:val="15"/>
          </w:tcPr>
          <w:p>
            <w:pPr>
              <w:ind w:left="500"/>
              <w:spacing w:after="0"/>
              <w:rPr>
                <w:sz w:val="20"/>
                <w:szCs w:val="20"/>
                <w:color w:val="auto"/>
              </w:rPr>
            </w:pPr>
            <w:r>
              <w:rPr>
                <w:rFonts w:ascii="Times New Roman" w:cs="Times New Roman" w:eastAsia="Times New Roman" w:hAnsi="Times New Roman"/>
                <w:sz w:val="18"/>
                <w:szCs w:val="18"/>
                <w:color w:val="auto"/>
              </w:rPr>
              <w:t>Not applicable.</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Certificate of</w:t>
              </w:r>
            </w:hyperlink>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tcPr>
          <w:p>
            <w:pPr>
              <w:jc w:val="right"/>
              <w:ind w:right="279"/>
              <w:spacing w:after="0" w:line="196" w:lineRule="exact"/>
              <w:rPr>
                <w:sz w:val="20"/>
                <w:szCs w:val="20"/>
                <w:color w:val="auto"/>
              </w:rPr>
            </w:pPr>
            <w:r>
              <w:rPr>
                <w:rFonts w:ascii="Times New Roman" w:cs="Times New Roman" w:eastAsia="Times New Roman" w:hAnsi="Times New Roman"/>
                <w:sz w:val="18"/>
                <w:szCs w:val="18"/>
                <w:color w:val="auto"/>
              </w:rPr>
              <w:t>001-39051</w:t>
            </w: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Incorporation of Datadog, Inc.</w:t>
              </w:r>
            </w:hyperlink>
          </w:p>
        </w:tc>
        <w:tc>
          <w:tcPr>
            <w:tcW w:w="104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2019</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Amended and Restated Bylaws of Datadog, Inc.</w:t>
              </w:r>
            </w:hyperlink>
          </w:p>
        </w:tc>
        <w:tc>
          <w:tcPr>
            <w:tcW w:w="2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50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333-233428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23, 2019</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580" w:type="dxa"/>
            <w:vAlign w:val="bottom"/>
            <w:gridSpan w:val="5"/>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3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00" w:type="dxa"/>
            <w:vAlign w:val="bottom"/>
            <w:gridSpan w:val="10"/>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3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00" w:type="dxa"/>
            <w:vAlign w:val="bottom"/>
            <w:gridSpan w:val="10"/>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580" w:type="dxa"/>
            <w:vAlign w:val="bottom"/>
            <w:gridSpan w:val="5"/>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4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4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0"/>
          <w:szCs w:val="20"/>
          <w:color w:val="auto"/>
        </w:rPr>
      </w:pPr>
    </w:p>
    <w:p>
      <w:pPr>
        <w:ind w:left="335" w:right="140" w:hanging="335"/>
        <w:spacing w:after="0" w:line="241" w:lineRule="auto"/>
        <w:tabs>
          <w:tab w:leader="none" w:pos="33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5"/>
          </w:cols>
          <w:pgMar w:left="265" w:top="1305" w:right="37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DATADOG, INC.</w:t>
            </w:r>
          </w:p>
        </w:tc>
      </w:tr>
      <w:tr>
        <w:trPr>
          <w:trHeight w:val="50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8"/>
        </w:trPr>
        <w:tc>
          <w:tcPr>
            <w:tcW w:w="3360" w:type="dxa"/>
            <w:vAlign w:val="bottom"/>
          </w:tcPr>
          <w:p>
            <w:pPr>
              <w:spacing w:after="0"/>
              <w:rPr>
                <w:sz w:val="18"/>
                <w:szCs w:val="18"/>
                <w:color w:val="auto"/>
              </w:rPr>
            </w:pP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0"/>
        </w:trPr>
        <w:tc>
          <w:tcPr>
            <w:tcW w:w="3360" w:type="dxa"/>
            <w:vAlign w:val="bottom"/>
          </w:tcPr>
          <w:p>
            <w:pPr>
              <w:spacing w:after="0"/>
              <w:rPr>
                <w:sz w:val="15"/>
                <w:szCs w:val="15"/>
                <w:color w:val="auto"/>
              </w:rPr>
            </w:pPr>
          </w:p>
        </w:tc>
        <w:tc>
          <w:tcPr>
            <w:tcW w:w="298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8"/>
        </w:trPr>
        <w:tc>
          <w:tcPr>
            <w:tcW w:w="3360" w:type="dxa"/>
            <w:vAlign w:val="bottom"/>
          </w:tcPr>
          <w:p>
            <w:pPr>
              <w:spacing w:after="0"/>
              <w:rPr>
                <w:sz w:val="18"/>
                <w:szCs w:val="18"/>
                <w:color w:val="auto"/>
              </w:rPr>
            </w:pP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0"/>
        </w:trPr>
        <w:tc>
          <w:tcPr>
            <w:tcW w:w="3360" w:type="dxa"/>
            <w:vAlign w:val="bottom"/>
          </w:tcPr>
          <w:p>
            <w:pPr>
              <w:spacing w:after="0"/>
              <w:rPr>
                <w:sz w:val="15"/>
                <w:szCs w:val="15"/>
                <w:color w:val="auto"/>
              </w:rPr>
            </w:pPr>
          </w:p>
        </w:tc>
        <w:tc>
          <w:tcPr>
            <w:tcW w:w="298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089"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March 31, 2023;</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840" w:val="left"/>
          <w:tab w:leader="none" w:pos="7100" w:val="left"/>
        </w:tabs>
        <w:rPr>
          <w:sz w:val="20"/>
          <w:szCs w:val="20"/>
          <w:color w:val="auto"/>
        </w:rPr>
      </w:pPr>
      <w:r>
        <w:rPr>
          <w:rFonts w:ascii="Times New Roman" w:cs="Times New Roman" w:eastAsia="Times New Roman" w:hAnsi="Times New Roman"/>
          <w:sz w:val="18"/>
          <w:szCs w:val="18"/>
          <w:color w:val="auto"/>
        </w:rPr>
        <w:t>Date: May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34290</wp:posOffset>
            </wp:positionV>
            <wp:extent cx="31032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6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March 31, 2023;</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Quarterly Report on Form 10-Q of Datadog, Inc. for the fiscal quarter ended March 31, 2023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Quarterly Report on Form 10-Q of Datadog, Inc. for the fiscal quarter ended March 31, 2023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2"/>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4" Type="http://schemas.openxmlformats.org/officeDocument/2006/relationships/hyperlink" Target="https://www.sec.gov/Archives/edgar/data/0001561550/000119312519252279/d803834dex31.htm" TargetMode="External"/><Relationship Id="rId125" Type="http://schemas.openxmlformats.org/officeDocument/2006/relationships/hyperlink" Target="https://www.sec.gov/Archives/edgar/data/0001561550/000119312519227783/d745413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2023-05-05T08:11:27Z</dcterms:created>
  <dcterms:modified xsi:type="dcterms:W3CDTF">2023-05-05T08:11:27Z</dcterms:modified>
</cp:coreProperties>
</file>