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580" w:hanging="3872"/>
        <w:spacing w:after="0" w:line="376" w:lineRule="auto"/>
        <w:tabs>
          <w:tab w:leader="none" w:pos="5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5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38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00" w:type="dxa"/>
            <w:vAlign w:val="bottom"/>
            <w:tcBorders>
              <w:bottom w:val="single" w:sz="8" w:color="auto"/>
            </w:tcBorders>
          </w:tcPr>
          <w:p>
            <w:pPr>
              <w:spacing w:after="0"/>
              <w:rPr>
                <w:sz w:val="17"/>
                <w:szCs w:val="17"/>
                <w:color w:val="auto"/>
              </w:rPr>
            </w:pPr>
          </w:p>
        </w:tc>
      </w:tr>
      <w:tr>
        <w:trPr>
          <w:trHeight w:val="331"/>
        </w:trPr>
        <w:tc>
          <w:tcPr>
            <w:tcW w:w="3600" w:type="dxa"/>
            <w:vAlign w:val="bottom"/>
            <w:gridSpan w:val="4"/>
          </w:tcPr>
          <w:p>
            <w:pPr>
              <w:ind w:left="380"/>
              <w:spacing w:after="0"/>
              <w:rPr>
                <w:sz w:val="20"/>
                <w:szCs w:val="20"/>
                <w:color w:val="auto"/>
              </w:rPr>
            </w:pPr>
            <w:r>
              <w:rPr>
                <w:rFonts w:ascii="Arial" w:cs="Arial" w:eastAsia="Arial" w:hAnsi="Arial"/>
                <w:sz w:val="18"/>
                <w:szCs w:val="18"/>
                <w:b w:val="1"/>
                <w:bCs w:val="1"/>
                <w:color w:val="auto"/>
              </w:rPr>
              <w:t>Commission File Number: 001-39051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434"/>
        </w:trPr>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0" w:type="dxa"/>
            <w:vAlign w:val="bottom"/>
            <w:gridSpan w:val="2"/>
          </w:tcPr>
          <w:p>
            <w:pPr>
              <w:jc w:val="center"/>
              <w:ind w:right="760"/>
              <w:spacing w:after="0"/>
              <w:rPr>
                <w:sz w:val="20"/>
                <w:szCs w:val="20"/>
                <w:color w:val="auto"/>
              </w:rPr>
            </w:pPr>
            <w:r>
              <w:rPr>
                <w:rFonts w:ascii="Arial" w:cs="Arial" w:eastAsia="Arial" w:hAnsi="Arial"/>
                <w:sz w:val="36"/>
                <w:szCs w:val="36"/>
                <w:b w:val="1"/>
                <w:bCs w:val="1"/>
                <w:color w:val="auto"/>
                <w:w w:val="91"/>
              </w:rPr>
              <w:t>Datadog, Inc.</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980" w:type="dxa"/>
            <w:vAlign w:val="bottom"/>
            <w:gridSpan w:val="2"/>
            <w:vMerge w:val="restart"/>
          </w:tcPr>
          <w:p>
            <w:pPr>
              <w:jc w:val="center"/>
              <w:ind w:left="1499"/>
              <w:spacing w:after="0"/>
              <w:rPr>
                <w:sz w:val="20"/>
                <w:szCs w:val="20"/>
                <w:color w:val="auto"/>
              </w:rPr>
            </w:pPr>
            <w:r>
              <w:rPr>
                <w:rFonts w:ascii="Arial" w:cs="Arial" w:eastAsia="Arial" w:hAnsi="Arial"/>
                <w:sz w:val="18"/>
                <w:szCs w:val="18"/>
                <w:b w:val="1"/>
                <w:bCs w:val="1"/>
                <w:color w:val="auto"/>
                <w:w w:val="91"/>
              </w:rPr>
              <w:t>Delaware</w:t>
            </w:r>
          </w:p>
        </w:tc>
        <w:tc>
          <w:tcPr>
            <w:tcW w:w="5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3740" w:type="dxa"/>
            <w:vAlign w:val="bottom"/>
            <w:vMerge w:val="restart"/>
          </w:tcPr>
          <w:p>
            <w:pPr>
              <w:jc w:val="right"/>
              <w:ind w:right="2284"/>
              <w:spacing w:after="0"/>
              <w:rPr>
                <w:sz w:val="20"/>
                <w:szCs w:val="20"/>
                <w:color w:val="auto"/>
              </w:rPr>
            </w:pPr>
            <w:r>
              <w:rPr>
                <w:rFonts w:ascii="Arial" w:cs="Arial" w:eastAsia="Arial" w:hAnsi="Arial"/>
                <w:sz w:val="18"/>
                <w:szCs w:val="18"/>
                <w:b w:val="1"/>
                <w:bCs w:val="1"/>
                <w:color w:val="auto"/>
              </w:rPr>
              <w:t>27-2825503</w:t>
            </w:r>
          </w:p>
        </w:tc>
        <w:tc>
          <w:tcPr>
            <w:tcW w:w="0" w:type="dxa"/>
            <w:vAlign w:val="bottom"/>
          </w:tcPr>
          <w:p>
            <w:pPr>
              <w:spacing w:after="0"/>
              <w:rPr>
                <w:sz w:val="1"/>
                <w:szCs w:val="1"/>
                <w:color w:val="auto"/>
              </w:rPr>
            </w:pPr>
          </w:p>
        </w:tc>
      </w:tr>
      <w:tr>
        <w:trPr>
          <w:trHeight w:val="376"/>
        </w:trPr>
        <w:tc>
          <w:tcPr>
            <w:tcW w:w="39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jc w:val="center"/>
              <w:ind w:left="14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40" w:type="dxa"/>
            <w:vAlign w:val="bottom"/>
          </w:tcPr>
          <w:p>
            <w:pPr>
              <w:jc w:val="center"/>
              <w:ind w:right="174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980" w:type="dxa"/>
            <w:vAlign w:val="bottom"/>
            <w:gridSpan w:val="2"/>
          </w:tcPr>
          <w:p>
            <w:pPr>
              <w:jc w:val="center"/>
              <w:ind w:left="1499"/>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40" w:type="dxa"/>
            <w:vAlign w:val="bottom"/>
          </w:tcPr>
          <w:p>
            <w:pPr>
              <w:jc w:val="center"/>
              <w:ind w:right="176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4"/>
        </w:trPr>
        <w:tc>
          <w:tcPr>
            <w:tcW w:w="3980" w:type="dxa"/>
            <w:vAlign w:val="bottom"/>
            <w:gridSpan w:val="2"/>
          </w:tcPr>
          <w:p>
            <w:pPr>
              <w:jc w:val="center"/>
              <w:ind w:left="1499"/>
              <w:spacing w:after="0"/>
              <w:rPr>
                <w:sz w:val="20"/>
                <w:szCs w:val="20"/>
                <w:color w:val="auto"/>
              </w:rPr>
            </w:pPr>
            <w:r>
              <w:rPr>
                <w:rFonts w:ascii="Arial" w:cs="Arial" w:eastAsia="Arial" w:hAnsi="Arial"/>
                <w:sz w:val="18"/>
                <w:szCs w:val="18"/>
                <w:b w:val="1"/>
                <w:bCs w:val="1"/>
                <w:color w:val="auto"/>
                <w:w w:val="90"/>
              </w:rPr>
              <w:t>620 8th Avenue, 45th Floor</w:t>
            </w: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80" w:type="dxa"/>
            <w:vAlign w:val="bottom"/>
            <w:gridSpan w:val="2"/>
          </w:tcPr>
          <w:p>
            <w:pPr>
              <w:jc w:val="center"/>
              <w:ind w:left="1499"/>
              <w:spacing w:after="0"/>
              <w:rPr>
                <w:sz w:val="20"/>
                <w:szCs w:val="20"/>
                <w:color w:val="auto"/>
              </w:rPr>
            </w:pPr>
            <w:r>
              <w:rPr>
                <w:rFonts w:ascii="Arial" w:cs="Arial" w:eastAsia="Arial" w:hAnsi="Arial"/>
                <w:sz w:val="18"/>
                <w:szCs w:val="18"/>
                <w:b w:val="1"/>
                <w:bCs w:val="1"/>
                <w:color w:val="auto"/>
                <w:w w:val="95"/>
              </w:rPr>
              <w:t>New York, NY</w:t>
            </w: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40" w:type="dxa"/>
            <w:vAlign w:val="bottom"/>
          </w:tcPr>
          <w:p>
            <w:pPr>
              <w:jc w:val="right"/>
              <w:ind w:right="2484"/>
              <w:spacing w:after="0"/>
              <w:rPr>
                <w:sz w:val="20"/>
                <w:szCs w:val="20"/>
                <w:color w:val="auto"/>
              </w:rPr>
            </w:pPr>
            <w:r>
              <w:rPr>
                <w:rFonts w:ascii="Arial" w:cs="Arial" w:eastAsia="Arial" w:hAnsi="Arial"/>
                <w:sz w:val="18"/>
                <w:szCs w:val="18"/>
                <w:b w:val="1"/>
                <w:bCs w:val="1"/>
                <w:color w:val="auto"/>
              </w:rPr>
              <w:t>10018</w:t>
            </w:r>
          </w:p>
        </w:tc>
        <w:tc>
          <w:tcPr>
            <w:tcW w:w="0" w:type="dxa"/>
            <w:vAlign w:val="bottom"/>
          </w:tcPr>
          <w:p>
            <w:pPr>
              <w:spacing w:after="0"/>
              <w:rPr>
                <w:sz w:val="1"/>
                <w:szCs w:val="1"/>
                <w:color w:val="auto"/>
              </w:rPr>
            </w:pPr>
          </w:p>
        </w:tc>
      </w:tr>
      <w:tr>
        <w:trPr>
          <w:trHeight w:val="186"/>
        </w:trPr>
        <w:tc>
          <w:tcPr>
            <w:tcW w:w="3980" w:type="dxa"/>
            <w:vAlign w:val="bottom"/>
            <w:gridSpan w:val="2"/>
          </w:tcPr>
          <w:p>
            <w:pPr>
              <w:jc w:val="center"/>
              <w:ind w:left="15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40" w:type="dxa"/>
            <w:vAlign w:val="bottom"/>
          </w:tcPr>
          <w:p>
            <w:pPr>
              <w:jc w:val="center"/>
              <w:ind w:right="176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96"/>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(866) 329-4466</w:t>
            </w: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750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gridSpan w:val="2"/>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4"/>
                <w:szCs w:val="14"/>
                <w:color w:val="auto"/>
                <w:w w:val="94"/>
              </w:rPr>
              <w:t>Trading Symbol(s)</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5"/>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Class A common stock, par value $0.00001 per share</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0" w:type="dxa"/>
            <w:vAlign w:val="bottom"/>
            <w:tcBorders>
              <w:right w:val="single" w:sz="8" w:color="auto"/>
            </w:tcBorders>
            <w:gridSpan w:val="2"/>
            <w:vMerge w:val="restart"/>
          </w:tcPr>
          <w:p>
            <w:pPr>
              <w:jc w:val="center"/>
              <w:ind w:right="740"/>
              <w:spacing w:after="0"/>
              <w:rPr>
                <w:sz w:val="20"/>
                <w:szCs w:val="20"/>
                <w:color w:val="auto"/>
              </w:rPr>
            </w:pPr>
            <w:r>
              <w:rPr>
                <w:rFonts w:ascii="Arial" w:cs="Arial" w:eastAsia="Arial" w:hAnsi="Arial"/>
                <w:sz w:val="14"/>
                <w:szCs w:val="14"/>
                <w:color w:val="auto"/>
                <w:w w:val="99"/>
              </w:rPr>
              <w:t>DDOG</w:t>
            </w:r>
          </w:p>
        </w:tc>
        <w:tc>
          <w:tcPr>
            <w:tcW w:w="37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01"/>
        </w:trPr>
        <w:tc>
          <w:tcPr>
            <w:tcW w:w="3760" w:type="dxa"/>
            <w:vAlign w:val="bottom"/>
            <w:tcBorders>
              <w:left w:val="single" w:sz="8" w:color="auto"/>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0" w:type="dxa"/>
            <w:vAlign w:val="bottom"/>
            <w:tcBorders>
              <w:right w:val="single" w:sz="8" w:color="auto"/>
            </w:tcBorders>
            <w:gridSpan w:val="2"/>
            <w:vMerge w:val="continue"/>
          </w:tcPr>
          <w:p>
            <w:pPr>
              <w:spacing w:after="0"/>
              <w:rPr>
                <w:sz w:val="8"/>
                <w:szCs w:val="8"/>
                <w:color w:val="auto"/>
              </w:rPr>
            </w:pP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r>
        <w:trPr>
          <w:trHeight w:val="66"/>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280"/>
              <w:spacing w:after="0"/>
              <w:rPr>
                <w:sz w:val="20"/>
                <w:szCs w:val="20"/>
                <w:color w:val="auto"/>
              </w:rPr>
            </w:pPr>
            <w:r>
              <w:rPr>
                <w:rFonts w:ascii="Arial" w:cs="Arial" w:eastAsia="Arial" w:hAnsi="Arial"/>
                <w:sz w:val="18"/>
                <w:szCs w:val="18"/>
                <w:color w:val="auto"/>
              </w:rPr>
              <w:t>Small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6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As of July 31, 2020, there were 189,798,022 shares of the registrant’s Class A common stock and 113,537,435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00" w:type="dxa"/>
            <w:vAlign w:val="bottom"/>
            <w:gridSpan w:val="7"/>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20" w:type="dxa"/>
            <w:vAlign w:val="bottom"/>
            <w:vMerge w:val="continue"/>
          </w:tcPr>
          <w:p>
            <w:pPr>
              <w:spacing w:after="0"/>
              <w:rPr>
                <w:sz w:val="16"/>
                <w:szCs w:val="16"/>
                <w:color w:val="auto"/>
              </w:rPr>
            </w:pPr>
          </w:p>
        </w:tc>
        <w:tc>
          <w:tcPr>
            <w:tcW w:w="9600" w:type="dxa"/>
            <w:vAlign w:val="bottom"/>
            <w:gridSpan w:val="7"/>
            <w:vMerge w:val="continue"/>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7"/>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0" w:type="dxa"/>
            <w:vAlign w:val="bottom"/>
            <w:gridSpan w:val="7"/>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June 30, 2020 and December 31, 2019 (unaudited)</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8740" w:type="dxa"/>
            <w:vAlign w:val="bottom"/>
            <w:tcBorders>
              <w:bottom w:val="single" w:sz="8" w:color="0000EE"/>
            </w:tcBorders>
            <w:gridSpan w:val="4"/>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Six Months Ended June 30, 2020 and June 30, 2019</w:t>
              </w:r>
            </w:hyperlink>
          </w:p>
        </w:tc>
        <w:tc>
          <w:tcPr>
            <w:tcW w:w="860" w:type="dxa"/>
            <w:vAlign w:val="bottom"/>
            <w:gridSpan w:val="3"/>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00" w:type="dxa"/>
            <w:vAlign w:val="bottom"/>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1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for the Three and Six Months Ended June 30, 2020 and</w:t>
              </w:r>
            </w:hyperlink>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2019 (unaudited)</w:t>
              </w:r>
            </w:hyperlink>
          </w:p>
        </w:tc>
        <w:tc>
          <w:tcPr>
            <w:tcW w:w="8360" w:type="dxa"/>
            <w:vAlign w:val="bottom"/>
            <w:gridSpan w:val="5"/>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00" w:type="dxa"/>
            <w:vAlign w:val="bottom"/>
            <w:gridSpan w:val="7"/>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 of Convertible Preferred Stock and Stockholders’ Equity (Deficit) for the Three and Six</w:t>
              </w:r>
            </w:hyperlink>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Months Ended June 30, 2020 and June 30, 2019 (unaudited)</w:t>
              </w:r>
            </w:hyperlink>
          </w:p>
        </w:tc>
        <w:tc>
          <w:tcPr>
            <w:tcW w:w="4580" w:type="dxa"/>
            <w:vAlign w:val="bottom"/>
            <w:tcBorders>
              <w:top w:val="single" w:sz="8" w:color="0000EE"/>
            </w:tcBorders>
            <w:gridSpan w:val="2"/>
          </w:tcPr>
          <w:p>
            <w:pPr>
              <w:spacing w:after="0"/>
              <w:rPr>
                <w:sz w:val="17"/>
                <w:szCs w:val="17"/>
                <w:color w:val="auto"/>
              </w:rPr>
            </w:pPr>
          </w:p>
        </w:tc>
        <w:tc>
          <w:tcPr>
            <w:tcW w:w="680" w:type="dxa"/>
            <w:vAlign w:val="bottom"/>
            <w:gridSpan w:val="2"/>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9600" w:type="dxa"/>
            <w:vAlign w:val="bottom"/>
            <w:gridSpan w:val="7"/>
          </w:tcPr>
          <w:p>
            <w:pPr>
              <w:spacing w:after="0"/>
              <w:rPr>
                <w:rFonts w:ascii="Arial" w:cs="Arial" w:eastAsia="Arial" w:hAnsi="Arial"/>
                <w:sz w:val="18"/>
                <w:szCs w:val="18"/>
                <w:u w:val="single" w:color="auto"/>
                <w:color w:val="0000EE"/>
                <w:w w:val="96"/>
              </w:rPr>
            </w:pPr>
            <w:hyperlink w:anchor="page11">
              <w:r>
                <w:rPr>
                  <w:rFonts w:ascii="Arial" w:cs="Arial" w:eastAsia="Arial" w:hAnsi="Arial"/>
                  <w:sz w:val="18"/>
                  <w:szCs w:val="18"/>
                  <w:u w:val="single" w:color="auto"/>
                  <w:color w:val="0000EE"/>
                  <w:w w:val="96"/>
                </w:rPr>
                <w:t>Condensed Consolidated Statements of Cash Flows for the Six Months Ended June 30, 2020 and June 30, 2019 (unaudited)</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9600" w:type="dxa"/>
            <w:vAlign w:val="bottom"/>
            <w:gridSpan w:val="7"/>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Condensed Consolidated Financial Statements (unaudited)</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7"/>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7"/>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Quantitative and Qualitative Disclosures About Market Risk</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7"/>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Controls and Procedures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00" w:type="dxa"/>
            <w:vAlign w:val="bottom"/>
            <w:gridSpan w:val="7"/>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INFORMATION</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7"/>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Legal Proceedings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600" w:type="dxa"/>
            <w:vAlign w:val="bottom"/>
            <w:gridSpan w:val="7"/>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7"/>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Unregistered Sales of Equity Securities and Use of Proceeds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7"/>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Defaults Upon Senior Securities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7"/>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Mine Safety Disclosures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600" w:type="dxa"/>
            <w:vAlign w:val="bottom"/>
            <w:gridSpan w:val="7"/>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Other Information</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600" w:type="dxa"/>
            <w:vAlign w:val="bottom"/>
            <w:gridSpan w:val="7"/>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102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Signatures</w:t>
              </w:r>
            </w:hyperlink>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675"/>
        </w:trPr>
        <w:tc>
          <w:tcPr>
            <w:tcW w:w="1020" w:type="dxa"/>
            <w:vAlign w:val="bottom"/>
          </w:tcPr>
          <w:p>
            <w:pPr>
              <w:spacing w:after="0"/>
              <w:rPr>
                <w:sz w:val="24"/>
                <w:szCs w:val="24"/>
                <w:color w:val="auto"/>
              </w:rPr>
            </w:pPr>
          </w:p>
        </w:tc>
        <w:tc>
          <w:tcPr>
            <w:tcW w:w="8740" w:type="dxa"/>
            <w:vAlign w:val="bottom"/>
            <w:gridSpan w:val="4"/>
          </w:tcPr>
          <w:p>
            <w:pPr>
              <w:ind w:left="45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0"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the ongoing COVID-19 pandemic on our business, results of operations and financial condition.</w:t>
      </w:r>
    </w:p>
    <w:p>
      <w:pPr>
        <w:spacing w:after="0" w:line="26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in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21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Unless the context otherwise indicates, references in this report to the terms “Datadog”, “the Company,” “we,” “our” and “us” refer to Datadog,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subsidiaries.</w:t>
      </w:r>
    </w:p>
    <w:p>
      <w:pPr>
        <w:spacing w:after="0" w:line="25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DATADOG,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311"/>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8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r>
      <w:tr>
        <w:trPr>
          <w:trHeight w:val="223"/>
        </w:trPr>
        <w:tc>
          <w:tcPr>
            <w:tcW w:w="8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206,202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597,297</w:t>
            </w:r>
          </w:p>
        </w:tc>
      </w:tr>
      <w:tr>
        <w:trPr>
          <w:trHeight w:val="230"/>
        </w:trPr>
        <w:tc>
          <w:tcPr>
            <w:tcW w:w="814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1,259,597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176,674</w:t>
            </w:r>
          </w:p>
        </w:tc>
      </w:tr>
      <w:tr>
        <w:trPr>
          <w:trHeight w:val="215"/>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credit losses of $2,274 and $817 as of</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8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June 30, 2020 and December 31, 2019, respectively</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124,078</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102,394</w:t>
            </w:r>
          </w:p>
        </w:tc>
      </w:tr>
      <w:tr>
        <w:trPr>
          <w:trHeight w:val="229"/>
        </w:trPr>
        <w:tc>
          <w:tcPr>
            <w:tcW w:w="8140" w:type="dxa"/>
            <w:vAlign w:val="bottom"/>
          </w:tcPr>
          <w:p>
            <w:pPr>
              <w:ind w:left="260"/>
              <w:spacing w:after="0"/>
              <w:rPr>
                <w:sz w:val="20"/>
                <w:szCs w:val="20"/>
                <w:color w:val="auto"/>
              </w:rPr>
            </w:pPr>
            <w:r>
              <w:rPr>
                <w:rFonts w:ascii="Arial" w:cs="Arial" w:eastAsia="Arial" w:hAnsi="Arial"/>
                <w:sz w:val="18"/>
                <w:szCs w:val="18"/>
                <w:color w:val="auto"/>
              </w:rPr>
              <w:t>Deferred contract costs, current</w:t>
            </w:r>
          </w:p>
        </w:tc>
        <w:tc>
          <w:tcPr>
            <w:tcW w:w="24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10,927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8,346</w:t>
            </w:r>
          </w:p>
        </w:tc>
      </w:tr>
      <w:tr>
        <w:trPr>
          <w:trHeight w:val="230"/>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25,268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19,231</w:t>
            </w:r>
          </w:p>
        </w:tc>
      </w:tr>
      <w:tr>
        <w:trPr>
          <w:trHeight w:val="223"/>
        </w:trPr>
        <w:tc>
          <w:tcPr>
            <w:tcW w:w="81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1,626,072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903,942</w:t>
            </w:r>
          </w:p>
        </w:tc>
      </w:tr>
      <w:tr>
        <w:trPr>
          <w:trHeight w:val="230"/>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37,164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32,749</w:t>
            </w:r>
          </w:p>
        </w:tc>
      </w:tr>
      <w:tr>
        <w:trPr>
          <w:trHeight w:val="229"/>
        </w:trPr>
        <w:tc>
          <w:tcPr>
            <w:tcW w:w="8140" w:type="dxa"/>
            <w:vAlign w:val="bottom"/>
          </w:tcPr>
          <w:p>
            <w:pPr>
              <w:ind w:left="26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58,188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53,002</w:t>
            </w:r>
          </w:p>
        </w:tc>
      </w:tr>
      <w:tr>
        <w:trPr>
          <w:trHeight w:val="230"/>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16,860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9,058</w:t>
            </w:r>
          </w:p>
        </w:tc>
      </w:tr>
      <w:tr>
        <w:trPr>
          <w:trHeight w:val="229"/>
        </w:trPr>
        <w:tc>
          <w:tcPr>
            <w:tcW w:w="814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2,586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1,435</w:t>
            </w:r>
          </w:p>
        </w:tc>
      </w:tr>
      <w:tr>
        <w:trPr>
          <w:trHeight w:val="229"/>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contract costs, non-current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21,438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17,409</w:t>
            </w:r>
          </w:p>
        </w:tc>
      </w:tr>
      <w:tr>
        <w:trPr>
          <w:trHeight w:val="230"/>
        </w:trPr>
        <w:tc>
          <w:tcPr>
            <w:tcW w:w="81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3,451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3,456</w:t>
            </w:r>
          </w:p>
        </w:tc>
      </w:tr>
      <w:tr>
        <w:trPr>
          <w:trHeight w:val="229"/>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17,947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16,990</w:t>
            </w:r>
          </w:p>
        </w:tc>
      </w:tr>
      <w:tr>
        <w:trPr>
          <w:trHeight w:val="263"/>
        </w:trPr>
        <w:tc>
          <w:tcPr>
            <w:tcW w:w="8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1,783,706</w:t>
            </w:r>
          </w:p>
        </w:tc>
        <w:tc>
          <w:tcPr>
            <w:tcW w:w="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1,038,041</w:t>
            </w:r>
          </w:p>
        </w:tc>
      </w:tr>
      <w:tr>
        <w:trPr>
          <w:trHeight w:val="210"/>
        </w:trPr>
        <w:tc>
          <w:tcPr>
            <w:tcW w:w="8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29"/>
        </w:trPr>
        <w:tc>
          <w:tcPr>
            <w:tcW w:w="814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18,010</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15,429</w:t>
            </w:r>
          </w:p>
        </w:tc>
      </w:tr>
      <w:tr>
        <w:trPr>
          <w:trHeight w:val="230"/>
        </w:trPr>
        <w:tc>
          <w:tcPr>
            <w:tcW w:w="814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46,016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38,746</w:t>
            </w:r>
          </w:p>
        </w:tc>
      </w:tr>
      <w:tr>
        <w:trPr>
          <w:trHeight w:val="229"/>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14,524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11,916</w:t>
            </w:r>
          </w:p>
        </w:tc>
      </w:tr>
      <w:tr>
        <w:trPr>
          <w:trHeight w:val="230"/>
        </w:trPr>
        <w:tc>
          <w:tcPr>
            <w:tcW w:w="8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 current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162,858</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134,148</w:t>
            </w:r>
          </w:p>
        </w:tc>
      </w:tr>
      <w:tr>
        <w:trPr>
          <w:trHeight w:val="223"/>
        </w:trPr>
        <w:tc>
          <w:tcPr>
            <w:tcW w:w="8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241,408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200,239</w:t>
            </w:r>
          </w:p>
        </w:tc>
      </w:tr>
      <w:tr>
        <w:trPr>
          <w:trHeight w:val="230"/>
        </w:trPr>
        <w:tc>
          <w:tcPr>
            <w:tcW w:w="8140" w:type="dxa"/>
            <w:vAlign w:val="bottom"/>
          </w:tcPr>
          <w:p>
            <w:pPr>
              <w:ind w:left="260"/>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11,203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52,881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48,510</w:t>
            </w:r>
          </w:p>
        </w:tc>
      </w:tr>
      <w:tr>
        <w:trPr>
          <w:trHeight w:val="229"/>
        </w:trPr>
        <w:tc>
          <w:tcPr>
            <w:tcW w:w="8140" w:type="dxa"/>
            <w:vAlign w:val="bottom"/>
          </w:tcPr>
          <w:p>
            <w:pPr>
              <w:ind w:left="260"/>
              <w:spacing w:after="0"/>
              <w:rPr>
                <w:sz w:val="20"/>
                <w:szCs w:val="20"/>
                <w:color w:val="auto"/>
              </w:rPr>
            </w:pPr>
            <w:r>
              <w:rPr>
                <w:rFonts w:ascii="Arial" w:cs="Arial" w:eastAsia="Arial" w:hAnsi="Arial"/>
                <w:sz w:val="18"/>
                <w:szCs w:val="18"/>
                <w:color w:val="auto"/>
              </w:rPr>
              <w:t>Convertible senior notes, net</w:t>
            </w:r>
          </w:p>
        </w:tc>
        <w:tc>
          <w:tcPr>
            <w:tcW w:w="24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559,621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non-current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2,417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4,340</w:t>
            </w:r>
          </w:p>
        </w:tc>
      </w:tr>
      <w:tr>
        <w:trPr>
          <w:trHeight w:val="230"/>
        </w:trPr>
        <w:tc>
          <w:tcPr>
            <w:tcW w:w="8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3,305</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2,611</w:t>
            </w:r>
          </w:p>
        </w:tc>
      </w:tr>
      <w:tr>
        <w:trPr>
          <w:trHeight w:val="223"/>
        </w:trPr>
        <w:tc>
          <w:tcPr>
            <w:tcW w:w="8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870,835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255,700</w:t>
            </w: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5"/>
        </w:trPr>
        <w:tc>
          <w:tcPr>
            <w:tcW w:w="8140" w:type="dxa"/>
            <w:vAlign w:val="bottom"/>
          </w:tcPr>
          <w:p>
            <w:pPr>
              <w:spacing w:after="0"/>
              <w:rPr>
                <w:sz w:val="20"/>
                <w:szCs w:val="20"/>
                <w:color w:val="auto"/>
              </w:rPr>
            </w:pPr>
            <w:r>
              <w:rPr>
                <w:rFonts w:ascii="Arial" w:cs="Arial" w:eastAsia="Arial" w:hAnsi="Arial"/>
                <w:sz w:val="18"/>
                <w:szCs w:val="18"/>
                <w:color w:val="auto"/>
              </w:rPr>
              <w:t>Class A common stock, $0.00001 par value per share; 2,000,000,000 shares authorized as of</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140" w:type="dxa"/>
            <w:vAlign w:val="bottom"/>
          </w:tcPr>
          <w:p>
            <w:pPr>
              <w:ind w:left="140"/>
              <w:spacing w:after="0"/>
              <w:rPr>
                <w:sz w:val="20"/>
                <w:szCs w:val="20"/>
                <w:color w:val="auto"/>
              </w:rPr>
            </w:pPr>
            <w:r>
              <w:rPr>
                <w:rFonts w:ascii="Arial" w:cs="Arial" w:eastAsia="Arial" w:hAnsi="Arial"/>
                <w:sz w:val="18"/>
                <w:szCs w:val="18"/>
                <w:color w:val="auto"/>
              </w:rPr>
              <w:t>June 30, 2020 and December 31, 2019; 187,108,585 and 64,308,498 shares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issued and outstanding as of June 30, 2020 and December 31, 2019, respectively</w:t>
            </w:r>
          </w:p>
        </w:tc>
        <w:tc>
          <w:tcPr>
            <w:tcW w:w="2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w:t>
            </w:r>
          </w:p>
        </w:tc>
      </w:tr>
      <w:tr>
        <w:trPr>
          <w:trHeight w:val="215"/>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Class B common stock, $0.00001 par value per share; 310,000,000 shares authorized as of</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8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2020 and December 31, 2019; 115,145,948 and 232,078,452 shares</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8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 as of June 30, 2020 and December 31, 2019, respectively</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w:t>
            </w:r>
          </w:p>
        </w:tc>
      </w:tr>
      <w:tr>
        <w:trPr>
          <w:trHeight w:val="229"/>
        </w:trPr>
        <w:tc>
          <w:tcPr>
            <w:tcW w:w="81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1,027,656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905,821</w:t>
            </w:r>
          </w:p>
        </w:tc>
      </w:tr>
      <w:tr>
        <w:trPr>
          <w:trHeight w:val="230"/>
        </w:trPr>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2,065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133</w:t>
            </w:r>
          </w:p>
        </w:tc>
      </w:tr>
      <w:tr>
        <w:trPr>
          <w:trHeight w:val="230"/>
        </w:trPr>
        <w:tc>
          <w:tcPr>
            <w:tcW w:w="8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(116,853)</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(123,616)</w:t>
            </w:r>
          </w:p>
        </w:tc>
      </w:tr>
      <w:tr>
        <w:trPr>
          <w:trHeight w:val="223"/>
        </w:trPr>
        <w:tc>
          <w:tcPr>
            <w:tcW w:w="8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912,871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782,341</w:t>
            </w:r>
          </w:p>
        </w:tc>
      </w:tr>
      <w:tr>
        <w:trPr>
          <w:trHeight w:val="223"/>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1,783,706</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1,038,041</w:t>
            </w: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140,012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83,222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271,260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153,272</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28,878</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20,978</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55,357</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39,928</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111,134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62,244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215,903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113,344</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45,664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24,032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86,488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46,847</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51,269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36,118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96,484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66,225</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13,547</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6,088</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28,499</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13,928</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110,480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66,238</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211,471</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127,000</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4,432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(13,656)</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 and other income,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4,466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8,069</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3,068</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284</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6,763</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6,763</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Basic net income (loss) per share</w:t>
            </w: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0.00</w:t>
            </w: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0.00</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 average shares used in calculating basic net</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income (loss) per share:</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299,267</w:t>
            </w:r>
          </w:p>
        </w:tc>
        <w:tc>
          <w:tcPr>
            <w:tcW w:w="1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82,044</w:t>
            </w:r>
          </w:p>
        </w:tc>
        <w:tc>
          <w:tcPr>
            <w:tcW w:w="1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297,361</w:t>
            </w:r>
          </w:p>
        </w:tc>
        <w:tc>
          <w:tcPr>
            <w:tcW w:w="1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79,566</w:t>
            </w: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in calculating diluted net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income (loss) per share:</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330,847</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82,044</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329,402</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79,566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gridSpan w:val="4"/>
          </w:tcPr>
          <w:p>
            <w:pPr>
              <w:jc w:val="right"/>
              <w:ind w:right="207"/>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607"/>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96"/>
              </w:rPr>
              <w:t>2019</w:t>
            </w: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(3,949)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6,763</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(13,440)</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15"/>
        </w:trPr>
        <w:tc>
          <w:tcPr>
            <w:tcW w:w="4420" w:type="dxa"/>
            <w:vAlign w:val="bottom"/>
          </w:tcPr>
          <w:p>
            <w:pPr>
              <w:ind w:left="140"/>
              <w:spacing w:after="0"/>
              <w:rPr>
                <w:sz w:val="20"/>
                <w:szCs w:val="20"/>
                <w:color w:val="auto"/>
              </w:rPr>
            </w:pPr>
            <w:r>
              <w:rPr>
                <w:rFonts w:ascii="Arial" w:cs="Arial" w:eastAsia="Arial" w:hAnsi="Arial"/>
                <w:sz w:val="18"/>
                <w:szCs w:val="18"/>
                <w:color w:val="auto"/>
              </w:rPr>
              <w:t>Unrealized gain on available-for-sale marketable</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securities, net of tax</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w w:val="97"/>
              </w:rPr>
              <w:t>2,978</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97"/>
              </w:rPr>
              <w:t>3,127</w:t>
            </w:r>
          </w:p>
        </w:tc>
        <w:tc>
          <w:tcPr>
            <w:tcW w:w="1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1,932</w:t>
            </w: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78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7"/>
              </w:rPr>
              <w:t>3,411</w:t>
            </w: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(3,938)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8,695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(13,480)</w:t>
            </w: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8"/>
        </w:trPr>
        <w:tc>
          <w:tcPr>
            <w:tcW w:w="3320" w:type="dxa"/>
            <w:vAlign w:val="bottom"/>
          </w:tcPr>
          <w:p>
            <w:pPr>
              <w:spacing w:after="0"/>
              <w:rPr>
                <w:sz w:val="12"/>
                <w:szCs w:val="12"/>
                <w:color w:val="auto"/>
              </w:rPr>
            </w:pPr>
          </w:p>
        </w:tc>
        <w:tc>
          <w:tcPr>
            <w:tcW w:w="222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Class A and Class B</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22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61"/>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8"/>
                <w:szCs w:val="18"/>
                <w:color w:val="auto"/>
              </w:rPr>
            </w:pPr>
          </w:p>
        </w:tc>
        <w:tc>
          <w:tcPr>
            <w:tcW w:w="1120" w:type="dxa"/>
            <w:vAlign w:val="bottom"/>
          </w:tcPr>
          <w:p>
            <w:pPr>
              <w:jc w:val="center"/>
              <w:ind w:right="161"/>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32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41"/>
              <w:spacing w:after="0" w:line="155" w:lineRule="exact"/>
              <w:rPr>
                <w:sz w:val="20"/>
                <w:szCs w:val="20"/>
                <w:color w:val="auto"/>
              </w:rPr>
            </w:pPr>
            <w:r>
              <w:rPr>
                <w:rFonts w:ascii="Arial" w:cs="Arial" w:eastAsia="Arial" w:hAnsi="Arial"/>
                <w:sz w:val="14"/>
                <w:szCs w:val="14"/>
                <w:b w:val="1"/>
                <w:bCs w:val="1"/>
                <w:color w:val="auto"/>
                <w:w w:val="90"/>
              </w:rPr>
              <w:t>(Loss) Income</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41"/>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BALANCE—March 31, 2020</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298,734,720</w:t>
            </w:r>
          </w:p>
        </w:tc>
        <w:tc>
          <w:tcPr>
            <w:tcW w:w="1000" w:type="dxa"/>
            <w:vAlign w:val="bottom"/>
            <w:gridSpan w:val="2"/>
            <w:shd w:val="clear" w:color="auto" w:fill="CFF0FC"/>
          </w:tcPr>
          <w:p>
            <w:pPr>
              <w:jc w:val="right"/>
              <w:ind w:right="728"/>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921,091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(117,137)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802,895</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6"/>
                <w:szCs w:val="16"/>
                <w:color w:val="auto"/>
              </w:rPr>
              <w:t>Issuance of common stock upon</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3,075,059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4,422</w:t>
            </w: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Vesting of early exercised stock</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3,658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Issuance of restricted shares of</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stock</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120,992</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5,169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5,169</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6"/>
                <w:szCs w:val="16"/>
                <w:color w:val="auto"/>
              </w:rPr>
              <w:t>Issuance of common stock under the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120"/>
              <w:spacing w:after="0"/>
              <w:rPr>
                <w:sz w:val="20"/>
                <w:szCs w:val="20"/>
                <w:color w:val="auto"/>
              </w:rPr>
            </w:pPr>
            <w:r>
              <w:rPr>
                <w:rFonts w:ascii="Arial" w:cs="Arial" w:eastAsia="Arial" w:hAnsi="Arial"/>
                <w:sz w:val="16"/>
                <w:szCs w:val="16"/>
                <w:color w:val="auto"/>
              </w:rPr>
              <w:t>employee stock purchase plan, net of</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120"/>
              <w:spacing w:after="0"/>
              <w:rPr>
                <w:sz w:val="20"/>
                <w:szCs w:val="20"/>
                <w:color w:val="auto"/>
              </w:rPr>
            </w:pPr>
            <w:r>
              <w:rPr>
                <w:rFonts w:ascii="Arial" w:cs="Arial" w:eastAsia="Arial" w:hAnsi="Arial"/>
                <w:sz w:val="16"/>
                <w:szCs w:val="16"/>
                <w:color w:val="auto"/>
              </w:rPr>
              <w:t>shares withheld for taxes</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320,104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6,703</w:t>
            </w:r>
          </w:p>
        </w:tc>
        <w:tc>
          <w:tcPr>
            <w:tcW w:w="0" w:type="dxa"/>
            <w:vAlign w:val="bottom"/>
          </w:tcPr>
          <w:p>
            <w:pPr>
              <w:spacing w:after="0"/>
              <w:rPr>
                <w:sz w:val="1"/>
                <w:szCs w:val="1"/>
                <w:color w:val="auto"/>
              </w:rPr>
            </w:pPr>
          </w:p>
        </w:tc>
      </w:tr>
      <w:tr>
        <w:trPr>
          <w:trHeight w:val="21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17,032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17,032</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6"/>
                <w:szCs w:val="16"/>
                <w:color w:val="auto"/>
              </w:rPr>
              <w:t>Equity component of 2025 Convertible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120"/>
              <w:spacing w:after="0"/>
              <w:rPr>
                <w:sz w:val="20"/>
                <w:szCs w:val="20"/>
                <w:color w:val="auto"/>
              </w:rPr>
            </w:pPr>
            <w:r>
              <w:rPr>
                <w:rFonts w:ascii="Arial" w:cs="Arial" w:eastAsia="Arial" w:hAnsi="Arial"/>
                <w:sz w:val="16"/>
                <w:szCs w:val="16"/>
                <w:color w:val="auto"/>
              </w:rPr>
              <w:t>Senior Notes, net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162,570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162,570</w:t>
            </w: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Purchases of capped calls related to</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2025 Convertible Senior Notes</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(89,625)</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6"/>
                <w:szCs w:val="16"/>
                <w:color w:val="auto"/>
              </w:rPr>
              <w:t>Change in accumulated other</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120"/>
              <w:spacing w:after="0"/>
              <w:rPr>
                <w:sz w:val="20"/>
                <w:szCs w:val="20"/>
                <w:color w:val="auto"/>
              </w:rPr>
            </w:pPr>
            <w:r>
              <w:rPr>
                <w:rFonts w:ascii="Arial" w:cs="Arial" w:eastAsia="Arial" w:hAnsi="Arial"/>
                <w:sz w:val="16"/>
                <w:szCs w:val="16"/>
                <w:color w:val="auto"/>
              </w:rPr>
              <w:t>comprehensive income</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3,127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3,127</w:t>
            </w:r>
          </w:p>
        </w:tc>
        <w:tc>
          <w:tcPr>
            <w:tcW w:w="0" w:type="dxa"/>
            <w:vAlign w:val="bottom"/>
          </w:tcPr>
          <w:p>
            <w:pPr>
              <w:spacing w:after="0"/>
              <w:rPr>
                <w:sz w:val="1"/>
                <w:szCs w:val="1"/>
                <w:color w:val="auto"/>
              </w:rPr>
            </w:pPr>
          </w:p>
        </w:tc>
      </w:tr>
      <w:tr>
        <w:trPr>
          <w:trHeight w:val="21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2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284</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7"/>
        </w:trPr>
        <w:tc>
          <w:tcPr>
            <w:tcW w:w="3320" w:type="dxa"/>
            <w:vAlign w:val="bottom"/>
          </w:tcPr>
          <w:p>
            <w:pPr>
              <w:spacing w:after="0"/>
              <w:rPr>
                <w:sz w:val="20"/>
                <w:szCs w:val="20"/>
                <w:color w:val="auto"/>
              </w:rPr>
            </w:pPr>
            <w:r>
              <w:rPr>
                <w:rFonts w:ascii="Arial" w:cs="Arial" w:eastAsia="Arial" w:hAnsi="Arial"/>
                <w:sz w:val="16"/>
                <w:szCs w:val="16"/>
                <w:color w:val="auto"/>
              </w:rPr>
              <w:t>BALANCE—June 30, 2020</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302,254,533</w:t>
            </w:r>
          </w:p>
        </w:tc>
        <w:tc>
          <w:tcPr>
            <w:tcW w:w="1000" w:type="dxa"/>
            <w:vAlign w:val="bottom"/>
            <w:gridSpan w:val="2"/>
          </w:tcPr>
          <w:p>
            <w:pPr>
              <w:jc w:val="right"/>
              <w:ind w:right="728"/>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1,027,656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(116,853)</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912,871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21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Convertible</w:t>
            </w:r>
          </w:p>
        </w:tc>
      </w:tr>
      <w:tr>
        <w:trPr>
          <w:trHeight w:val="215"/>
        </w:trPr>
        <w:tc>
          <w:tcPr>
            <w:tcW w:w="2660" w:type="dxa"/>
            <w:vAlign w:val="bottom"/>
          </w:tcPr>
          <w:p>
            <w:pPr>
              <w:spacing w:after="0"/>
              <w:rPr>
                <w:sz w:val="18"/>
                <w:szCs w:val="18"/>
                <w:color w:val="auto"/>
              </w:rPr>
            </w:pPr>
          </w:p>
        </w:tc>
        <w:tc>
          <w:tcPr>
            <w:tcW w:w="21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Preferred Stock</w:t>
            </w:r>
          </w:p>
        </w:tc>
      </w:tr>
      <w:tr>
        <w:trPr>
          <w:trHeight w:val="156"/>
        </w:trPr>
        <w:tc>
          <w:tcPr>
            <w:tcW w:w="2660" w:type="dxa"/>
            <w:vAlign w:val="bottom"/>
          </w:tcPr>
          <w:p>
            <w:pPr>
              <w:spacing w:after="0"/>
              <w:rPr>
                <w:sz w:val="13"/>
                <w:szCs w:val="13"/>
                <w:color w:val="auto"/>
              </w:rPr>
            </w:pPr>
          </w:p>
        </w:tc>
        <w:tc>
          <w:tcPr>
            <w:tcW w:w="114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840" w:type="dxa"/>
            <w:vAlign w:val="bottom"/>
          </w:tcPr>
          <w:p>
            <w:pPr>
              <w:jc w:val="right"/>
              <w:ind w:right="200"/>
              <w:spacing w:after="0" w:line="155" w:lineRule="exact"/>
              <w:rPr>
                <w:sz w:val="20"/>
                <w:szCs w:val="20"/>
                <w:color w:val="auto"/>
              </w:rPr>
            </w:pPr>
            <w:r>
              <w:rPr>
                <w:rFonts w:ascii="Arial" w:cs="Arial" w:eastAsia="Arial" w:hAnsi="Arial"/>
                <w:sz w:val="14"/>
                <w:szCs w:val="14"/>
                <w:b w:val="1"/>
                <w:bCs w:val="1"/>
                <w:color w:val="auto"/>
              </w:rPr>
              <w:t>Amount</w:t>
            </w:r>
          </w:p>
        </w:tc>
      </w:tr>
      <w:tr>
        <w:trPr>
          <w:trHeight w:val="203"/>
        </w:trPr>
        <w:tc>
          <w:tcPr>
            <w:tcW w:w="2660" w:type="dxa"/>
            <w:vAlign w:val="bottom"/>
          </w:tcPr>
          <w:p>
            <w:pPr>
              <w:spacing w:after="0"/>
              <w:rPr>
                <w:sz w:val="20"/>
                <w:szCs w:val="20"/>
                <w:color w:val="auto"/>
              </w:rPr>
            </w:pPr>
            <w:r>
              <w:rPr>
                <w:rFonts w:ascii="Arial" w:cs="Arial" w:eastAsia="Arial" w:hAnsi="Arial"/>
                <w:sz w:val="16"/>
                <w:szCs w:val="16"/>
                <w:color w:val="auto"/>
              </w:rPr>
              <w:t>BALANCE—March 31, 2019</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179,814,912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140,805</w:t>
            </w:r>
          </w:p>
        </w:tc>
      </w:tr>
      <w:tr>
        <w:trPr>
          <w:trHeight w:val="212"/>
        </w:trPr>
        <w:tc>
          <w:tcPr>
            <w:tcW w:w="266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6"/>
        </w:trPr>
        <w:tc>
          <w:tcPr>
            <w:tcW w:w="2660" w:type="dxa"/>
            <w:vAlign w:val="bottom"/>
          </w:tcPr>
          <w:p>
            <w:pPr>
              <w:ind w:left="120"/>
              <w:spacing w:after="0"/>
              <w:rPr>
                <w:sz w:val="20"/>
                <w:szCs w:val="20"/>
                <w:color w:val="auto"/>
              </w:rPr>
            </w:pPr>
            <w:r>
              <w:rPr>
                <w:rFonts w:ascii="Arial" w:cs="Arial" w:eastAsia="Arial" w:hAnsi="Arial"/>
                <w:sz w:val="16"/>
                <w:szCs w:val="16"/>
                <w:color w:val="auto"/>
              </w:rPr>
              <w:t>upon exercise of 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2"/>
        </w:trPr>
        <w:tc>
          <w:tcPr>
            <w:tcW w:w="2660" w:type="dxa"/>
            <w:vAlign w:val="bottom"/>
          </w:tcPr>
          <w:p>
            <w:pPr>
              <w:spacing w:after="0"/>
              <w:rPr>
                <w:sz w:val="20"/>
                <w:szCs w:val="20"/>
                <w:color w:val="auto"/>
              </w:rPr>
            </w:pPr>
            <w:r>
              <w:rPr>
                <w:rFonts w:ascii="Arial" w:cs="Arial" w:eastAsia="Arial" w:hAnsi="Arial"/>
                <w:sz w:val="16"/>
                <w:szCs w:val="16"/>
                <w:color w:val="auto"/>
              </w:rPr>
              <w:t>Vesting of early exercised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6"/>
        </w:trPr>
        <w:tc>
          <w:tcPr>
            <w:tcW w:w="266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2"/>
        </w:trPr>
        <w:tc>
          <w:tcPr>
            <w:tcW w:w="2660" w:type="dxa"/>
            <w:vAlign w:val="bottom"/>
          </w:tcPr>
          <w:p>
            <w:pPr>
              <w:spacing w:after="0"/>
              <w:rPr>
                <w:sz w:val="20"/>
                <w:szCs w:val="20"/>
                <w:color w:val="auto"/>
              </w:rPr>
            </w:pPr>
            <w:r>
              <w:rPr>
                <w:rFonts w:ascii="Arial" w:cs="Arial" w:eastAsia="Arial" w:hAnsi="Arial"/>
                <w:sz w:val="16"/>
                <w:szCs w:val="16"/>
                <w:color w:val="auto"/>
              </w:rPr>
              <w:t>Conversion of non-voting common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6"/>
        </w:trPr>
        <w:tc>
          <w:tcPr>
            <w:tcW w:w="2660" w:type="dxa"/>
            <w:vAlign w:val="bottom"/>
          </w:tcPr>
          <w:p>
            <w:pPr>
              <w:spacing w:after="0"/>
              <w:rPr>
                <w:sz w:val="20"/>
                <w:szCs w:val="20"/>
                <w:color w:val="auto"/>
              </w:rPr>
            </w:pPr>
            <w:r>
              <w:rPr>
                <w:rFonts w:ascii="Arial" w:cs="Arial" w:eastAsia="Arial" w:hAnsi="Arial"/>
                <w:sz w:val="16"/>
                <w:szCs w:val="16"/>
                <w:color w:val="auto"/>
              </w:rPr>
              <w:t>stock</w:t>
            </w:r>
          </w:p>
        </w:tc>
        <w:tc>
          <w:tcPr>
            <w:tcW w:w="1040" w:type="dxa"/>
            <w:vAlign w:val="bottom"/>
          </w:tcPr>
          <w:p>
            <w:pPr>
              <w:jc w:val="right"/>
              <w:spacing w:after="0"/>
              <w:rPr>
                <w:sz w:val="20"/>
                <w:szCs w:val="20"/>
                <w:color w:val="auto"/>
              </w:rPr>
            </w:pPr>
            <w:r>
              <w:rPr>
                <w:rFonts w:ascii="Arial" w:cs="Arial" w:eastAsia="Arial" w:hAnsi="Arial"/>
                <w:sz w:val="16"/>
                <w:szCs w:val="16"/>
                <w:color w:val="auto"/>
              </w:rPr>
              <w:t>(803,481)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2"/>
        </w:trPr>
        <w:tc>
          <w:tcPr>
            <w:tcW w:w="2660" w:type="dxa"/>
            <w:vAlign w:val="bottom"/>
          </w:tcPr>
          <w:p>
            <w:pPr>
              <w:spacing w:after="0"/>
              <w:rPr>
                <w:sz w:val="20"/>
                <w:szCs w:val="20"/>
                <w:color w:val="auto"/>
              </w:rPr>
            </w:pPr>
            <w:r>
              <w:rPr>
                <w:rFonts w:ascii="Arial" w:cs="Arial" w:eastAsia="Arial" w:hAnsi="Arial"/>
                <w:sz w:val="16"/>
                <w:szCs w:val="16"/>
                <w:color w:val="auto"/>
              </w:rPr>
              <w:t>Change in accumulated other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6"/>
        </w:trPr>
        <w:tc>
          <w:tcPr>
            <w:tcW w:w="2660" w:type="dxa"/>
            <w:vAlign w:val="bottom"/>
          </w:tcPr>
          <w:p>
            <w:pPr>
              <w:ind w:left="120"/>
              <w:spacing w:after="0"/>
              <w:rPr>
                <w:sz w:val="20"/>
                <w:szCs w:val="20"/>
                <w:color w:val="auto"/>
              </w:rPr>
            </w:pPr>
            <w:r>
              <w:rPr>
                <w:rFonts w:ascii="Arial" w:cs="Arial" w:eastAsia="Arial" w:hAnsi="Arial"/>
                <w:sz w:val="16"/>
                <w:szCs w:val="16"/>
                <w:color w:val="auto"/>
              </w:rPr>
              <w:t>comprehensive income</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3"/>
        </w:trPr>
        <w:tc>
          <w:tcPr>
            <w:tcW w:w="2660" w:type="dxa"/>
            <w:vAlign w:val="bottom"/>
          </w:tcPr>
          <w:p>
            <w:pPr>
              <w:spacing w:after="0"/>
              <w:rPr>
                <w:sz w:val="20"/>
                <w:szCs w:val="20"/>
                <w:color w:val="auto"/>
              </w:rPr>
            </w:pPr>
            <w:r>
              <w:rPr>
                <w:rFonts w:ascii="Arial" w:cs="Arial" w:eastAsia="Arial" w:hAnsi="Arial"/>
                <w:sz w:val="16"/>
                <w:szCs w:val="16"/>
                <w:color w:val="auto"/>
              </w:rPr>
              <w:t>BALANCE—June 30, 2019</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179,011,431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140,752</w:t>
            </w:r>
          </w:p>
        </w:tc>
      </w:tr>
      <w:tr>
        <w:trPr>
          <w:trHeight w:val="20"/>
        </w:trPr>
        <w:tc>
          <w:tcPr>
            <w:tcW w:w="2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9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960" w:type="dxa"/>
            <w:vAlign w:val="bottom"/>
            <w:tcBorders>
              <w:lef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40" w:type="dxa"/>
            <w:vAlign w:val="bottom"/>
            <w:tcBorders>
              <w:left w:val="single" w:sz="8" w:color="auto"/>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241"/>
              <w:spacing w:after="0"/>
              <w:rPr>
                <w:sz w:val="20"/>
                <w:szCs w:val="20"/>
                <w:color w:val="auto"/>
              </w:rPr>
            </w:pPr>
            <w:r>
              <w:rPr>
                <w:rFonts w:ascii="Arial" w:cs="Arial" w:eastAsia="Arial" w:hAnsi="Arial"/>
                <w:sz w:val="14"/>
                <w:szCs w:val="14"/>
                <w:b w:val="1"/>
                <w:bCs w:val="1"/>
                <w:color w:val="auto"/>
              </w:rPr>
              <w:t>Paid-in</w:t>
            </w:r>
          </w:p>
        </w:tc>
        <w:tc>
          <w:tcPr>
            <w:tcW w:w="1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960" w:type="dxa"/>
            <w:vAlign w:val="bottom"/>
            <w:tcBorders>
              <w:left w:val="single" w:sz="8" w:color="auto"/>
              <w:bottom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080" w:type="dxa"/>
            <w:vAlign w:val="bottom"/>
            <w:tcBorders>
              <w:bottom w:val="single" w:sz="8" w:color="auto"/>
            </w:tcBorders>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w w:val="92"/>
              </w:rPr>
              <w:t>(Loss) Income</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3"/>
        </w:trPr>
        <w:tc>
          <w:tcPr>
            <w:tcW w:w="960" w:type="dxa"/>
            <w:vAlign w:val="bottom"/>
            <w:tcBorders>
              <w:left w:val="single" w:sz="8" w:color="auto"/>
            </w:tcBorders>
          </w:tcPr>
          <w:p>
            <w:pPr>
              <w:jc w:val="right"/>
              <w:ind w:right="41"/>
              <w:spacing w:after="0"/>
              <w:rPr>
                <w:sz w:val="20"/>
                <w:szCs w:val="20"/>
                <w:color w:val="auto"/>
              </w:rPr>
            </w:pPr>
            <w:r>
              <w:rPr>
                <w:rFonts w:ascii="Arial" w:cs="Arial" w:eastAsia="Arial" w:hAnsi="Arial"/>
                <w:sz w:val="16"/>
                <w:szCs w:val="16"/>
                <w:color w:val="auto"/>
              </w:rPr>
              <w:t>80,953,806</w:t>
            </w:r>
          </w:p>
        </w:tc>
        <w:tc>
          <w:tcPr>
            <w:tcW w:w="780" w:type="dxa"/>
            <w:vAlign w:val="bottom"/>
            <w:gridSpan w:val="2"/>
          </w:tcPr>
          <w:p>
            <w:pPr>
              <w:jc w:val="right"/>
              <w:ind w:right="508"/>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34,853</w:t>
            </w:r>
          </w:p>
        </w:tc>
        <w:tc>
          <w:tcPr>
            <w:tcW w:w="30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(116,397)</w:t>
            </w:r>
          </w:p>
        </w:tc>
        <w:tc>
          <w:tcPr>
            <w:tcW w:w="1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(81,564)</w:t>
            </w:r>
          </w:p>
        </w:tc>
        <w:tc>
          <w:tcPr>
            <w:tcW w:w="0" w:type="dxa"/>
            <w:vAlign w:val="bottom"/>
          </w:tcPr>
          <w:p>
            <w:pPr>
              <w:spacing w:after="0"/>
              <w:rPr>
                <w:sz w:val="1"/>
                <w:szCs w:val="1"/>
                <w:color w:val="auto"/>
              </w:rPr>
            </w:pPr>
          </w:p>
        </w:tc>
      </w:tr>
      <w:tr>
        <w:trPr>
          <w:trHeight w:val="418"/>
        </w:trPr>
        <w:tc>
          <w:tcPr>
            <w:tcW w:w="960" w:type="dxa"/>
            <w:vAlign w:val="bottom"/>
            <w:tcBorders>
              <w:left w:val="single" w:sz="8" w:color="auto"/>
            </w:tcBorders>
          </w:tcPr>
          <w:p>
            <w:pPr>
              <w:jc w:val="right"/>
              <w:ind w:right="41"/>
              <w:spacing w:after="0"/>
              <w:rPr>
                <w:sz w:val="20"/>
                <w:szCs w:val="20"/>
                <w:color w:val="auto"/>
              </w:rPr>
            </w:pPr>
            <w:r>
              <w:rPr>
                <w:rFonts w:ascii="Arial" w:cs="Arial" w:eastAsia="Arial" w:hAnsi="Arial"/>
                <w:sz w:val="16"/>
                <w:szCs w:val="16"/>
                <w:color w:val="auto"/>
              </w:rPr>
              <w:t>5,065,947</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3,162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3,162</w:t>
            </w:r>
          </w:p>
        </w:tc>
        <w:tc>
          <w:tcPr>
            <w:tcW w:w="0" w:type="dxa"/>
            <w:vAlign w:val="bottom"/>
          </w:tcPr>
          <w:p>
            <w:pPr>
              <w:spacing w:after="0"/>
              <w:rPr>
                <w:sz w:val="1"/>
                <w:szCs w:val="1"/>
                <w:color w:val="auto"/>
              </w:rPr>
            </w:pPr>
          </w:p>
        </w:tc>
      </w:tr>
      <w:tr>
        <w:trPr>
          <w:trHeight w:val="419"/>
        </w:trPr>
        <w:tc>
          <w:tcPr>
            <w:tcW w:w="960" w:type="dxa"/>
            <w:vAlign w:val="bottom"/>
            <w:tcBorders>
              <w:left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2,965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2,965</w:t>
            </w:r>
          </w:p>
        </w:tc>
        <w:tc>
          <w:tcPr>
            <w:tcW w:w="0" w:type="dxa"/>
            <w:vAlign w:val="bottom"/>
          </w:tcPr>
          <w:p>
            <w:pPr>
              <w:spacing w:after="0"/>
              <w:rPr>
                <w:sz w:val="1"/>
                <w:szCs w:val="1"/>
                <w:color w:val="auto"/>
              </w:rPr>
            </w:pPr>
          </w:p>
        </w:tc>
      </w:tr>
      <w:tr>
        <w:trPr>
          <w:trHeight w:val="418"/>
        </w:trPr>
        <w:tc>
          <w:tcPr>
            <w:tcW w:w="960" w:type="dxa"/>
            <w:vAlign w:val="bottom"/>
            <w:tcBorders>
              <w:left w:val="single" w:sz="8" w:color="auto"/>
            </w:tcBorders>
          </w:tcPr>
          <w:p>
            <w:pPr>
              <w:jc w:val="right"/>
              <w:ind w:right="41"/>
              <w:spacing w:after="0"/>
              <w:rPr>
                <w:sz w:val="20"/>
                <w:szCs w:val="20"/>
                <w:color w:val="auto"/>
              </w:rPr>
            </w:pPr>
            <w:r>
              <w:rPr>
                <w:rFonts w:ascii="Arial" w:cs="Arial" w:eastAsia="Arial" w:hAnsi="Arial"/>
                <w:sz w:val="16"/>
                <w:szCs w:val="16"/>
                <w:color w:val="auto"/>
              </w:rPr>
              <w:t>803,481</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418"/>
        </w:trPr>
        <w:tc>
          <w:tcPr>
            <w:tcW w:w="960" w:type="dxa"/>
            <w:vAlign w:val="bottom"/>
            <w:tcBorders>
              <w:left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960" w:type="dxa"/>
            <w:vAlign w:val="bottom"/>
            <w:tcBorders>
              <w:left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(3,949)</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tcBorders>
          </w:tcPr>
          <w:p>
            <w:pPr>
              <w:jc w:val="right"/>
              <w:ind w:right="41"/>
              <w:spacing w:after="0"/>
              <w:rPr>
                <w:sz w:val="20"/>
                <w:szCs w:val="20"/>
                <w:color w:val="auto"/>
              </w:rPr>
            </w:pPr>
            <w:r>
              <w:rPr>
                <w:rFonts w:ascii="Arial" w:cs="Arial" w:eastAsia="Arial" w:hAnsi="Arial"/>
                <w:sz w:val="16"/>
                <w:szCs w:val="16"/>
                <w:color w:val="auto"/>
              </w:rPr>
              <w:t>86,823,234</w:t>
            </w:r>
          </w:p>
        </w:tc>
        <w:tc>
          <w:tcPr>
            <w:tcW w:w="780" w:type="dxa"/>
            <w:vAlign w:val="bottom"/>
            <w:gridSpan w:val="2"/>
          </w:tcPr>
          <w:p>
            <w:pPr>
              <w:jc w:val="right"/>
              <w:ind w:right="508"/>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41,132</w:t>
            </w:r>
          </w:p>
        </w:tc>
        <w:tc>
          <w:tcPr>
            <w:tcW w:w="30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(120,346)</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(79,223)</w:t>
            </w:r>
          </w:p>
        </w:tc>
        <w:tc>
          <w:tcPr>
            <w:tcW w:w="0" w:type="dxa"/>
            <w:vAlign w:val="bottom"/>
          </w:tcPr>
          <w:p>
            <w:pPr>
              <w:spacing w:after="0"/>
              <w:rPr>
                <w:sz w:val="1"/>
                <w:szCs w:val="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-1653540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-1242695</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-573405</wp:posOffset>
            </wp:positionV>
            <wp:extent cx="713232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-170815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4760" w:space="100"/>
            <w:col w:w="6380"/>
          </w:cols>
          <w:pgMar w:left="320" w:top="3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22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Class A and Class B</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222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20" w:type="dxa"/>
            <w:vAlign w:val="bottom"/>
          </w:tcPr>
          <w:p>
            <w:pPr>
              <w:spacing w:after="0"/>
              <w:rPr>
                <w:sz w:val="18"/>
                <w:szCs w:val="18"/>
                <w:color w:val="auto"/>
              </w:rPr>
            </w:pPr>
          </w:p>
        </w:tc>
        <w:tc>
          <w:tcPr>
            <w:tcW w:w="22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61"/>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8"/>
                <w:szCs w:val="18"/>
                <w:color w:val="auto"/>
              </w:rPr>
            </w:pPr>
          </w:p>
        </w:tc>
        <w:tc>
          <w:tcPr>
            <w:tcW w:w="1120" w:type="dxa"/>
            <w:vAlign w:val="bottom"/>
          </w:tcPr>
          <w:p>
            <w:pPr>
              <w:jc w:val="center"/>
              <w:ind w:right="161"/>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32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41"/>
              <w:spacing w:after="0" w:line="155" w:lineRule="exact"/>
              <w:rPr>
                <w:sz w:val="20"/>
                <w:szCs w:val="20"/>
                <w:color w:val="auto"/>
              </w:rPr>
            </w:pPr>
            <w:r>
              <w:rPr>
                <w:rFonts w:ascii="Arial" w:cs="Arial" w:eastAsia="Arial" w:hAnsi="Arial"/>
                <w:sz w:val="14"/>
                <w:szCs w:val="14"/>
                <w:b w:val="1"/>
                <w:bCs w:val="1"/>
                <w:color w:val="auto"/>
                <w:w w:val="90"/>
              </w:rPr>
              <w:t>(Loss) Income</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41"/>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296,386,950</w:t>
            </w:r>
          </w:p>
        </w:tc>
        <w:tc>
          <w:tcPr>
            <w:tcW w:w="1000" w:type="dxa"/>
            <w:vAlign w:val="bottom"/>
            <w:gridSpan w:val="2"/>
            <w:shd w:val="clear" w:color="auto" w:fill="CFF0FC"/>
          </w:tcPr>
          <w:p>
            <w:pPr>
              <w:jc w:val="right"/>
              <w:ind w:right="728"/>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905,821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782,341</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6"/>
                <w:szCs w:val="16"/>
                <w:color w:val="auto"/>
              </w:rPr>
              <w:t>Issuance of common stock upon</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5,422,829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7,235</w:t>
            </w: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Vesting of early exercised stock</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588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3,658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Issuance of restricted shares of</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stock</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120,992</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5,169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5,169</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6"/>
                <w:szCs w:val="16"/>
                <w:color w:val="auto"/>
              </w:rPr>
              <w:t>Issuance of common stock under the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120"/>
              <w:spacing w:after="0"/>
              <w:rPr>
                <w:sz w:val="20"/>
                <w:szCs w:val="20"/>
                <w:color w:val="auto"/>
              </w:rPr>
            </w:pPr>
            <w:r>
              <w:rPr>
                <w:rFonts w:ascii="Arial" w:cs="Arial" w:eastAsia="Arial" w:hAnsi="Arial"/>
                <w:sz w:val="16"/>
                <w:szCs w:val="16"/>
                <w:color w:val="auto"/>
              </w:rPr>
              <w:t>employee stock purchase plan, net of</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120"/>
              <w:spacing w:after="0"/>
              <w:rPr>
                <w:sz w:val="20"/>
                <w:szCs w:val="20"/>
                <w:color w:val="auto"/>
              </w:rPr>
            </w:pPr>
            <w:r>
              <w:rPr>
                <w:rFonts w:ascii="Arial" w:cs="Arial" w:eastAsia="Arial" w:hAnsi="Arial"/>
                <w:sz w:val="16"/>
                <w:szCs w:val="16"/>
                <w:color w:val="auto"/>
              </w:rPr>
              <w:t>shares withheld for taxes</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320,104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6,703</w:t>
            </w:r>
          </w:p>
        </w:tc>
        <w:tc>
          <w:tcPr>
            <w:tcW w:w="0" w:type="dxa"/>
            <w:vAlign w:val="bottom"/>
          </w:tcPr>
          <w:p>
            <w:pPr>
              <w:spacing w:after="0"/>
              <w:rPr>
                <w:sz w:val="1"/>
                <w:szCs w:val="1"/>
                <w:color w:val="auto"/>
              </w:rPr>
            </w:pPr>
          </w:p>
        </w:tc>
      </w:tr>
      <w:tr>
        <w:trPr>
          <w:trHeight w:val="21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29,195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29,195</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6"/>
                <w:szCs w:val="16"/>
                <w:color w:val="auto"/>
              </w:rPr>
              <w:t>Equity component of 2025 Convertible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120"/>
              <w:spacing w:after="0"/>
              <w:rPr>
                <w:sz w:val="20"/>
                <w:szCs w:val="20"/>
                <w:color w:val="auto"/>
              </w:rPr>
            </w:pPr>
            <w:r>
              <w:rPr>
                <w:rFonts w:ascii="Arial" w:cs="Arial" w:eastAsia="Arial" w:hAnsi="Arial"/>
                <w:sz w:val="16"/>
                <w:szCs w:val="16"/>
                <w:color w:val="auto"/>
              </w:rPr>
              <w:t>Senior Notes, net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162,570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162,570</w:t>
            </w: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Purchases of capped calls related to</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2025 Convertible Senior Notes</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(89,625)</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6"/>
                <w:szCs w:val="16"/>
                <w:color w:val="auto"/>
              </w:rPr>
              <w:t>Change in accumulated other</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120"/>
              <w:spacing w:after="0"/>
              <w:rPr>
                <w:sz w:val="20"/>
                <w:szCs w:val="20"/>
                <w:color w:val="auto"/>
              </w:rPr>
            </w:pPr>
            <w:r>
              <w:rPr>
                <w:rFonts w:ascii="Arial" w:cs="Arial" w:eastAsia="Arial" w:hAnsi="Arial"/>
                <w:sz w:val="16"/>
                <w:szCs w:val="16"/>
                <w:color w:val="auto"/>
              </w:rPr>
              <w:t>comprehensive income</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1,932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21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2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6,763</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6,763</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6"/>
                <w:szCs w:val="16"/>
                <w:color w:val="auto"/>
              </w:rPr>
              <w:t>BALANCE—June 30, 2020</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302,254,533</w:t>
            </w:r>
          </w:p>
        </w:tc>
        <w:tc>
          <w:tcPr>
            <w:tcW w:w="1000" w:type="dxa"/>
            <w:vAlign w:val="bottom"/>
            <w:gridSpan w:val="2"/>
          </w:tcPr>
          <w:p>
            <w:pPr>
              <w:jc w:val="right"/>
              <w:ind w:right="728"/>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1,027,656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(116,853)</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912,871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19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Convertible</w:t>
            </w:r>
          </w:p>
        </w:tc>
      </w:tr>
      <w:tr>
        <w:trPr>
          <w:trHeight w:val="215"/>
        </w:trPr>
        <w:tc>
          <w:tcPr>
            <w:tcW w:w="1760" w:type="dxa"/>
            <w:vAlign w:val="bottom"/>
          </w:tcPr>
          <w:p>
            <w:pPr>
              <w:spacing w:after="0"/>
              <w:rPr>
                <w:sz w:val="18"/>
                <w:szCs w:val="18"/>
                <w:color w:val="auto"/>
              </w:rPr>
            </w:pPr>
          </w:p>
        </w:tc>
        <w:tc>
          <w:tcPr>
            <w:tcW w:w="19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Preferred Stock</w:t>
            </w:r>
          </w:p>
        </w:tc>
      </w:tr>
      <w:tr>
        <w:trPr>
          <w:trHeight w:val="155"/>
        </w:trPr>
        <w:tc>
          <w:tcPr>
            <w:tcW w:w="1760" w:type="dxa"/>
            <w:vAlign w:val="bottom"/>
          </w:tcPr>
          <w:p>
            <w:pPr>
              <w:spacing w:after="0"/>
              <w:rPr>
                <w:sz w:val="13"/>
                <w:szCs w:val="13"/>
                <w:color w:val="auto"/>
              </w:rPr>
            </w:pPr>
          </w:p>
        </w:tc>
        <w:tc>
          <w:tcPr>
            <w:tcW w:w="110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ind w:right="120"/>
              <w:spacing w:after="0" w:line="155" w:lineRule="exact"/>
              <w:rPr>
                <w:sz w:val="20"/>
                <w:szCs w:val="20"/>
                <w:color w:val="auto"/>
              </w:rPr>
            </w:pPr>
            <w:r>
              <w:rPr>
                <w:rFonts w:ascii="Arial" w:cs="Arial" w:eastAsia="Arial" w:hAnsi="Arial"/>
                <w:sz w:val="14"/>
                <w:szCs w:val="14"/>
                <w:b w:val="1"/>
                <w:bCs w:val="1"/>
                <w:color w:val="auto"/>
              </w:rPr>
              <w:t>Amount</w:t>
            </w:r>
          </w:p>
        </w:tc>
      </w:tr>
      <w:tr>
        <w:trPr>
          <w:trHeight w:val="200"/>
        </w:trPr>
        <w:tc>
          <w:tcPr>
            <w:tcW w:w="1760" w:type="dxa"/>
            <w:vAlign w:val="bottom"/>
          </w:tcPr>
          <w:p>
            <w:pPr>
              <w:spacing w:after="0"/>
              <w:rPr>
                <w:sz w:val="20"/>
                <w:szCs w:val="20"/>
                <w:color w:val="auto"/>
              </w:rPr>
            </w:pPr>
            <w:r>
              <w:rPr>
                <w:rFonts w:ascii="Arial" w:cs="Arial" w:eastAsia="Arial" w:hAnsi="Arial"/>
                <w:sz w:val="16"/>
                <w:szCs w:val="16"/>
                <w:color w:val="auto"/>
              </w:rPr>
              <w:t>BALANCE—December</w:t>
            </w: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6"/>
                <w:szCs w:val="16"/>
                <w:color w:val="auto"/>
              </w:rPr>
              <w:t>31,</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1760" w:type="dxa"/>
            <w:vAlign w:val="bottom"/>
          </w:tcPr>
          <w:p>
            <w:pPr>
              <w:ind w:left="120"/>
              <w:spacing w:after="0"/>
              <w:rPr>
                <w:sz w:val="20"/>
                <w:szCs w:val="20"/>
                <w:color w:val="auto"/>
              </w:rPr>
            </w:pPr>
            <w:r>
              <w:rPr>
                <w:rFonts w:ascii="Arial" w:cs="Arial" w:eastAsia="Arial" w:hAnsi="Arial"/>
                <w:sz w:val="16"/>
                <w:szCs w:val="16"/>
                <w:color w:val="auto"/>
              </w:rPr>
              <w:t>2018</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w w:val="98"/>
              </w:rPr>
              <w:t>179,814,912</w:t>
            </w:r>
          </w:p>
        </w:tc>
        <w:tc>
          <w:tcPr>
            <w:tcW w:w="8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w w:val="92"/>
              </w:rPr>
              <w:t>$ 140,805</w:t>
            </w:r>
          </w:p>
        </w:tc>
      </w:tr>
      <w:tr>
        <w:trPr>
          <w:trHeight w:val="212"/>
        </w:trPr>
        <w:tc>
          <w:tcPr>
            <w:tcW w:w="1760" w:type="dxa"/>
            <w:vAlign w:val="bottom"/>
          </w:tcPr>
          <w:p>
            <w:pPr>
              <w:spacing w:after="0"/>
              <w:rPr>
                <w:sz w:val="20"/>
                <w:szCs w:val="20"/>
                <w:color w:val="auto"/>
              </w:rPr>
            </w:pPr>
            <w:r>
              <w:rPr>
                <w:rFonts w:ascii="Arial" w:cs="Arial" w:eastAsia="Arial" w:hAnsi="Arial"/>
                <w:sz w:val="16"/>
                <w:szCs w:val="16"/>
                <w:color w:val="auto"/>
              </w:rPr>
              <w:t>Issuance of common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6"/>
                <w:szCs w:val="16"/>
                <w:color w:val="auto"/>
              </w:rPr>
              <w:t>stock</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6"/>
                <w:szCs w:val="16"/>
                <w:color w:val="auto"/>
              </w:rPr>
              <w:t>upon exercise of</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176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2"/>
        </w:trPr>
        <w:tc>
          <w:tcPr>
            <w:tcW w:w="1760" w:type="dxa"/>
            <w:vAlign w:val="bottom"/>
          </w:tcPr>
          <w:p>
            <w:pPr>
              <w:spacing w:after="0"/>
              <w:rPr>
                <w:sz w:val="20"/>
                <w:szCs w:val="20"/>
                <w:color w:val="auto"/>
              </w:rPr>
            </w:pPr>
            <w:r>
              <w:rPr>
                <w:rFonts w:ascii="Arial" w:cs="Arial" w:eastAsia="Arial" w:hAnsi="Arial"/>
                <w:sz w:val="16"/>
                <w:szCs w:val="16"/>
                <w:color w:val="auto"/>
              </w:rPr>
              <w:t>Vesting of early</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6"/>
                <w:szCs w:val="16"/>
                <w:color w:val="auto"/>
              </w:rPr>
              <w:t>exercised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176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2"/>
        </w:trPr>
        <w:tc>
          <w:tcPr>
            <w:tcW w:w="1760" w:type="dxa"/>
            <w:vAlign w:val="bottom"/>
          </w:tcPr>
          <w:p>
            <w:pPr>
              <w:spacing w:after="0"/>
              <w:rPr>
                <w:sz w:val="20"/>
                <w:szCs w:val="20"/>
                <w:color w:val="auto"/>
              </w:rPr>
            </w:pPr>
            <w:r>
              <w:rPr>
                <w:rFonts w:ascii="Arial" w:cs="Arial" w:eastAsia="Arial" w:hAnsi="Arial"/>
                <w:sz w:val="16"/>
                <w:szCs w:val="16"/>
                <w:color w:val="auto"/>
              </w:rPr>
              <w:t>Stock-based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6"/>
        </w:trPr>
        <w:tc>
          <w:tcPr>
            <w:tcW w:w="1760" w:type="dxa"/>
            <w:vAlign w:val="bottom"/>
          </w:tcPr>
          <w:p>
            <w:pPr>
              <w:spacing w:after="0"/>
              <w:rPr>
                <w:sz w:val="20"/>
                <w:szCs w:val="20"/>
                <w:color w:val="auto"/>
              </w:rPr>
            </w:pPr>
            <w:r>
              <w:rPr>
                <w:rFonts w:ascii="Arial" w:cs="Arial" w:eastAsia="Arial" w:hAnsi="Arial"/>
                <w:sz w:val="16"/>
                <w:szCs w:val="16"/>
                <w:color w:val="auto"/>
              </w:rPr>
              <w:t>compensation</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2"/>
        </w:trPr>
        <w:tc>
          <w:tcPr>
            <w:tcW w:w="1760" w:type="dxa"/>
            <w:vAlign w:val="bottom"/>
          </w:tcPr>
          <w:p>
            <w:pPr>
              <w:spacing w:after="0"/>
              <w:rPr>
                <w:sz w:val="20"/>
                <w:szCs w:val="20"/>
                <w:color w:val="auto"/>
              </w:rPr>
            </w:pPr>
            <w:r>
              <w:rPr>
                <w:rFonts w:ascii="Arial" w:cs="Arial" w:eastAsia="Arial" w:hAnsi="Arial"/>
                <w:sz w:val="16"/>
                <w:szCs w:val="16"/>
                <w:color w:val="auto"/>
              </w:rPr>
              <w:t>Conversion of preferred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6"/>
                <w:szCs w:val="16"/>
                <w:color w:val="auto"/>
              </w:rPr>
              <w:t>stock</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1760" w:type="dxa"/>
            <w:vAlign w:val="bottom"/>
          </w:tcPr>
          <w:p>
            <w:pPr>
              <w:ind w:left="120"/>
              <w:spacing w:after="0"/>
              <w:rPr>
                <w:sz w:val="20"/>
                <w:szCs w:val="20"/>
                <w:color w:val="auto"/>
              </w:rPr>
            </w:pPr>
            <w:r>
              <w:rPr>
                <w:rFonts w:ascii="Arial" w:cs="Arial" w:eastAsia="Arial" w:hAnsi="Arial"/>
                <w:sz w:val="16"/>
                <w:szCs w:val="16"/>
                <w:color w:val="auto"/>
              </w:rPr>
              <w:t>to common stock</w:t>
            </w:r>
          </w:p>
        </w:tc>
        <w:tc>
          <w:tcPr>
            <w:tcW w:w="1020" w:type="dxa"/>
            <w:vAlign w:val="bottom"/>
          </w:tcPr>
          <w:p>
            <w:pPr>
              <w:jc w:val="right"/>
              <w:spacing w:after="0"/>
              <w:rPr>
                <w:sz w:val="20"/>
                <w:szCs w:val="20"/>
                <w:color w:val="auto"/>
              </w:rPr>
            </w:pPr>
            <w:r>
              <w:rPr>
                <w:rFonts w:ascii="Arial" w:cs="Arial" w:eastAsia="Arial" w:hAnsi="Arial"/>
                <w:sz w:val="16"/>
                <w:szCs w:val="16"/>
                <w:color w:val="auto"/>
              </w:rPr>
              <w:t>(803,481)</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2"/>
        </w:trPr>
        <w:tc>
          <w:tcPr>
            <w:tcW w:w="1760" w:type="dxa"/>
            <w:vAlign w:val="bottom"/>
          </w:tcPr>
          <w:p>
            <w:pPr>
              <w:spacing w:after="0"/>
              <w:rPr>
                <w:sz w:val="20"/>
                <w:szCs w:val="20"/>
                <w:color w:val="auto"/>
              </w:rPr>
            </w:pPr>
            <w:r>
              <w:rPr>
                <w:rFonts w:ascii="Arial" w:cs="Arial" w:eastAsia="Arial" w:hAnsi="Arial"/>
                <w:sz w:val="16"/>
                <w:szCs w:val="16"/>
                <w:color w:val="auto"/>
              </w:rPr>
              <w:t>Change in accumulated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6"/>
                <w:szCs w:val="16"/>
                <w:color w:val="auto"/>
              </w:rPr>
              <w:t>other</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6"/>
                <w:szCs w:val="16"/>
                <w:color w:val="auto"/>
              </w:rPr>
              <w:t>comprehensive (loss)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1760" w:type="dxa"/>
            <w:vAlign w:val="bottom"/>
          </w:tcPr>
          <w:p>
            <w:pPr>
              <w:spacing w:after="0"/>
              <w:rPr>
                <w:sz w:val="20"/>
                <w:szCs w:val="20"/>
                <w:color w:val="auto"/>
              </w:rPr>
            </w:pPr>
            <w:r>
              <w:rPr>
                <w:rFonts w:ascii="Arial" w:cs="Arial" w:eastAsia="Arial" w:hAnsi="Arial"/>
                <w:sz w:val="16"/>
                <w:szCs w:val="16"/>
                <w:color w:val="auto"/>
              </w:rPr>
              <w:t>income</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6"/>
        </w:trPr>
        <w:tc>
          <w:tcPr>
            <w:tcW w:w="1760" w:type="dxa"/>
            <w:vAlign w:val="bottom"/>
          </w:tcPr>
          <w:p>
            <w:pPr>
              <w:spacing w:after="0"/>
              <w:rPr>
                <w:sz w:val="20"/>
                <w:szCs w:val="20"/>
                <w:color w:val="auto"/>
              </w:rPr>
            </w:pPr>
            <w:r>
              <w:rPr>
                <w:rFonts w:ascii="Arial" w:cs="Arial" w:eastAsia="Arial" w:hAnsi="Arial"/>
                <w:sz w:val="16"/>
                <w:szCs w:val="16"/>
                <w:color w:val="auto"/>
              </w:rPr>
              <w:t>Net loss</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6"/>
        </w:trPr>
        <w:tc>
          <w:tcPr>
            <w:tcW w:w="1760" w:type="dxa"/>
            <w:vAlign w:val="bottom"/>
          </w:tcPr>
          <w:p>
            <w:pPr>
              <w:spacing w:after="0"/>
              <w:rPr>
                <w:sz w:val="20"/>
                <w:szCs w:val="20"/>
                <w:color w:val="auto"/>
              </w:rPr>
            </w:pPr>
            <w:r>
              <w:rPr>
                <w:rFonts w:ascii="Arial" w:cs="Arial" w:eastAsia="Arial" w:hAnsi="Arial"/>
                <w:sz w:val="16"/>
                <w:szCs w:val="16"/>
                <w:color w:val="auto"/>
              </w:rPr>
              <w:t>BALANCE—June 30,</w:t>
            </w: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6"/>
                <w:szCs w:val="16"/>
                <w:color w:val="auto"/>
              </w:rPr>
              <w:t>2019</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98"/>
              </w:rPr>
              <w:t>179,011,431</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2"/>
              </w:rPr>
              <w:t>$ 140,752</w:t>
            </w:r>
          </w:p>
        </w:tc>
      </w:tr>
      <w:tr>
        <w:trPr>
          <w:trHeight w:val="20"/>
        </w:trPr>
        <w:tc>
          <w:tcPr>
            <w:tcW w:w="1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Non-Voting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55"/>
        </w:trPr>
        <w:tc>
          <w:tcPr>
            <w:tcW w:w="940" w:type="dxa"/>
            <w:vAlign w:val="bottom"/>
            <w:tcBorders>
              <w:left w:val="single" w:sz="8" w:color="auto"/>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74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70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74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06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609"/>
        </w:trPr>
        <w:tc>
          <w:tcPr>
            <w:tcW w:w="940" w:type="dxa"/>
            <w:vAlign w:val="bottom"/>
            <w:tcBorders>
              <w:left w:val="single" w:sz="8" w:color="auto"/>
            </w:tcBorders>
          </w:tcPr>
          <w:p>
            <w:pPr>
              <w:jc w:val="right"/>
              <w:ind w:right="21"/>
              <w:spacing w:after="0"/>
              <w:rPr>
                <w:sz w:val="20"/>
                <w:szCs w:val="20"/>
                <w:color w:val="auto"/>
              </w:rPr>
            </w:pPr>
            <w:r>
              <w:rPr>
                <w:rFonts w:ascii="Arial" w:cs="Arial" w:eastAsia="Arial" w:hAnsi="Arial"/>
                <w:sz w:val="16"/>
                <w:szCs w:val="16"/>
                <w:color w:val="auto"/>
              </w:rPr>
              <w:t>78,180,606</w:t>
            </w:r>
          </w:p>
        </w:tc>
        <w:tc>
          <w:tcPr>
            <w:tcW w:w="46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30,834</w:t>
            </w:r>
          </w:p>
        </w:tc>
        <w:tc>
          <w:tcPr>
            <w:tcW w:w="1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(106,906)</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(76,041)</w:t>
            </w:r>
          </w:p>
        </w:tc>
        <w:tc>
          <w:tcPr>
            <w:tcW w:w="0" w:type="dxa"/>
            <w:vAlign w:val="bottom"/>
          </w:tcPr>
          <w:p>
            <w:pPr>
              <w:spacing w:after="0"/>
              <w:rPr>
                <w:sz w:val="1"/>
                <w:szCs w:val="1"/>
                <w:color w:val="auto"/>
              </w:rPr>
            </w:pPr>
          </w:p>
        </w:tc>
      </w:tr>
      <w:tr>
        <w:trPr>
          <w:trHeight w:val="823"/>
        </w:trPr>
        <w:tc>
          <w:tcPr>
            <w:tcW w:w="940" w:type="dxa"/>
            <w:vAlign w:val="bottom"/>
            <w:tcBorders>
              <w:left w:val="single" w:sz="8" w:color="auto"/>
            </w:tcBorders>
          </w:tcPr>
          <w:p>
            <w:pPr>
              <w:jc w:val="right"/>
              <w:ind w:right="21"/>
              <w:spacing w:after="0"/>
              <w:rPr>
                <w:sz w:val="20"/>
                <w:szCs w:val="20"/>
                <w:color w:val="auto"/>
              </w:rPr>
            </w:pPr>
            <w:r>
              <w:rPr>
                <w:rFonts w:ascii="Arial" w:cs="Arial" w:eastAsia="Arial" w:hAnsi="Arial"/>
                <w:sz w:val="16"/>
                <w:szCs w:val="16"/>
                <w:color w:val="auto"/>
              </w:rPr>
              <w:t>7,839,147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4,470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4,470</w:t>
            </w:r>
          </w:p>
        </w:tc>
        <w:tc>
          <w:tcPr>
            <w:tcW w:w="0" w:type="dxa"/>
            <w:vAlign w:val="bottom"/>
          </w:tcPr>
          <w:p>
            <w:pPr>
              <w:spacing w:after="0"/>
              <w:rPr>
                <w:sz w:val="1"/>
                <w:szCs w:val="1"/>
                <w:color w:val="auto"/>
              </w:rPr>
            </w:pPr>
          </w:p>
        </w:tc>
      </w:tr>
      <w:tr>
        <w:trPr>
          <w:trHeight w:val="621"/>
        </w:trPr>
        <w:tc>
          <w:tcPr>
            <w:tcW w:w="940" w:type="dxa"/>
            <w:vAlign w:val="bottom"/>
            <w:tcBorders>
              <w:lef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418"/>
        </w:trPr>
        <w:tc>
          <w:tcPr>
            <w:tcW w:w="940" w:type="dxa"/>
            <w:vAlign w:val="bottom"/>
            <w:tcBorders>
              <w:lef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5,462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5,462</w:t>
            </w:r>
          </w:p>
        </w:tc>
        <w:tc>
          <w:tcPr>
            <w:tcW w:w="0" w:type="dxa"/>
            <w:vAlign w:val="bottom"/>
          </w:tcPr>
          <w:p>
            <w:pPr>
              <w:spacing w:after="0"/>
              <w:rPr>
                <w:sz w:val="1"/>
                <w:szCs w:val="1"/>
                <w:color w:val="auto"/>
              </w:rPr>
            </w:pPr>
          </w:p>
        </w:tc>
      </w:tr>
      <w:tr>
        <w:trPr>
          <w:trHeight w:val="621"/>
        </w:trPr>
        <w:tc>
          <w:tcPr>
            <w:tcW w:w="940" w:type="dxa"/>
            <w:vAlign w:val="bottom"/>
            <w:tcBorders>
              <w:left w:val="single" w:sz="8" w:color="auto"/>
            </w:tcBorders>
          </w:tcPr>
          <w:p>
            <w:pPr>
              <w:jc w:val="right"/>
              <w:ind w:right="21"/>
              <w:spacing w:after="0"/>
              <w:rPr>
                <w:sz w:val="20"/>
                <w:szCs w:val="20"/>
                <w:color w:val="auto"/>
              </w:rPr>
            </w:pPr>
            <w:r>
              <w:rPr>
                <w:rFonts w:ascii="Arial" w:cs="Arial" w:eastAsia="Arial" w:hAnsi="Arial"/>
                <w:sz w:val="16"/>
                <w:szCs w:val="16"/>
                <w:color w:val="auto"/>
              </w:rPr>
              <w:t>803,481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824"/>
        </w:trPr>
        <w:tc>
          <w:tcPr>
            <w:tcW w:w="940" w:type="dxa"/>
            <w:vAlign w:val="bottom"/>
            <w:tcBorders>
              <w:lef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940" w:type="dxa"/>
            <w:vAlign w:val="bottom"/>
            <w:tcBorders>
              <w:left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(13,440)</w:t>
            </w:r>
          </w:p>
        </w:tc>
        <w:tc>
          <w:tcPr>
            <w:tcW w:w="0" w:type="dxa"/>
            <w:vAlign w:val="bottom"/>
          </w:tcPr>
          <w:p>
            <w:pPr>
              <w:spacing w:after="0"/>
              <w:rPr>
                <w:sz w:val="1"/>
                <w:szCs w:val="1"/>
                <w:color w:val="auto"/>
              </w:rPr>
            </w:pPr>
          </w:p>
        </w:tc>
      </w:tr>
      <w:tr>
        <w:trPr>
          <w:trHeight w:val="412"/>
        </w:trPr>
        <w:tc>
          <w:tcPr>
            <w:tcW w:w="940" w:type="dxa"/>
            <w:vAlign w:val="bottom"/>
            <w:tcBorders>
              <w:left w:val="single" w:sz="8" w:color="auto"/>
            </w:tcBorders>
          </w:tcPr>
          <w:p>
            <w:pPr>
              <w:jc w:val="right"/>
              <w:ind w:right="21"/>
              <w:spacing w:after="0"/>
              <w:rPr>
                <w:sz w:val="20"/>
                <w:szCs w:val="20"/>
                <w:color w:val="auto"/>
              </w:rPr>
            </w:pPr>
            <w:r>
              <w:rPr>
                <w:rFonts w:ascii="Arial" w:cs="Arial" w:eastAsia="Arial" w:hAnsi="Arial"/>
                <w:sz w:val="16"/>
                <w:szCs w:val="16"/>
                <w:color w:val="auto"/>
              </w:rPr>
              <w:t>86,823,234</w:t>
            </w:r>
          </w:p>
        </w:tc>
        <w:tc>
          <w:tcPr>
            <w:tcW w:w="460" w:type="dxa"/>
            <w:vAlign w:val="bottom"/>
            <w:gridSpan w:val="2"/>
          </w:tcPr>
          <w:p>
            <w:pPr>
              <w:jc w:val="right"/>
              <w:ind w:right="208"/>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41,132</w:t>
            </w:r>
          </w:p>
        </w:tc>
        <w:tc>
          <w:tcPr>
            <w:tcW w:w="1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(120,346)</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(79,223)</w:t>
            </w: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-2939415</wp:posOffset>
            </wp:positionV>
            <wp:extent cx="7132320" cy="403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-2013585</wp:posOffset>
            </wp:positionV>
            <wp:extent cx="7132320" cy="394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-1353820</wp:posOffset>
            </wp:positionV>
            <wp:extent cx="7132320"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-436245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80"/>
            <w:col w:w="7500"/>
          </w:cols>
          <w:pgMar w:left="320" w:top="334" w:right="339" w:bottom="144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7"/>
              </w:rPr>
              <w:t>Six Months Ended June 30,</w:t>
            </w:r>
          </w:p>
        </w:tc>
        <w:tc>
          <w:tcPr>
            <w:tcW w:w="1060" w:type="dxa"/>
            <w:vAlign w:val="bottom"/>
            <w:tcBorders>
              <w:bottom w:val="single" w:sz="8" w:color="auto"/>
            </w:tcBorders>
          </w:tcPr>
          <w:p>
            <w:pPr>
              <w:spacing w:after="0"/>
              <w:rPr>
                <w:sz w:val="13"/>
                <w:szCs w:val="13"/>
                <w:color w:val="auto"/>
              </w:rPr>
            </w:pPr>
          </w:p>
        </w:tc>
      </w:tr>
      <w:tr>
        <w:trPr>
          <w:trHeight w:val="142"/>
        </w:trPr>
        <w:tc>
          <w:tcPr>
            <w:tcW w:w="772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17"/>
              <w:spacing w:after="0" w:line="142" w:lineRule="exact"/>
              <w:rPr>
                <w:sz w:val="20"/>
                <w:szCs w:val="20"/>
                <w:color w:val="auto"/>
              </w:rPr>
            </w:pPr>
            <w:r>
              <w:rPr>
                <w:rFonts w:ascii="Arial" w:cs="Arial" w:eastAsia="Arial" w:hAnsi="Arial"/>
                <w:sz w:val="13"/>
                <w:szCs w:val="13"/>
                <w:b w:val="1"/>
                <w:bCs w:val="1"/>
                <w:color w:val="auto"/>
                <w:w w:val="89"/>
              </w:rPr>
              <w:t>2019</w:t>
            </w:r>
          </w:p>
        </w:tc>
      </w:tr>
      <w:tr>
        <w:trPr>
          <w:trHeight w:val="142"/>
        </w:trPr>
        <w:tc>
          <w:tcPr>
            <w:tcW w:w="77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Net income (loss)</w:t>
            </w: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6,763</w:t>
            </w:r>
          </w:p>
        </w:tc>
        <w:tc>
          <w:tcPr>
            <w:tcW w:w="160" w:type="dxa"/>
            <w:vAlign w:val="bottom"/>
          </w:tcPr>
          <w:p>
            <w:pPr>
              <w:spacing w:after="0"/>
              <w:rPr>
                <w:sz w:val="12"/>
                <w:szCs w:val="12"/>
                <w:color w:val="auto"/>
              </w:rPr>
            </w:pPr>
          </w:p>
        </w:tc>
        <w:tc>
          <w:tcPr>
            <w:tcW w:w="620" w:type="dxa"/>
            <w:vAlign w:val="bottom"/>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(13,440)</w:t>
            </w: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940" w:type="dxa"/>
            <w:vAlign w:val="bottom"/>
          </w:tcPr>
          <w:p>
            <w:pPr>
              <w:spacing w:after="0"/>
              <w:rPr>
                <w:sz w:val="12"/>
                <w:szCs w:val="1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7,395</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4,769</w:t>
            </w:r>
          </w:p>
        </w:tc>
      </w:tr>
      <w:tr>
        <w:trPr>
          <w:trHeight w:val="149"/>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discounts or premiums on marketable securities</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1,460</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Amortization of debt discount and issuance costs</w:t>
            </w:r>
          </w:p>
        </w:tc>
        <w:tc>
          <w:tcPr>
            <w:tcW w:w="940" w:type="dxa"/>
            <w:vAlign w:val="bottom"/>
          </w:tcPr>
          <w:p>
            <w:pPr>
              <w:spacing w:after="0"/>
              <w:rPr>
                <w:sz w:val="12"/>
                <w:szCs w:val="1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2,484</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deferred contract costs</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4,627</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2,252</w:t>
            </w: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Stock-based compensation, net of amounts capitalized</w:t>
            </w:r>
          </w:p>
        </w:tc>
        <w:tc>
          <w:tcPr>
            <w:tcW w:w="940" w:type="dxa"/>
            <w:vAlign w:val="bottom"/>
          </w:tcPr>
          <w:p>
            <w:pPr>
              <w:spacing w:after="0"/>
              <w:rPr>
                <w:sz w:val="12"/>
                <w:szCs w:val="1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28,894</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5,339</w:t>
            </w:r>
          </w:p>
        </w:tc>
      </w:tr>
      <w:tr>
        <w:trPr>
          <w:trHeight w:val="148"/>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Non-cash lease expense</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6,551</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4,615</w:t>
            </w: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Provision for accounts receivable allowance</w:t>
            </w:r>
          </w:p>
        </w:tc>
        <w:tc>
          <w:tcPr>
            <w:tcW w:w="940" w:type="dxa"/>
            <w:vAlign w:val="bottom"/>
          </w:tcPr>
          <w:p>
            <w:pPr>
              <w:spacing w:after="0"/>
              <w:rPr>
                <w:sz w:val="12"/>
                <w:szCs w:val="1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2,001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553</w:t>
            </w:r>
          </w:p>
        </w:tc>
      </w:tr>
      <w:tr>
        <w:trPr>
          <w:trHeight w:val="149"/>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disposal of property and equipment</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8</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w:t>
            </w:r>
          </w:p>
        </w:tc>
      </w:tr>
      <w:tr>
        <w:trPr>
          <w:trHeight w:val="148"/>
        </w:trPr>
        <w:tc>
          <w:tcPr>
            <w:tcW w:w="772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 net</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(23,684)</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(12,179)</w:t>
            </w:r>
          </w:p>
        </w:tc>
      </w:tr>
      <w:tr>
        <w:trPr>
          <w:trHeight w:val="148"/>
        </w:trPr>
        <w:tc>
          <w:tcPr>
            <w:tcW w:w="7720" w:type="dxa"/>
            <w:vAlign w:val="bottom"/>
          </w:tcPr>
          <w:p>
            <w:pPr>
              <w:ind w:left="740"/>
              <w:spacing w:after="0"/>
              <w:rPr>
                <w:sz w:val="20"/>
                <w:szCs w:val="20"/>
                <w:color w:val="auto"/>
              </w:rPr>
            </w:pPr>
            <w:r>
              <w:rPr>
                <w:rFonts w:ascii="Arial" w:cs="Arial" w:eastAsia="Arial" w:hAnsi="Arial"/>
                <w:sz w:val="13"/>
                <w:szCs w:val="13"/>
                <w:color w:val="auto"/>
              </w:rPr>
              <w:t>Deferred contract costs</w:t>
            </w:r>
          </w:p>
        </w:tc>
        <w:tc>
          <w:tcPr>
            <w:tcW w:w="940" w:type="dxa"/>
            <w:vAlign w:val="bottom"/>
          </w:tcPr>
          <w:p>
            <w:pPr>
              <w:spacing w:after="0"/>
              <w:rPr>
                <w:sz w:val="12"/>
                <w:szCs w:val="1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(11,237)</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(6,112)</w:t>
            </w: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(6,481)</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(12,206)</w:t>
            </w:r>
          </w:p>
        </w:tc>
      </w:tr>
      <w:tr>
        <w:trPr>
          <w:trHeight w:val="149"/>
        </w:trPr>
        <w:tc>
          <w:tcPr>
            <w:tcW w:w="7720" w:type="dxa"/>
            <w:vAlign w:val="bottom"/>
          </w:tcPr>
          <w:p>
            <w:pPr>
              <w:ind w:left="740"/>
              <w:spacing w:after="0"/>
              <w:rPr>
                <w:sz w:val="20"/>
                <w:szCs w:val="20"/>
                <w:color w:val="auto"/>
              </w:rPr>
            </w:pPr>
            <w:r>
              <w:rPr>
                <w:rFonts w:ascii="Arial" w:cs="Arial" w:eastAsia="Arial" w:hAnsi="Arial"/>
                <w:sz w:val="13"/>
                <w:szCs w:val="13"/>
                <w:color w:val="auto"/>
              </w:rPr>
              <w:t>Other assets</w:t>
            </w:r>
          </w:p>
        </w:tc>
        <w:tc>
          <w:tcPr>
            <w:tcW w:w="940" w:type="dxa"/>
            <w:vAlign w:val="bottom"/>
          </w:tcPr>
          <w:p>
            <w:pPr>
              <w:spacing w:after="0"/>
              <w:rPr>
                <w:sz w:val="12"/>
                <w:szCs w:val="1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(915)</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(4,029)</w:t>
            </w: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2,692</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7,473</w:t>
            </w:r>
          </w:p>
        </w:tc>
      </w:tr>
      <w:tr>
        <w:trPr>
          <w:trHeight w:val="148"/>
        </w:trPr>
        <w:tc>
          <w:tcPr>
            <w:tcW w:w="7720" w:type="dxa"/>
            <w:vAlign w:val="bottom"/>
          </w:tcPr>
          <w:p>
            <w:pPr>
              <w:ind w:left="740"/>
              <w:spacing w:after="0"/>
              <w:rPr>
                <w:sz w:val="20"/>
                <w:szCs w:val="20"/>
                <w:color w:val="auto"/>
              </w:rPr>
            </w:pPr>
            <w:r>
              <w:rPr>
                <w:rFonts w:ascii="Arial" w:cs="Arial" w:eastAsia="Arial" w:hAnsi="Arial"/>
                <w:sz w:val="13"/>
                <w:szCs w:val="13"/>
                <w:color w:val="auto"/>
              </w:rPr>
              <w:t>Accrued expenses and other liabilities</w:t>
            </w:r>
          </w:p>
        </w:tc>
        <w:tc>
          <w:tcPr>
            <w:tcW w:w="940" w:type="dxa"/>
            <w:vAlign w:val="bottom"/>
          </w:tcPr>
          <w:p>
            <w:pPr>
              <w:spacing w:after="0"/>
              <w:rPr>
                <w:sz w:val="12"/>
                <w:szCs w:val="1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1,648</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(8,601)</w:t>
            </w:r>
          </w:p>
        </w:tc>
      </w:tr>
      <w:tr>
        <w:trPr>
          <w:trHeight w:val="148"/>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9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26,787</w:t>
            </w:r>
          </w:p>
        </w:tc>
        <w:tc>
          <w:tcPr>
            <w:tcW w:w="16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34,542</w:t>
            </w:r>
          </w:p>
        </w:tc>
      </w:tr>
      <w:tr>
        <w:trPr>
          <w:trHeight w:val="142"/>
        </w:trPr>
        <w:tc>
          <w:tcPr>
            <w:tcW w:w="772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9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48,993</w:t>
            </w:r>
          </w:p>
        </w:tc>
        <w:tc>
          <w:tcPr>
            <w:tcW w:w="1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rPr>
              <w:t>2,980</w:t>
            </w:r>
          </w:p>
        </w:tc>
      </w:tr>
      <w:tr>
        <w:trPr>
          <w:trHeight w:val="142"/>
        </w:trPr>
        <w:tc>
          <w:tcPr>
            <w:tcW w:w="77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48"/>
        </w:trPr>
        <w:tc>
          <w:tcPr>
            <w:tcW w:w="772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Purchases of marketable securities</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96"/>
              </w:rPr>
              <w:t>(1,203,513)</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Maturities of marketable securities</w:t>
            </w:r>
          </w:p>
        </w:tc>
        <w:tc>
          <w:tcPr>
            <w:tcW w:w="940" w:type="dxa"/>
            <w:vAlign w:val="bottom"/>
          </w:tcPr>
          <w:p>
            <w:pPr>
              <w:spacing w:after="0"/>
              <w:rPr>
                <w:sz w:val="12"/>
                <w:szCs w:val="1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121,854</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Purchases of property and equipment</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(2,924)</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(4,979)</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Capitalized software development costs</w:t>
            </w:r>
          </w:p>
        </w:tc>
        <w:tc>
          <w:tcPr>
            <w:tcW w:w="940" w:type="dxa"/>
            <w:vAlign w:val="bottom"/>
          </w:tcPr>
          <w:p>
            <w:pPr>
              <w:spacing w:after="0"/>
              <w:rPr>
                <w:sz w:val="12"/>
                <w:szCs w:val="1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(8,154)</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(4,408)</w:t>
            </w: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acquisition of businesses; net of cash acquired</w:t>
            </w:r>
          </w:p>
        </w:tc>
        <w:tc>
          <w:tcPr>
            <w:tcW w:w="9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(2,363)</w:t>
            </w:r>
          </w:p>
        </w:tc>
        <w:tc>
          <w:tcPr>
            <w:tcW w:w="16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2"/>
        </w:trPr>
        <w:tc>
          <w:tcPr>
            <w:tcW w:w="772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3"/>
                <w:szCs w:val="13"/>
                <w:color w:val="auto"/>
              </w:rPr>
              <w:t>Net cash used in investing activities</w:t>
            </w:r>
          </w:p>
        </w:tc>
        <w:tc>
          <w:tcPr>
            <w:tcW w:w="9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96"/>
              </w:rPr>
              <w:t>(1,095,100)</w:t>
            </w:r>
          </w:p>
        </w:tc>
        <w:tc>
          <w:tcPr>
            <w:tcW w:w="1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(9,387)</w:t>
            </w:r>
          </w:p>
        </w:tc>
      </w:tr>
      <w:tr>
        <w:trPr>
          <w:trHeight w:val="142"/>
        </w:trPr>
        <w:tc>
          <w:tcPr>
            <w:tcW w:w="77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48"/>
        </w:trPr>
        <w:tc>
          <w:tcPr>
            <w:tcW w:w="772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7,235</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5,197</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Initial public offering costs</w:t>
            </w:r>
          </w:p>
        </w:tc>
        <w:tc>
          <w:tcPr>
            <w:tcW w:w="940" w:type="dxa"/>
            <w:vAlign w:val="bottom"/>
          </w:tcPr>
          <w:p>
            <w:pPr>
              <w:spacing w:after="0"/>
              <w:rPr>
                <w:sz w:val="12"/>
                <w:szCs w:val="1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(421)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(156)</w:t>
            </w: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7,680</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Employee payroll taxes paid related to net share settlement under the employee stock purchase plan</w:t>
            </w:r>
          </w:p>
        </w:tc>
        <w:tc>
          <w:tcPr>
            <w:tcW w:w="940" w:type="dxa"/>
            <w:vAlign w:val="bottom"/>
          </w:tcPr>
          <w:p>
            <w:pPr>
              <w:spacing w:after="0"/>
              <w:rPr>
                <w:sz w:val="12"/>
                <w:szCs w:val="12"/>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(859)</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convertible senior notes, net of issuance costs</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730,681</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Purchase of capped call related to convertible senior notes</w:t>
            </w:r>
          </w:p>
        </w:tc>
        <w:tc>
          <w:tcPr>
            <w:tcW w:w="9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(89,625)</w:t>
            </w:r>
          </w:p>
        </w:tc>
        <w:tc>
          <w:tcPr>
            <w:tcW w:w="1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r>
      <w:tr>
        <w:trPr>
          <w:trHeight w:val="142"/>
        </w:trPr>
        <w:tc>
          <w:tcPr>
            <w:tcW w:w="7720" w:type="dxa"/>
            <w:vAlign w:val="bottom"/>
            <w:shd w:val="clear" w:color="auto" w:fill="CFF0FC"/>
          </w:tcPr>
          <w:p>
            <w:pPr>
              <w:ind w:left="100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9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654,691</w:t>
            </w:r>
          </w:p>
        </w:tc>
        <w:tc>
          <w:tcPr>
            <w:tcW w:w="16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5,041</w:t>
            </w:r>
          </w:p>
        </w:tc>
      </w:tr>
      <w:tr>
        <w:trPr>
          <w:trHeight w:val="142"/>
        </w:trPr>
        <w:tc>
          <w:tcPr>
            <w:tcW w:w="7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7720" w:type="dxa"/>
            <w:vAlign w:val="bottom"/>
            <w:shd w:val="clear" w:color="auto" w:fill="CFF0FC"/>
          </w:tcPr>
          <w:p>
            <w:pPr>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(113)</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(23)</w:t>
            </w:r>
          </w:p>
        </w:tc>
      </w:tr>
      <w:tr>
        <w:trPr>
          <w:trHeight w:val="149"/>
        </w:trPr>
        <w:tc>
          <w:tcPr>
            <w:tcW w:w="7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7720" w:type="dxa"/>
            <w:vAlign w:val="bottom"/>
            <w:shd w:val="clear" w:color="auto" w:fill="CFF0FC"/>
          </w:tcPr>
          <w:p>
            <w:pPr>
              <w:spacing w:after="0"/>
              <w:rPr>
                <w:sz w:val="20"/>
                <w:szCs w:val="20"/>
                <w:color w:val="auto"/>
              </w:rPr>
            </w:pPr>
            <w:r>
              <w:rPr>
                <w:rFonts w:ascii="Arial" w:cs="Arial" w:eastAsia="Arial" w:hAnsi="Arial"/>
                <w:sz w:val="13"/>
                <w:szCs w:val="13"/>
                <w:color w:val="auto"/>
              </w:rPr>
              <w:t>NET (DECREASE) INCREASE IN CASH, CASH EQUIVALENTS AND RESTRICTED CASH</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(391,529)</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(1,389)</w:t>
            </w:r>
          </w:p>
        </w:tc>
      </w:tr>
      <w:tr>
        <w:trPr>
          <w:trHeight w:val="148"/>
        </w:trPr>
        <w:tc>
          <w:tcPr>
            <w:tcW w:w="77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CASH—Beginning of period</w:t>
            </w:r>
          </w:p>
        </w:tc>
        <w:tc>
          <w:tcPr>
            <w:tcW w:w="9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601,189</w:t>
            </w:r>
          </w:p>
        </w:tc>
        <w:tc>
          <w:tcPr>
            <w:tcW w:w="1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64,980</w:t>
            </w:r>
          </w:p>
        </w:tc>
      </w:tr>
      <w:tr>
        <w:trPr>
          <w:trHeight w:val="142"/>
        </w:trPr>
        <w:tc>
          <w:tcPr>
            <w:tcW w:w="772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CASH, CASH EQUIVALENTS AND RESTRICTED CASH —End of period</w:t>
            </w:r>
          </w:p>
        </w:tc>
        <w:tc>
          <w:tcPr>
            <w:tcW w:w="940" w:type="dxa"/>
            <w:vAlign w:val="bottom"/>
            <w:tcBorders>
              <w:bottom w:val="single" w:sz="8" w:color="auto"/>
            </w:tcBorders>
            <w:shd w:val="clear" w:color="auto" w:fill="CFF0FC"/>
          </w:tcPr>
          <w:p>
            <w:pPr>
              <w:jc w:val="right"/>
              <w:ind w:right="79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209,660</w:t>
            </w: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63,591</w:t>
            </w: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7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8"/>
        </w:trPr>
        <w:tc>
          <w:tcPr>
            <w:tcW w:w="7720" w:type="dxa"/>
            <w:vAlign w:val="bottom"/>
            <w:shd w:val="clear" w:color="auto" w:fill="CFF0FC"/>
          </w:tcPr>
          <w:p>
            <w:pPr>
              <w:spacing w:after="0"/>
              <w:rPr>
                <w:sz w:val="20"/>
                <w:szCs w:val="20"/>
                <w:color w:val="auto"/>
              </w:rPr>
            </w:pPr>
            <w:r>
              <w:rPr>
                <w:rFonts w:ascii="Arial" w:cs="Arial" w:eastAsia="Arial" w:hAnsi="Arial"/>
                <w:sz w:val="13"/>
                <w:szCs w:val="13"/>
                <w:color w:val="auto"/>
              </w:rPr>
              <w:t>SUPPLEMENTAL DISCLOSURES OF CASH FLOW INFORMATION:</w:t>
            </w: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Cash paid for income taxes</w:t>
            </w: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142</w:t>
            </w:r>
          </w:p>
        </w:tc>
        <w:tc>
          <w:tcPr>
            <w:tcW w:w="160" w:type="dxa"/>
            <w:vAlign w:val="bottom"/>
          </w:tcPr>
          <w:p>
            <w:pPr>
              <w:spacing w:after="0"/>
              <w:rPr>
                <w:sz w:val="12"/>
                <w:szCs w:val="12"/>
                <w:color w:val="auto"/>
              </w:rPr>
            </w:pPr>
          </w:p>
        </w:tc>
        <w:tc>
          <w:tcPr>
            <w:tcW w:w="620" w:type="dxa"/>
            <w:vAlign w:val="bottom"/>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52</w:t>
            </w:r>
          </w:p>
        </w:tc>
      </w:tr>
      <w:tr>
        <w:trPr>
          <w:trHeight w:val="149"/>
        </w:trPr>
        <w:tc>
          <w:tcPr>
            <w:tcW w:w="77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34"/>
        </w:trPr>
        <w:tc>
          <w:tcPr>
            <w:tcW w:w="7720" w:type="dxa"/>
            <w:vAlign w:val="bottom"/>
          </w:tcPr>
          <w:p>
            <w:pPr>
              <w:spacing w:after="0" w:line="134" w:lineRule="exact"/>
              <w:rPr>
                <w:sz w:val="20"/>
                <w:szCs w:val="20"/>
                <w:color w:val="auto"/>
              </w:rPr>
            </w:pPr>
            <w:r>
              <w:rPr>
                <w:rFonts w:ascii="Arial" w:cs="Arial" w:eastAsia="Arial" w:hAnsi="Arial"/>
                <w:sz w:val="13"/>
                <w:szCs w:val="13"/>
                <w:color w:val="auto"/>
              </w:rPr>
              <w:t>SUPPLEMENTAL DISCLOSURE OF NON-CASH INVESTING AND FINANCING</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9"/>
        </w:trPr>
        <w:tc>
          <w:tcPr>
            <w:tcW w:w="7720" w:type="dxa"/>
            <w:vAlign w:val="bottom"/>
          </w:tcPr>
          <w:p>
            <w:pPr>
              <w:ind w:left="100"/>
              <w:spacing w:after="0"/>
              <w:rPr>
                <w:sz w:val="20"/>
                <w:szCs w:val="20"/>
                <w:color w:val="auto"/>
              </w:rPr>
            </w:pPr>
            <w:r>
              <w:rPr>
                <w:rFonts w:ascii="Arial" w:cs="Arial" w:eastAsia="Arial" w:hAnsi="Arial"/>
                <w:sz w:val="13"/>
                <w:szCs w:val="13"/>
                <w:color w:val="auto"/>
              </w:rPr>
              <w:t>ACTIVITIES:</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property and equipment purchases</w:t>
            </w:r>
          </w:p>
        </w:tc>
        <w:tc>
          <w:tcPr>
            <w:tcW w:w="940" w:type="dxa"/>
            <w:vAlign w:val="bottom"/>
            <w:shd w:val="clear" w:color="auto" w:fill="CFF0FC"/>
          </w:tcPr>
          <w:p>
            <w:pPr>
              <w:jc w:val="right"/>
              <w:ind w:right="79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814</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3,446</w:t>
            </w: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Stock-based compensation included in capitalized software development costs</w:t>
            </w: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301</w:t>
            </w:r>
          </w:p>
        </w:tc>
        <w:tc>
          <w:tcPr>
            <w:tcW w:w="160" w:type="dxa"/>
            <w:vAlign w:val="bottom"/>
          </w:tcPr>
          <w:p>
            <w:pPr>
              <w:spacing w:after="0"/>
              <w:rPr>
                <w:sz w:val="12"/>
                <w:szCs w:val="12"/>
                <w:color w:val="auto"/>
              </w:rPr>
            </w:pPr>
          </w:p>
        </w:tc>
        <w:tc>
          <w:tcPr>
            <w:tcW w:w="620" w:type="dxa"/>
            <w:vAlign w:val="bottom"/>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123</w:t>
            </w: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early exercised options</w:t>
            </w:r>
          </w:p>
        </w:tc>
        <w:tc>
          <w:tcPr>
            <w:tcW w:w="940" w:type="dxa"/>
            <w:vAlign w:val="bottom"/>
            <w:shd w:val="clear" w:color="auto" w:fill="CFF0FC"/>
          </w:tcPr>
          <w:p>
            <w:pPr>
              <w:jc w:val="right"/>
              <w:ind w:right="79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588</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313</w:t>
            </w:r>
          </w:p>
        </w:tc>
      </w:tr>
      <w:tr>
        <w:trPr>
          <w:trHeight w:val="149"/>
        </w:trPr>
        <w:tc>
          <w:tcPr>
            <w:tcW w:w="7720" w:type="dxa"/>
            <w:vAlign w:val="bottom"/>
          </w:tcPr>
          <w:p>
            <w:pPr>
              <w:ind w:left="260"/>
              <w:spacing w:after="0"/>
              <w:rPr>
                <w:sz w:val="20"/>
                <w:szCs w:val="20"/>
                <w:color w:val="auto"/>
              </w:rPr>
            </w:pPr>
            <w:r>
              <w:rPr>
                <w:rFonts w:ascii="Arial" w:cs="Arial" w:eastAsia="Arial" w:hAnsi="Arial"/>
                <w:sz w:val="13"/>
                <w:szCs w:val="13"/>
                <w:color w:val="auto"/>
              </w:rPr>
              <w:t>Convertible senior notes issuance costs included in accounts payable and accrued liabilities</w:t>
            </w: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474</w:t>
            </w:r>
          </w:p>
        </w:tc>
        <w:tc>
          <w:tcPr>
            <w:tcW w:w="160" w:type="dxa"/>
            <w:vAlign w:val="bottom"/>
          </w:tcPr>
          <w:p>
            <w:pPr>
              <w:spacing w:after="0"/>
              <w:rPr>
                <w:sz w:val="12"/>
                <w:szCs w:val="12"/>
                <w:color w:val="auto"/>
              </w:rPr>
            </w:pPr>
          </w:p>
        </w:tc>
        <w:tc>
          <w:tcPr>
            <w:tcW w:w="620" w:type="dxa"/>
            <w:vAlign w:val="bottom"/>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tax liability related to convertible senior notes issuance</w:t>
            </w:r>
          </w:p>
        </w:tc>
        <w:tc>
          <w:tcPr>
            <w:tcW w:w="940" w:type="dxa"/>
            <w:vAlign w:val="bottom"/>
            <w:shd w:val="clear" w:color="auto" w:fill="CFF0FC"/>
          </w:tcPr>
          <w:p>
            <w:pPr>
              <w:jc w:val="right"/>
              <w:ind w:right="79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(10,502)</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Deferred tax liability related to unrealized gain on marketable securities</w:t>
            </w: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(701)</w:t>
            </w:r>
          </w:p>
        </w:tc>
        <w:tc>
          <w:tcPr>
            <w:tcW w:w="160" w:type="dxa"/>
            <w:vAlign w:val="bottom"/>
          </w:tcPr>
          <w:p>
            <w:pPr>
              <w:spacing w:after="0"/>
              <w:rPr>
                <w:sz w:val="12"/>
                <w:szCs w:val="12"/>
                <w:color w:val="auto"/>
              </w:rPr>
            </w:pPr>
          </w:p>
        </w:tc>
        <w:tc>
          <w:tcPr>
            <w:tcW w:w="620" w:type="dxa"/>
            <w:vAlign w:val="bottom"/>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restricted shares of common stock for the acquisition of businesses</w:t>
            </w:r>
          </w:p>
        </w:tc>
        <w:tc>
          <w:tcPr>
            <w:tcW w:w="940" w:type="dxa"/>
            <w:vAlign w:val="bottom"/>
            <w:shd w:val="clear" w:color="auto" w:fill="CFF0FC"/>
          </w:tcPr>
          <w:p>
            <w:pPr>
              <w:jc w:val="right"/>
              <w:ind w:right="79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5,169</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tcPr>
          <w:p>
            <w:pPr>
              <w:ind w:left="260"/>
              <w:spacing w:after="0"/>
              <w:rPr>
                <w:sz w:val="20"/>
                <w:szCs w:val="20"/>
                <w:color w:val="auto"/>
              </w:rPr>
            </w:pPr>
            <w:r>
              <w:rPr>
                <w:rFonts w:ascii="Arial" w:cs="Arial" w:eastAsia="Arial" w:hAnsi="Arial"/>
                <w:sz w:val="13"/>
                <w:szCs w:val="13"/>
                <w:color w:val="auto"/>
              </w:rPr>
              <w:t>Acquisition holdback</w:t>
            </w: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1,500</w:t>
            </w:r>
          </w:p>
        </w:tc>
        <w:tc>
          <w:tcPr>
            <w:tcW w:w="160" w:type="dxa"/>
            <w:vAlign w:val="bottom"/>
          </w:tcPr>
          <w:p>
            <w:pPr>
              <w:spacing w:after="0"/>
              <w:rPr>
                <w:sz w:val="12"/>
                <w:szCs w:val="12"/>
                <w:color w:val="auto"/>
              </w:rPr>
            </w:pPr>
          </w:p>
        </w:tc>
        <w:tc>
          <w:tcPr>
            <w:tcW w:w="620" w:type="dxa"/>
            <w:vAlign w:val="bottom"/>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77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r>
      <w:tr>
        <w:trPr>
          <w:trHeight w:val="134"/>
        </w:trPr>
        <w:tc>
          <w:tcPr>
            <w:tcW w:w="7720" w:type="dxa"/>
            <w:vAlign w:val="bottom"/>
          </w:tcPr>
          <w:p>
            <w:pPr>
              <w:spacing w:after="0" w:line="134" w:lineRule="exact"/>
              <w:rPr>
                <w:sz w:val="20"/>
                <w:szCs w:val="20"/>
                <w:color w:val="auto"/>
              </w:rPr>
            </w:pPr>
            <w:r>
              <w:rPr>
                <w:rFonts w:ascii="Arial" w:cs="Arial" w:eastAsia="Arial" w:hAnsi="Arial"/>
                <w:sz w:val="13"/>
                <w:szCs w:val="13"/>
                <w:color w:val="auto"/>
              </w:rPr>
              <w:t>RECONCILIATION OF CASH, CASH EQUIVALENTS AND RESTRICTED CASH</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5"/>
        </w:trPr>
        <w:tc>
          <w:tcPr>
            <w:tcW w:w="7720" w:type="dxa"/>
            <w:vAlign w:val="bottom"/>
          </w:tcPr>
          <w:p>
            <w:pPr>
              <w:ind w:left="100"/>
              <w:spacing w:after="0" w:line="135" w:lineRule="exact"/>
              <w:rPr>
                <w:sz w:val="20"/>
                <w:szCs w:val="20"/>
                <w:color w:val="auto"/>
              </w:rPr>
            </w:pPr>
            <w:r>
              <w:rPr>
                <w:rFonts w:ascii="Arial" w:cs="Arial" w:eastAsia="Arial" w:hAnsi="Arial"/>
                <w:sz w:val="13"/>
                <w:szCs w:val="13"/>
                <w:color w:val="auto"/>
              </w:rPr>
              <w:t>WITHIN THE CONDENSED CONSOLIDATED BALANCE SHEETS TO THE AMOUNTS SHOWN</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9"/>
        </w:trPr>
        <w:tc>
          <w:tcPr>
            <w:tcW w:w="7720" w:type="dxa"/>
            <w:vAlign w:val="bottom"/>
          </w:tcPr>
          <w:p>
            <w:pPr>
              <w:ind w:left="100"/>
              <w:spacing w:after="0"/>
              <w:rPr>
                <w:sz w:val="20"/>
                <w:szCs w:val="20"/>
                <w:color w:val="auto"/>
              </w:rPr>
            </w:pPr>
            <w:r>
              <w:rPr>
                <w:rFonts w:ascii="Arial" w:cs="Arial" w:eastAsia="Arial" w:hAnsi="Arial"/>
                <w:sz w:val="13"/>
                <w:szCs w:val="13"/>
                <w:color w:val="auto"/>
              </w:rPr>
              <w:t>IN THE STATEMENTS OF CASH FLOWS ABOVE:</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and cash equivalents</w:t>
            </w:r>
          </w:p>
        </w:tc>
        <w:tc>
          <w:tcPr>
            <w:tcW w:w="940" w:type="dxa"/>
            <w:vAlign w:val="bottom"/>
            <w:shd w:val="clear" w:color="auto" w:fill="CFF0FC"/>
          </w:tcPr>
          <w:p>
            <w:pPr>
              <w:jc w:val="right"/>
              <w:ind w:right="79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206,202</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52,286</w:t>
            </w:r>
          </w:p>
        </w:tc>
      </w:tr>
      <w:tr>
        <w:trPr>
          <w:trHeight w:val="134"/>
        </w:trPr>
        <w:tc>
          <w:tcPr>
            <w:tcW w:w="7720" w:type="dxa"/>
            <w:vAlign w:val="bottom"/>
          </w:tcPr>
          <w:p>
            <w:pPr>
              <w:ind w:left="260"/>
              <w:spacing w:after="0" w:line="134" w:lineRule="exact"/>
              <w:rPr>
                <w:sz w:val="20"/>
                <w:szCs w:val="20"/>
                <w:color w:val="auto"/>
              </w:rPr>
            </w:pPr>
            <w:r>
              <w:rPr>
                <w:rFonts w:ascii="Arial" w:cs="Arial" w:eastAsia="Arial" w:hAnsi="Arial"/>
                <w:sz w:val="13"/>
                <w:szCs w:val="13"/>
                <w:color w:val="auto"/>
              </w:rPr>
              <w:t>Restricted cash – Including amounts in prepaid expense and other current assets and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9"/>
        </w:trPr>
        <w:tc>
          <w:tcPr>
            <w:tcW w:w="7720" w:type="dxa"/>
            <w:vAlign w:val="bottom"/>
            <w:tcBorders>
              <w:bottom w:val="single" w:sz="8" w:color="CFF0FC"/>
            </w:tcBorders>
          </w:tcPr>
          <w:p>
            <w:pPr>
              <w:ind w:left="340"/>
              <w:spacing w:after="0"/>
              <w:rPr>
                <w:sz w:val="20"/>
                <w:szCs w:val="20"/>
                <w:color w:val="auto"/>
              </w:rPr>
            </w:pPr>
            <w:r>
              <w:rPr>
                <w:rFonts w:ascii="Arial" w:cs="Arial" w:eastAsia="Arial" w:hAnsi="Arial"/>
                <w:sz w:val="13"/>
                <w:szCs w:val="13"/>
                <w:color w:val="auto"/>
              </w:rPr>
              <w:t>other assets</w:t>
            </w:r>
          </w:p>
        </w:tc>
        <w:tc>
          <w:tcPr>
            <w:tcW w:w="9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3,458</w:t>
            </w:r>
          </w:p>
        </w:tc>
        <w:tc>
          <w:tcPr>
            <w:tcW w:w="1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11,305</w:t>
            </w:r>
          </w:p>
        </w:tc>
      </w:tr>
      <w:tr>
        <w:trPr>
          <w:trHeight w:val="142"/>
        </w:trPr>
        <w:tc>
          <w:tcPr>
            <w:tcW w:w="772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Total cash, cash equivalents and restricted cash</w:t>
            </w:r>
          </w:p>
        </w:tc>
        <w:tc>
          <w:tcPr>
            <w:tcW w:w="940" w:type="dxa"/>
            <w:vAlign w:val="bottom"/>
            <w:tcBorders>
              <w:bottom w:val="single" w:sz="8" w:color="auto"/>
            </w:tcBorders>
            <w:shd w:val="clear" w:color="auto" w:fill="CFF0FC"/>
          </w:tcPr>
          <w:p>
            <w:pPr>
              <w:jc w:val="right"/>
              <w:ind w:right="79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209,660</w:t>
            </w:r>
          </w:p>
        </w:tc>
        <w:tc>
          <w:tcPr>
            <w:tcW w:w="1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ind w:right="50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63,591</w:t>
            </w: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Datadog, Inc. (“Datadog” or the “Company”) was incorporated in the State of Delaware on June 4, 2010. The Company is the monitoring and analytics platform for developers, IT operations teams and business users in the cloud age. The Company’s SaaS platform integrates and automates infrastructure monitoring, application performance monitoring, log management, and security monitoring to provide unified, real-time observability of its customers’ entire technology stack. The Company is headquartered in New York City and has various other global office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225"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unaudited condensed consolidated financial statements include the accounts of Datadog,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2020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2019, as filed with the SEC on February 25, 2020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accompanying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Datadog, Inc. and its wholly owned subsidiaries. All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September 6, 2019, the Board and stockholders approved an amended and restated certificate of incorporation of the Company effecting a 3-for-1 stock split of the Company’s issued and outstanding shares of common stock and convertible preferred stock, and an increase to the authorized shares of the Company’s common stock and convertible preferred stock to 380,000,000 shares and 179,814,912 shares, respectively. The split was effected on September 6, 2019 and without any change in the par value per share.</w:t>
      </w:r>
    </w:p>
    <w:p>
      <w:pPr>
        <w:spacing w:after="0" w:line="18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All information related to the Company’s common stock, convertible preferred stock and stock awards has been retroactively adjusted to give effect to the 3-for-1 stock split on September 6,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including the determination of the fair value of the Company’s stock prior to its initial public offering (“IPO”), fair value of common stock and redeemable convertible preferred stock prior to the IPO, valuation of long-lived assets and their recoverability, including goodwill, estimated expected period of benefit for deferred contract costs, the incremental borrowing rate for operating leases,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jc w:val="both"/>
        <w:ind w:right="20" w:firstLine="510"/>
        <w:spacing w:after="0" w:line="287"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Instruments—Credit Losses (Topic 326)</w:t>
      </w:r>
      <w:r>
        <w:rPr>
          <w:rFonts w:ascii="Arial" w:cs="Arial" w:eastAsia="Arial" w:hAnsi="Arial"/>
          <w:sz w:val="16"/>
          <w:szCs w:val="16"/>
          <w:color w:val="auto"/>
        </w:rPr>
        <w:t>:</w:t>
      </w:r>
      <w:r>
        <w:rPr>
          <w:rFonts w:ascii="Arial" w:cs="Arial" w:eastAsia="Arial" w:hAnsi="Arial"/>
          <w:sz w:val="16"/>
          <w:szCs w:val="16"/>
          <w:i w:val="1"/>
          <w:iCs w:val="1"/>
          <w:color w:val="auto"/>
        </w:rPr>
        <w:t xml:space="preserve"> Measurement of Credit Losses on Financial Instruments</w:t>
      </w:r>
      <w:r>
        <w:rPr>
          <w:rFonts w:ascii="Arial" w:cs="Arial" w:eastAsia="Arial" w:hAnsi="Arial"/>
          <w:sz w:val="16"/>
          <w:szCs w:val="16"/>
          <w:color w:val="auto"/>
        </w:rPr>
        <w:t>, which requires an entity to utilize a new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Additionally, ASU No. 2016-13 amends the current available-for-sale security impairment model for debt securities held for investment. The new model will require an estimate of expected credit losses when the fair value is below the amortized cost of the asset. The credit-related impairment (and subsequent recoveries) are recognized as an allowance on the balance sheet with a corresponding adjustment to the income statement. Non-credit related losses will continue to be recognized through OCI. This guidance also requires new disclosures for financial assets measured at amortized cost, loans and available-for-sale debt securities. Entities will apply the standard’s provisions as a cumulative-effect adjustment to retained earnings as of the beginning of the first reporting period in which the guidance is adopted. The Company adopted this ASU on January 1, 2020 and determined that the ASU had no material impact on the Company’s condensed consolidated financial statements.</w:t>
      </w:r>
    </w:p>
    <w:p>
      <w:pPr>
        <w:spacing w:after="0" w:line="199" w:lineRule="exact"/>
        <w:rPr>
          <w:sz w:val="20"/>
          <w:szCs w:val="20"/>
          <w:color w:val="auto"/>
        </w:rPr>
      </w:pPr>
    </w:p>
    <w:p>
      <w:pPr>
        <w:jc w:val="both"/>
        <w:ind w:right="20" w:firstLine="510"/>
        <w:spacing w:after="0" w:line="280"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Customer’s Accounting for Implementation Costs Incurred in a Cloud Computing Arrangement</w:t>
      </w:r>
      <w:r>
        <w:rPr>
          <w:rFonts w:ascii="Arial" w:cs="Arial" w:eastAsia="Arial" w:hAnsi="Arial"/>
          <w:sz w:val="17"/>
          <w:szCs w:val="17"/>
          <w:color w:val="auto"/>
        </w:rPr>
        <w:t xml:space="preserve"> </w:t>
      </w:r>
      <w:r>
        <w:rPr>
          <w:rFonts w:ascii="Arial" w:cs="Arial" w:eastAsia="Arial" w:hAnsi="Arial"/>
          <w:sz w:val="17"/>
          <w:szCs w:val="17"/>
          <w:i w:val="1"/>
          <w:iCs w:val="1"/>
          <w:color w:val="auto"/>
        </w:rPr>
        <w:t>That Is a Service Contract</w:t>
      </w:r>
      <w:r>
        <w:rPr>
          <w:rFonts w:ascii="Arial" w:cs="Arial" w:eastAsia="Arial" w:hAnsi="Arial"/>
          <w:sz w:val="17"/>
          <w:szCs w:val="17"/>
          <w:color w:val="auto"/>
        </w:rPr>
        <w:t>, which aligns the accounting for implementation costs incurred in a hosting arrangement that is a service contract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accounting for implementation costs incurred to develop or obtain internal-use software under Accounting Standard Codification (“ASC”) 350-40, </w:t>
      </w:r>
      <w:r>
        <w:rPr>
          <w:rFonts w:ascii="Arial" w:cs="Arial" w:eastAsia="Arial" w:hAnsi="Arial"/>
          <w:sz w:val="17"/>
          <w:szCs w:val="17"/>
          <w:i w:val="1"/>
          <w:iCs w:val="1"/>
          <w:color w:val="auto"/>
        </w:rPr>
        <w:t>Internal-Use Software</w:t>
      </w:r>
      <w:r>
        <w:rPr>
          <w:rFonts w:ascii="Arial" w:cs="Arial" w:eastAsia="Arial" w:hAnsi="Arial"/>
          <w:sz w:val="17"/>
          <w:szCs w:val="17"/>
          <w:color w:val="auto"/>
        </w:rPr>
        <w:t>, in order to determine which costs to capitalize and recognize as an asset and which costs to expense. The Company adopted the</w:t>
      </w:r>
      <w:r>
        <w:rPr>
          <w:rFonts w:ascii="Arial" w:cs="Arial" w:eastAsia="Arial" w:hAnsi="Arial"/>
          <w:sz w:val="17"/>
          <w:szCs w:val="17"/>
          <w:i w:val="1"/>
          <w:iCs w:val="1"/>
          <w:color w:val="auto"/>
        </w:rPr>
        <w:t xml:space="preserve"> </w:t>
      </w:r>
      <w:r>
        <w:rPr>
          <w:rFonts w:ascii="Arial" w:cs="Arial" w:eastAsia="Arial" w:hAnsi="Arial"/>
          <w:sz w:val="17"/>
          <w:szCs w:val="17"/>
          <w:color w:val="auto"/>
        </w:rPr>
        <w:t>ASU on January 1, 2020 and applied it prospectively to implementation costs incurred after the date of adoption. The Company’s adoption of this ASU had no material impact on the Company's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25" w:lineRule="exact"/>
        <w:rPr>
          <w:sz w:val="20"/>
          <w:szCs w:val="20"/>
          <w:color w:val="auto"/>
        </w:rPr>
      </w:pPr>
    </w:p>
    <w:p>
      <w:pPr>
        <w:jc w:val="both"/>
        <w:ind w:right="20" w:firstLine="51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Simplifying the Accounting for Income Taxes, which aims to reduce complexity in accounting standards by improving certain areas of GAAP without compromising information provided to users of financial statements. The Company will lose its emerging growth company status, effective as of December 31, 2020, and this guidance will be effective for the Company beginning January 1, 2021. The Company is currently evaluating the impact of the adoption of this standard on its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following is a summary of available-for-sale marketable securities, excluding those securities classified within cash and cash equivalents on the condensed consolidated balance sheets as of June 30, 2020 and December 31, 2019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97"/>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center"/>
              <w:ind w:right="295"/>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Commercial debt securities</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904,826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906,775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30,802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30,875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8,566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U.S. government treasury securities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210,176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210,840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7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102,458</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102,533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7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1,256,828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1,259,597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97"/>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center"/>
              <w:ind w:right="295"/>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6"/>
              </w:rPr>
              <w:t>Gain</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Commercial debt securities</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80,376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80,417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U.S. government treasury securities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72,467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72,473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7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23,784</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23,784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7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176,627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176,674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80" w:type="dxa"/>
            <w:vAlign w:val="bottom"/>
            <w:vMerge w:val="restart"/>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3" w:name="page14"/>
    <w:bookmarkEnd w:id="13"/>
    <w:p>
      <w:pPr>
        <w:ind w:left="520"/>
        <w:spacing w:after="0"/>
        <w:rPr>
          <w:sz w:val="20"/>
          <w:szCs w:val="20"/>
          <w:color w:val="auto"/>
        </w:rPr>
      </w:pPr>
      <w:r>
        <w:rPr>
          <w:rFonts w:ascii="Arial" w:cs="Arial" w:eastAsia="Arial" w:hAnsi="Arial"/>
          <w:sz w:val="16"/>
          <w:szCs w:val="16"/>
          <w:color w:val="auto"/>
        </w:rPr>
        <w:t>As of June 30, 2020, the fair values of available-for-sale marketable securities, by remaining contractual maturity, were as follows (in thousands):</w:t>
      </w: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894,242</w:t>
            </w: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in one year through five years</w:t>
            </w:r>
          </w:p>
        </w:tc>
        <w:tc>
          <w:tcPr>
            <w:tcW w:w="10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365,355</w:t>
            </w:r>
          </w:p>
        </w:tc>
      </w:tr>
      <w:tr>
        <w:trPr>
          <w:trHeight w:val="223"/>
        </w:trPr>
        <w:tc>
          <w:tcPr>
            <w:tcW w:w="5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1,259,597</w:t>
            </w: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 and losses on marketable securities are presented net of tax.</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following tables present information about the Company’s financial assets and liabilities that have been measured at fair value on a recurring basis as of June 30, 2020 and December 31, 2019, and indicate the fair value hierarchy of the valuation inputs utilized to determine such fair value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Fair Value Measurement as of June 30, 2020</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56"/>
        </w:trPr>
        <w:tc>
          <w:tcPr>
            <w:tcW w:w="3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3"/>
          </w:tcPr>
          <w:p>
            <w:pPr>
              <w:ind w:left="240"/>
              <w:spacing w:after="0" w:line="155"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right"/>
              <w:ind w:right="654"/>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tcPr>
          <w:p>
            <w:pPr>
              <w:jc w:val="right"/>
              <w:ind w:right="712"/>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4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Cash equivalents:</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800" w:type="dxa"/>
            <w:vAlign w:val="bottom"/>
            <w:gridSpan w:val="3"/>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152,796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FF0FC"/>
          </w:tcPr>
          <w:p>
            <w:pPr>
              <w:jc w:val="right"/>
              <w:ind w:right="1239"/>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152,796</w:t>
            </w: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32,344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32,344</w:t>
            </w:r>
          </w:p>
        </w:tc>
      </w:tr>
      <w:tr>
        <w:trPr>
          <w:trHeight w:val="229"/>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4,339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4,339</w:t>
            </w:r>
          </w:p>
        </w:tc>
      </w:tr>
      <w:tr>
        <w:trPr>
          <w:trHeight w:val="229"/>
        </w:trPr>
        <w:tc>
          <w:tcPr>
            <w:tcW w:w="3140" w:type="dxa"/>
            <w:vAlign w:val="bottom"/>
          </w:tcPr>
          <w:p>
            <w:pPr>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906,776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906,776</w:t>
            </w: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U.S. government agencies</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8,574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8,574</w:t>
            </w:r>
          </w:p>
        </w:tc>
      </w:tr>
      <w:tr>
        <w:trPr>
          <w:trHeight w:val="229"/>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Certificates of deposit</w:t>
            </w: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30,875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30,875</w:t>
            </w: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U.S. government treasury securities</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210,839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210,839</w:t>
            </w:r>
          </w:p>
        </w:tc>
      </w:tr>
      <w:tr>
        <w:trPr>
          <w:trHeight w:val="229"/>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102,533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102,533</w:t>
            </w:r>
          </w:p>
        </w:tc>
      </w:tr>
      <w:tr>
        <w:trPr>
          <w:trHeight w:val="223"/>
        </w:trPr>
        <w:tc>
          <w:tcPr>
            <w:tcW w:w="3140" w:type="dxa"/>
            <w:vAlign w:val="bottom"/>
          </w:tcPr>
          <w:p>
            <w:pPr>
              <w:ind w:left="260"/>
              <w:spacing w:after="0"/>
              <w:rPr>
                <w:sz w:val="20"/>
                <w:szCs w:val="20"/>
                <w:color w:val="auto"/>
              </w:rPr>
            </w:pPr>
            <w:r>
              <w:rPr>
                <w:rFonts w:ascii="Arial" w:cs="Arial" w:eastAsia="Arial" w:hAnsi="Arial"/>
                <w:sz w:val="18"/>
                <w:szCs w:val="18"/>
                <w:color w:val="auto"/>
              </w:rPr>
              <w:t>Total financial assets</w:t>
            </w:r>
          </w:p>
        </w:tc>
        <w:tc>
          <w:tcPr>
            <w:tcW w:w="4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152,796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1,296,280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2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1,449,076</w:t>
            </w:r>
          </w:p>
        </w:tc>
      </w:tr>
      <w:tr>
        <w:trPr>
          <w:trHeight w:val="20"/>
        </w:trPr>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58"/>
        </w:trPr>
        <w:tc>
          <w:tcPr>
            <w:tcW w:w="3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Fair Value Measurement as of December 31, 2019</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55"/>
        </w:trPr>
        <w:tc>
          <w:tcPr>
            <w:tcW w:w="3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3"/>
          </w:tcPr>
          <w:p>
            <w:pPr>
              <w:ind w:left="280"/>
              <w:spacing w:after="0" w:line="155"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right"/>
              <w:ind w:right="634"/>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tcPr>
          <w:p>
            <w:pPr>
              <w:jc w:val="right"/>
              <w:ind w:right="712"/>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4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Cash equivalents:</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800" w:type="dxa"/>
            <w:vAlign w:val="bottom"/>
            <w:gridSpan w:val="3"/>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21"/>
              <w:spacing w:after="0"/>
              <w:rPr>
                <w:sz w:val="20"/>
                <w:szCs w:val="20"/>
                <w:color w:val="auto"/>
              </w:rPr>
            </w:pPr>
            <w:r>
              <w:rPr>
                <w:rFonts w:ascii="Arial" w:cs="Arial" w:eastAsia="Arial" w:hAnsi="Arial"/>
                <w:sz w:val="18"/>
                <w:szCs w:val="18"/>
                <w:color w:val="auto"/>
              </w:rPr>
              <w:t>588,762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FF0FC"/>
          </w:tcPr>
          <w:p>
            <w:pPr>
              <w:jc w:val="right"/>
              <w:ind w:right="1239"/>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588,762</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80,417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80,417</w:t>
            </w: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U.S. government treasury securities</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72,473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72,473</w:t>
            </w:r>
          </w:p>
        </w:tc>
      </w:tr>
      <w:tr>
        <w:trPr>
          <w:trHeight w:val="230"/>
        </w:trPr>
        <w:tc>
          <w:tcPr>
            <w:tcW w:w="3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23,784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23,784</w:t>
            </w:r>
          </w:p>
        </w:tc>
      </w:tr>
      <w:tr>
        <w:trPr>
          <w:trHeight w:val="223"/>
        </w:trPr>
        <w:tc>
          <w:tcPr>
            <w:tcW w:w="3140" w:type="dxa"/>
            <w:vAlign w:val="bottom"/>
          </w:tcPr>
          <w:p>
            <w:pPr>
              <w:ind w:left="260"/>
              <w:spacing w:after="0"/>
              <w:rPr>
                <w:sz w:val="20"/>
                <w:szCs w:val="20"/>
                <w:color w:val="auto"/>
              </w:rPr>
            </w:pPr>
            <w:r>
              <w:rPr>
                <w:rFonts w:ascii="Arial" w:cs="Arial" w:eastAsia="Arial" w:hAnsi="Arial"/>
                <w:sz w:val="18"/>
                <w:szCs w:val="18"/>
                <w:color w:val="auto"/>
              </w:rPr>
              <w:t>Total financial assets</w:t>
            </w:r>
          </w:p>
        </w:tc>
        <w:tc>
          <w:tcPr>
            <w:tcW w:w="480" w:type="dxa"/>
            <w:vAlign w:val="bottom"/>
            <w:gridSpan w:val="2"/>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588,762</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176,674</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2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765,436</w:t>
            </w:r>
          </w:p>
        </w:tc>
      </w:tr>
      <w:tr>
        <w:trPr>
          <w:trHeight w:val="20"/>
        </w:trPr>
        <w:tc>
          <w:tcPr>
            <w:tcW w:w="3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classifies its highly liquid money market funds within Level 1 of the fair value hierarchy because they are valued based on quoted market prices in active markets. The Company classifies its commercial paper, corporate debt securities, U.S. government agencies, certificates of deposit,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to the condensed consolidated financial statements for further details.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540" w:type="dxa"/>
            <w:vAlign w:val="bottom"/>
          </w:tcPr>
          <w:p>
            <w:pPr>
              <w:jc w:val="right"/>
              <w:ind w:right="87"/>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tcPr>
          <w:p>
            <w:pPr>
              <w:jc w:val="right"/>
              <w:ind w:right="77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0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1054"/>
              <w:spacing w:after="0"/>
              <w:rPr>
                <w:sz w:val="20"/>
                <w:szCs w:val="20"/>
                <w:color w:val="auto"/>
              </w:rPr>
            </w:pPr>
            <w:r>
              <w:rPr>
                <w:rFonts w:ascii="Arial" w:cs="Arial" w:eastAsia="Arial" w:hAnsi="Arial"/>
                <w:sz w:val="14"/>
                <w:szCs w:val="14"/>
                <w:b w:val="1"/>
                <w:bCs w:val="1"/>
                <w:color w:val="auto"/>
              </w:rPr>
              <w:t>2019</w:t>
            </w: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Computers and equipment</w:t>
            </w:r>
          </w:p>
        </w:tc>
        <w:tc>
          <w:tcPr>
            <w:tcW w:w="1540" w:type="dxa"/>
            <w:vAlign w:val="bottom"/>
            <w:shd w:val="clear" w:color="auto" w:fill="CFF0FC"/>
          </w:tcPr>
          <w:p>
            <w:pPr>
              <w:jc w:val="right"/>
              <w:ind w:right="13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9,664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7,536</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5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4,986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jc w:val="right"/>
              <w:ind w:right="54"/>
              <w:spacing w:after="0"/>
              <w:rPr>
                <w:sz w:val="20"/>
                <w:szCs w:val="20"/>
                <w:color w:val="auto"/>
              </w:rPr>
            </w:pPr>
            <w:r>
              <w:rPr>
                <w:rFonts w:ascii="Arial" w:cs="Arial" w:eastAsia="Arial" w:hAnsi="Arial"/>
                <w:sz w:val="18"/>
                <w:szCs w:val="18"/>
                <w:color w:val="auto"/>
              </w:rPr>
              <w:t>4,804</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5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17,181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16,517</w:t>
            </w:r>
          </w:p>
        </w:tc>
      </w:tr>
      <w:tr>
        <w:trPr>
          <w:trHeight w:val="229"/>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software development costs</w:t>
            </w:r>
          </w:p>
        </w:tc>
        <w:tc>
          <w:tcPr>
            <w:tcW w:w="1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33,085</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24,630</w:t>
            </w:r>
          </w:p>
        </w:tc>
      </w:tr>
      <w:tr>
        <w:trPr>
          <w:trHeight w:val="223"/>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1540" w:type="dxa"/>
            <w:vAlign w:val="bottom"/>
            <w:shd w:val="clear" w:color="auto" w:fill="CFF0FC"/>
          </w:tcPr>
          <w:p>
            <w:pPr>
              <w:jc w:val="right"/>
              <w:ind w:right="13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64,916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53,487</w:t>
            </w:r>
          </w:p>
        </w:tc>
      </w:tr>
      <w:tr>
        <w:trPr>
          <w:trHeight w:val="229"/>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(27,752)</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(20,738)</w:t>
            </w: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540" w:type="dxa"/>
            <w:vAlign w:val="bottom"/>
            <w:tcBorders>
              <w:bottom w:val="single" w:sz="8" w:color="auto"/>
            </w:tcBorders>
            <w:shd w:val="clear" w:color="auto" w:fill="CFF0FC"/>
          </w:tcPr>
          <w:p>
            <w:pPr>
              <w:jc w:val="right"/>
              <w:ind w:right="13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37,164</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32,749</w:t>
            </w:r>
          </w:p>
        </w:tc>
      </w:tr>
      <w:tr>
        <w:trPr>
          <w:trHeight w:val="20"/>
        </w:trPr>
        <w:tc>
          <w:tcPr>
            <w:tcW w:w="6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 capitalizes costs related to the development of computer software for internal use and is included in capitalized software development costs within property and equipment, net.</w:t>
      </w:r>
    </w:p>
    <w:p>
      <w:pPr>
        <w:spacing w:after="0" w:line="19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Depreciation and amortization expense was approximately $3.5 million and $7.0 million for the three and six months ended June 30, 2020, respectively. Depreciation and amortization expense was approximately $2.5 million and $4.4 million for the three and six months ended June 30,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During the six months ended June 30, 2020, we completed an acquisition with the purchase price in cash and stock. The acquisition was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was allocated to intangible assets in the amount of $1.5 million and goodwill in the amount of $7.8 million based on the respective estimated fair values. The resulting goodwill is not deductible for income tax purposes.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Intangibles, net consisted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w w:val="96"/>
              </w:rPr>
              <w:t>June 30, 2020</w:t>
            </w: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jc w:val="center"/>
              <w:ind w:right="324"/>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1"/>
                <w:szCs w:val="11"/>
                <w:color w:val="auto"/>
              </w:rPr>
            </w:pPr>
          </w:p>
        </w:tc>
        <w:tc>
          <w:tcPr>
            <w:tcW w:w="1360" w:type="dxa"/>
            <w:vAlign w:val="bottom"/>
            <w:gridSpan w:val="2"/>
          </w:tcPr>
          <w:p>
            <w:pPr>
              <w:jc w:val="center"/>
              <w:ind w:right="680"/>
              <w:spacing w:after="0" w:line="133" w:lineRule="exact"/>
              <w:rPr>
                <w:sz w:val="20"/>
                <w:szCs w:val="20"/>
                <w:color w:val="auto"/>
              </w:rPr>
            </w:pPr>
            <w:r>
              <w:rPr>
                <w:rFonts w:ascii="Arial" w:cs="Arial" w:eastAsia="Arial" w:hAnsi="Arial"/>
                <w:sz w:val="14"/>
                <w:szCs w:val="14"/>
                <w:b w:val="1"/>
                <w:bCs w:val="1"/>
                <w:color w:val="auto"/>
                <w:w w:val="88"/>
              </w:rPr>
              <w:t>Net</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324"/>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Carrying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304"/>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Amount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4,592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rPr>
              <w:t>(2,006)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2,586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7"/>
              </w:rPr>
              <w:t>2-3 years</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2019</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jc w:val="center"/>
              <w:ind w:right="324"/>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1"/>
                <w:szCs w:val="11"/>
                <w:color w:val="auto"/>
              </w:rPr>
            </w:pPr>
          </w:p>
        </w:tc>
        <w:tc>
          <w:tcPr>
            <w:tcW w:w="1360" w:type="dxa"/>
            <w:vAlign w:val="bottom"/>
            <w:gridSpan w:val="2"/>
          </w:tcPr>
          <w:p>
            <w:pPr>
              <w:jc w:val="center"/>
              <w:ind w:right="680"/>
              <w:spacing w:after="0" w:line="133" w:lineRule="exact"/>
              <w:rPr>
                <w:sz w:val="20"/>
                <w:szCs w:val="20"/>
                <w:color w:val="auto"/>
              </w:rPr>
            </w:pPr>
            <w:r>
              <w:rPr>
                <w:rFonts w:ascii="Arial" w:cs="Arial" w:eastAsia="Arial" w:hAnsi="Arial"/>
                <w:sz w:val="14"/>
                <w:szCs w:val="14"/>
                <w:b w:val="1"/>
                <w:bCs w:val="1"/>
                <w:color w:val="auto"/>
                <w:w w:val="88"/>
              </w:rPr>
              <w:t>Net</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324"/>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Carrying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304"/>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Amount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3,046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8"/>
              </w:rPr>
              <w:t>(1,611)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1,435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7"/>
              </w:rPr>
              <w:t>2-3 years</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Intangible amortization expense was approximately $0.2 million and $0.2 million for the three months ended June 30, 2020 and 2019, respectively, and $0.4 million and $0.4 million for the six months ended June 30, 2020 and 2019, respectively. Amortization of developed technology is included in cost of revenue on the Company’s condensed consolidated statement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As of June 30, 2020, future amortization expense by year is expected to be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6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Goodwill</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3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360" w:type="dxa"/>
            <w:vAlign w:val="bottom"/>
            <w:gridSpan w:val="2"/>
          </w:tcPr>
          <w:p>
            <w:pPr>
              <w:ind w:left="520"/>
              <w:spacing w:after="0"/>
              <w:rPr>
                <w:sz w:val="20"/>
                <w:szCs w:val="20"/>
                <w:color w:val="auto"/>
              </w:rPr>
            </w:pPr>
            <w:r>
              <w:rPr>
                <w:rFonts w:ascii="Arial" w:cs="Arial" w:eastAsia="Arial" w:hAnsi="Arial"/>
                <w:sz w:val="18"/>
                <w:szCs w:val="18"/>
                <w:color w:val="auto"/>
              </w:rPr>
              <w:t>The changes in the carrying amount of goodwill were as follows (in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700" w:type="dxa"/>
            <w:vAlign w:val="bottom"/>
          </w:tcPr>
          <w:p>
            <w:pPr>
              <w:spacing w:after="0"/>
              <w:rPr>
                <w:sz w:val="24"/>
                <w:szCs w:val="24"/>
                <w:color w:val="auto"/>
              </w:rPr>
            </w:pPr>
          </w:p>
        </w:tc>
        <w:tc>
          <w:tcPr>
            <w:tcW w:w="56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2020 acquisition</w:t>
            </w: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7,814</w:t>
            </w:r>
          </w:p>
        </w:tc>
        <w:tc>
          <w:tcPr>
            <w:tcW w:w="0" w:type="dxa"/>
            <w:vAlign w:val="bottom"/>
          </w:tcPr>
          <w:p>
            <w:pPr>
              <w:spacing w:after="0"/>
              <w:rPr>
                <w:sz w:val="1"/>
                <w:szCs w:val="1"/>
                <w:color w:val="auto"/>
              </w:rPr>
            </w:pPr>
          </w:p>
        </w:tc>
      </w:tr>
      <w:tr>
        <w:trPr>
          <w:trHeight w:val="223"/>
        </w:trPr>
        <w:tc>
          <w:tcPr>
            <w:tcW w:w="7360" w:type="dxa"/>
            <w:vAlign w:val="bottom"/>
            <w:gridSpan w:val="2"/>
          </w:tcPr>
          <w:p>
            <w:pPr>
              <w:ind w:left="1700"/>
              <w:spacing w:after="0"/>
              <w:rPr>
                <w:sz w:val="20"/>
                <w:szCs w:val="20"/>
                <w:color w:val="auto"/>
              </w:rPr>
            </w:pPr>
            <w:r>
              <w:rPr>
                <w:rFonts w:ascii="Arial" w:cs="Arial" w:eastAsia="Arial" w:hAnsi="Arial"/>
                <w:sz w:val="18"/>
                <w:szCs w:val="18"/>
                <w:color w:val="auto"/>
              </w:rPr>
              <w:t>Balance as of June 30, 2020</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16,860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229"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estimated debt issuance costs, were approximately $730.2 million. The 2025 Notes will bear interest at a rate of 0.125% per year, payable semiannually in arrears on June 15 and December 15 of each year, beginning on December 15, 2020. The 2025 Notes will mature on June 15, 2025, unless earlier converted, redeemed or repurchased.</w:t>
      </w:r>
    </w:p>
    <w:p>
      <w:pPr>
        <w:spacing w:after="0" w:line="16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Holders may convert their notes at their option at any time prior to the close of business on the business day immediately preceding March 15, 2025 only under the following circumstances:</w:t>
      </w:r>
    </w:p>
    <w:p>
      <w:pPr>
        <w:spacing w:after="0" w:line="170" w:lineRule="exact"/>
        <w:rPr>
          <w:sz w:val="20"/>
          <w:szCs w:val="20"/>
          <w:color w:val="auto"/>
        </w:rPr>
      </w:pPr>
    </w:p>
    <w:p>
      <w:pPr>
        <w:jc w:val="both"/>
        <w:ind w:left="1000" w:hanging="493"/>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86"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five business day period after any ten consecutive trading day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183"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or</w:t>
      </w:r>
    </w:p>
    <w:p>
      <w:pPr>
        <w:spacing w:after="0" w:line="170"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common stock), subject to adjustment as set forth in the Indenture. Upon conversion, the Company will pay or deliver, as the case may be, cash, shares of the Company’s Class A common stock or a combination of cash and shares of the Company’s common stock, at the Company’s election. If the Company satisfies its conversion obligation solely in cash or through payment and delivery, as the case may be, of a combination of cash and shares of its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 It is the Company’s current intent to settle the principal amount of the 2025 Notes in cash.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6" w:name="page17"/>
    <w:bookmarkEnd w:id="16"/>
    <w:p>
      <w:pPr>
        <w:jc w:val="both"/>
        <w:ind w:firstLine="510"/>
        <w:spacing w:after="0" w:line="263" w:lineRule="auto"/>
        <w:rPr>
          <w:sz w:val="20"/>
          <w:szCs w:val="20"/>
          <w:color w:val="auto"/>
        </w:rPr>
      </w:pPr>
      <w:r>
        <w:rPr>
          <w:rFonts w:ascii="Arial" w:cs="Arial" w:eastAsia="Arial" w:hAnsi="Arial"/>
          <w:sz w:val="18"/>
          <w:szCs w:val="18"/>
          <w:color w:val="auto"/>
        </w:rPr>
        <w:t>During the three months ended June 30, 2020, the conditions allowing holders of the 2025 Notes to convert have not been met. The 2025 Notes were therefore not convertible during the three months ended June 30, 2020 and were classified as long-term debt on the Company’s condensed consolidated balance sheets.</w:t>
      </w:r>
    </w:p>
    <w:p>
      <w:pPr>
        <w:spacing w:after="0" w:line="18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Company may not redeem the 2025 Notes prior to June 20, 2023. On or after June 20, 2023, and prior to the 31st scheduled trading day immediately preceding the maturity date, the Company may redeem for cash all or any portion of the 2025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9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expected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6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representing the conversion option in additional paid-in capital. As of June 30, 2020, $0.5 million of issuance costs were included in accounts payable and accrued liabilities.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2025 Notes was as follows (in thousands):</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276"/>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64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747,500</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(174,829)</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(13,050)</w:t>
            </w:r>
          </w:p>
        </w:tc>
        <w:tc>
          <w:tcPr>
            <w:tcW w:w="0" w:type="dxa"/>
            <w:vAlign w:val="bottom"/>
          </w:tcPr>
          <w:p>
            <w:pPr>
              <w:spacing w:after="0"/>
              <w:rPr>
                <w:sz w:val="1"/>
                <w:szCs w:val="1"/>
                <w:color w:val="auto"/>
              </w:rPr>
            </w:pPr>
          </w:p>
        </w:tc>
      </w:tr>
      <w:tr>
        <w:trPr>
          <w:trHeight w:val="223"/>
        </w:trPr>
        <w:tc>
          <w:tcPr>
            <w:tcW w:w="7600" w:type="dxa"/>
            <w:vAlign w:val="bottom"/>
            <w:gridSpan w:val="2"/>
          </w:tcPr>
          <w:p>
            <w:pPr>
              <w:ind w:left="1180"/>
              <w:spacing w:after="0"/>
              <w:rPr>
                <w:sz w:val="20"/>
                <w:szCs w:val="20"/>
                <w:color w:val="auto"/>
              </w:rPr>
            </w:pPr>
            <w:r>
              <w:rPr>
                <w:rFonts w:ascii="Arial" w:cs="Arial" w:eastAsia="Arial" w:hAnsi="Arial"/>
                <w:sz w:val="18"/>
                <w:szCs w:val="18"/>
                <w:color w:val="auto"/>
              </w:rPr>
              <w:t>Net carrying amount</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559,621</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w w:val="96"/>
              </w:rPr>
              <w:t>The net carrying amount of the equity component of the 2025 Notes was as follows (in thousands):</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ind w:right="276"/>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64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177,169</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Issuance costs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liability</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23"/>
        </w:trPr>
        <w:tc>
          <w:tcPr>
            <w:tcW w:w="7600" w:type="dxa"/>
            <w:vAlign w:val="bottom"/>
            <w:gridSpan w:val="2"/>
          </w:tcPr>
          <w:p>
            <w:pPr>
              <w:ind w:left="1180"/>
              <w:spacing w:after="0"/>
              <w:rPr>
                <w:sz w:val="20"/>
                <w:szCs w:val="20"/>
                <w:color w:val="auto"/>
              </w:rPr>
            </w:pPr>
            <w:r>
              <w:rPr>
                <w:rFonts w:ascii="Arial" w:cs="Arial" w:eastAsia="Arial" w:hAnsi="Arial"/>
                <w:sz w:val="18"/>
                <w:szCs w:val="18"/>
                <w:color w:val="auto"/>
              </w:rPr>
              <w:t>Net carrying amount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162,570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June 30, 2020, the total estimated fair value of the 2025 Notes was approximately $882.6 million. The fair value was determined based on the closing trading price per $100 of the 2025 Notes as of the last day of trading for the period. The fair value of the 2025 Notes is primarily affected by the trading price of the Company’s Class A common stock and market interest rates.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6"/>
          <w:szCs w:val="16"/>
          <w:color w:val="auto"/>
        </w:rPr>
        <w:t>The following table sets forth the interest expense related to the 2025 Notes for each of the three and six months ended June 30, 2020 (in thousands):</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Three and Six</w:t>
            </w: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Months Ended</w:t>
            </w:r>
          </w:p>
        </w:tc>
      </w:tr>
      <w:tr>
        <w:trPr>
          <w:trHeight w:val="148"/>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64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2020</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2,340</w:t>
            </w: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6440" w:type="dxa"/>
            <w:vAlign w:val="bottom"/>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25"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terms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8"/>
          <w:szCs w:val="18"/>
          <w:b w:val="1"/>
          <w:bCs w:val="1"/>
          <w:i w:val="1"/>
          <w:iCs w:val="1"/>
          <w:color w:val="auto"/>
        </w:rPr>
        <w:t>Non-cancelable Material Commitments</w:t>
      </w:r>
      <w:r>
        <w:rPr>
          <w:rFonts w:ascii="Arial" w:cs="Arial" w:eastAsia="Arial" w:hAnsi="Arial"/>
          <w:sz w:val="18"/>
          <w:szCs w:val="18"/>
          <w:color w:val="auto"/>
        </w:rPr>
        <w:t>—In January 2020, the Company entered into a cloud hosting agreement for a total purchase commitment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$21.0 million payable over the three years following the date of the applicable agreement.</w:t>
      </w:r>
    </w:p>
    <w:p>
      <w:pPr>
        <w:spacing w:after="0" w:line="144"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b w:val="1"/>
          <w:bCs w:val="1"/>
          <w:i w:val="1"/>
          <w:iCs w:val="1"/>
          <w:color w:val="auto"/>
        </w:rPr>
        <w:t>Non-Income Tax Matters</w:t>
      </w:r>
      <w:r>
        <w:rPr>
          <w:rFonts w:ascii="Arial" w:cs="Arial" w:eastAsia="Arial" w:hAnsi="Arial"/>
          <w:sz w:val="16"/>
          <w:szCs w:val="16"/>
          <w:color w:val="auto"/>
        </w:rPr>
        <w:t>—In January 2016, the Company recorded a $5.4 million contingent Federal payroll tax liability in conjunction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repurchase transactions, as part of a capital raise, with certain of its employees. The potential payroll tax treatment of these transactions was subject to uncertainty, and the contingent payroll tax liability was deemed probable and reasonably estimable. On April 15, 2020, the period of limitations for assessing the contingent Federal payroll tax liability expired and the Company was legally released from being the primary obligor. As a result, the Company recognized a $5.6 million benefit in the condensed consolidated statement of operations during the six months ended June 30, 2020.</w:t>
      </w:r>
    </w:p>
    <w:p>
      <w:pPr>
        <w:spacing w:after="0" w:line="161" w:lineRule="exact"/>
        <w:rPr>
          <w:sz w:val="20"/>
          <w:szCs w:val="20"/>
          <w:color w:val="auto"/>
        </w:rPr>
      </w:pPr>
    </w:p>
    <w:p>
      <w:pPr>
        <w:jc w:val="both"/>
        <w:ind w:firstLine="510"/>
        <w:spacing w:after="0" w:line="377" w:lineRule="auto"/>
        <w:rPr>
          <w:sz w:val="20"/>
          <w:szCs w:val="20"/>
          <w:color w:val="auto"/>
        </w:rPr>
      </w:pPr>
      <w:r>
        <w:rPr>
          <w:rFonts w:ascii="Arial" w:cs="Arial" w:eastAsia="Arial" w:hAnsi="Arial"/>
          <w:sz w:val="16"/>
          <w:szCs w:val="16"/>
          <w:b w:val="1"/>
          <w:bCs w:val="1"/>
          <w:i w:val="1"/>
          <w:iCs w:val="1"/>
          <w:color w:val="auto"/>
        </w:rPr>
        <w:t>401(k) Plan</w:t>
      </w:r>
      <w:r>
        <w:rPr>
          <w:rFonts w:ascii="Arial" w:cs="Arial" w:eastAsia="Arial" w:hAnsi="Arial"/>
          <w:sz w:val="16"/>
          <w:szCs w:val="16"/>
          <w:color w:val="auto"/>
        </w:rPr>
        <w:t>—The Company sponsors a 401(k) defined contribution plan covering all eligible US employees. Contributions to the 401(k) plan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discretionary. The Company did not make any matching contributions to the 401(k) plan for the three and six months ended June 30, 2020 and 2019.</w:t>
      </w:r>
    </w:p>
    <w:p>
      <w:pPr>
        <w:spacing w:after="0" w:line="9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b w:val="1"/>
          <w:bCs w:val="1"/>
          <w:i w:val="1"/>
          <w:iCs w:val="1"/>
          <w:color w:val="auto"/>
        </w:rPr>
        <w:t>Legal Matters</w:t>
      </w:r>
      <w:r>
        <w:rPr>
          <w:rFonts w:ascii="Arial" w:cs="Arial" w:eastAsia="Arial" w:hAnsi="Arial"/>
          <w:sz w:val="18"/>
          <w:szCs w:val="18"/>
          <w:color w:val="auto"/>
        </w:rPr>
        <w:t>—The Company is involved from time to time in various claims and legal actions arising in the ordinary course of business. While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84"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b w:val="1"/>
          <w:bCs w:val="1"/>
          <w:i w:val="1"/>
          <w:iCs w:val="1"/>
          <w:color w:val="auto"/>
        </w:rPr>
        <w:t>Indemnification</w:t>
      </w:r>
      <w:r>
        <w:rPr>
          <w:rFonts w:ascii="Arial" w:cs="Arial" w:eastAsia="Arial" w:hAnsi="Arial"/>
          <w:sz w:val="17"/>
          <w:szCs w:val="17"/>
          <w:color w:val="auto"/>
        </w:rPr>
        <w:t>—The Company enters into indemnification provisions under some agreements with other parties in the ordinary course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Company has entered into various noncancelable operating leases for its facilities expiring between fiscal 2020 and 2029. Certain lease agreements contain an option for the Company to renew a lease for a term of up to five years or an option to terminate a lease early within three years. The Company considers these options, which may be elected at the Company’s sole discretion, in determining the lease term on a lease-by-lease basis.</w:t>
      </w:r>
    </w:p>
    <w:p>
      <w:pPr>
        <w:spacing w:after="0" w:line="14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Lease expense for these leases is recognized on a straight-line basis over the lease term, with variable lease payments recognized in the period those payments are incurred.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components of lease cost recognized within the Company’s condensed consolidated statements of operations were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20" w:type="dxa"/>
            <w:vAlign w:val="bottom"/>
            <w:gridSpan w:val="3"/>
          </w:tcPr>
          <w:p>
            <w:pPr>
              <w:jc w:val="center"/>
              <w:ind w:right="49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32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320" w:type="dxa"/>
            <w:vAlign w:val="bottom"/>
            <w:tcBorders>
              <w:bottom w:val="single" w:sz="8" w:color="auto"/>
            </w:tcBorders>
          </w:tcPr>
          <w:p>
            <w:pPr>
              <w:spacing w:after="0"/>
              <w:rPr>
                <w:sz w:val="14"/>
                <w:szCs w:val="14"/>
                <w:color w:val="auto"/>
              </w:rPr>
            </w:pPr>
          </w:p>
        </w:tc>
      </w:tr>
      <w:tr>
        <w:trPr>
          <w:trHeight w:val="237"/>
        </w:trPr>
        <w:tc>
          <w:tcPr>
            <w:tcW w:w="3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20"/>
                <w:szCs w:val="20"/>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87"/>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ind w:right="775"/>
              <w:spacing w:after="0"/>
              <w:rPr>
                <w:sz w:val="20"/>
                <w:szCs w:val="20"/>
                <w:color w:val="auto"/>
              </w:rPr>
            </w:pPr>
            <w:r>
              <w:rPr>
                <w:rFonts w:ascii="Arial" w:cs="Arial" w:eastAsia="Arial" w:hAnsi="Arial"/>
                <w:sz w:val="14"/>
                <w:szCs w:val="14"/>
                <w:b w:val="1"/>
                <w:bCs w:val="1"/>
                <w:color w:val="auto"/>
              </w:rPr>
              <w:t>2019</w:t>
            </w: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15"/>
                <w:szCs w:val="15"/>
                <w:color w:val="auto"/>
              </w:rPr>
              <w:t>(1)</w:t>
            </w:r>
          </w:p>
        </w:tc>
        <w:tc>
          <w:tcPr>
            <w:tcW w:w="1140" w:type="dxa"/>
            <w:vAlign w:val="bottom"/>
            <w:tcBorders>
              <w:top w:val="single" w:sz="8" w:color="auto"/>
            </w:tcBorders>
            <w:shd w:val="clear" w:color="auto" w:fill="CFF0FC"/>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4,110</w:t>
            </w:r>
          </w:p>
        </w:tc>
        <w:tc>
          <w:tcPr>
            <w:tcW w:w="1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2,861</w:t>
            </w: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10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8,070</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5,830</w:t>
            </w:r>
          </w:p>
        </w:tc>
      </w:tr>
      <w:tr>
        <w:trPr>
          <w:trHeight w:val="229"/>
        </w:trPr>
        <w:tc>
          <w:tcPr>
            <w:tcW w:w="3140" w:type="dxa"/>
            <w:vAlign w:val="bottom"/>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15"/>
                <w:szCs w:val="15"/>
                <w:color w:val="auto"/>
              </w:rPr>
              <w:t>(2)</w:t>
            </w:r>
          </w:p>
        </w:tc>
        <w:tc>
          <w:tcPr>
            <w:tcW w:w="114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w:t>
            </w:r>
          </w:p>
        </w:tc>
      </w:tr>
      <w:tr>
        <w:trPr>
          <w:trHeight w:val="229"/>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1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997</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948</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1,896</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380" w:hanging="372"/>
        <w:spacing w:after="0" w:line="230"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non-cash lease expense of $3.4 million and $2.2 million for the three months ended June 30, 2020 and 2019, respectively, and $6.6 million and $4.5 million for the six months ended June 30, 2020 and 2019, respectively.</w:t>
      </w: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related to Consumer Price Index adjustments, common area maintenance and property tax.</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and non-cash activity related to the Company’s operating leases are as follows (in thousands):</w:t>
      </w:r>
    </w:p>
    <w:p>
      <w:pPr>
        <w:spacing w:after="0" w:line="230"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-3175</wp:posOffset>
            </wp:positionV>
            <wp:extent cx="19970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576"/>
              <w:spacing w:after="0"/>
              <w:rPr>
                <w:sz w:val="20"/>
                <w:szCs w:val="20"/>
                <w:color w:val="auto"/>
              </w:rPr>
            </w:pPr>
            <w:r>
              <w:rPr>
                <w:rFonts w:ascii="Arial" w:cs="Arial" w:eastAsia="Arial" w:hAnsi="Arial"/>
                <w:sz w:val="14"/>
                <w:szCs w:val="14"/>
                <w:b w:val="1"/>
                <w:bCs w:val="1"/>
                <w:color w:val="auto"/>
              </w:rPr>
              <w:t>2019</w:t>
            </w: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10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6,310</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4,548</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11,581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by fiscal year for the Company’s operating leases are as follows (in thousands):</w:t>
      </w:r>
    </w:p>
    <w:p>
      <w:pPr>
        <w:spacing w:after="0" w:line="325"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w:t>
            </w: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8,607</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17,369</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17,164</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15,006</w:t>
            </w: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2,572</w:t>
            </w: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beyond</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15,513</w:t>
            </w: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76,231</w:t>
            </w: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w:t>
            </w: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67,405</w:t>
            </w: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June 30, 2020, the Company had one additional operating lease that had not yet commenced. This operating lease will commence in fiscal year 2021 with a lease term of eight years. Pursuant to the terms of the office lease, the Company will pay $19.0 million in aggregate through the life of the lease.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Weighted average remaining lease term and discount rate for the Company’s operating leases are as follows: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0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June 30,</w:t>
            </w:r>
          </w:p>
        </w:tc>
      </w:tr>
      <w:tr>
        <w:trPr>
          <w:trHeight w:val="171"/>
        </w:trPr>
        <w:tc>
          <w:tcPr>
            <w:tcW w:w="54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13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4.97</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300" w:type="dxa"/>
            <w:vAlign w:val="bottom"/>
          </w:tcPr>
          <w:p>
            <w:pPr>
              <w:ind w:left="780"/>
              <w:spacing w:after="0"/>
              <w:rPr>
                <w:sz w:val="20"/>
                <w:szCs w:val="20"/>
                <w:color w:val="auto"/>
              </w:rPr>
            </w:pPr>
            <w:r>
              <w:rPr>
                <w:rFonts w:ascii="Arial" w:cs="Arial" w:eastAsia="Arial" w:hAnsi="Arial"/>
                <w:sz w:val="18"/>
                <w:szCs w:val="18"/>
                <w:color w:val="auto"/>
                <w:w w:val="97"/>
              </w:rPr>
              <w:t>4.78%</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by location is determined by the billing address for the customer. The following table sets forth revenue by geographic area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gridSpan w:val="3"/>
          </w:tcPr>
          <w:p>
            <w:pPr>
              <w:jc w:val="right"/>
              <w:ind w:right="447"/>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4"/>
                <w:szCs w:val="14"/>
                <w:color w:val="auto"/>
              </w:rPr>
            </w:pPr>
          </w:p>
        </w:tc>
      </w:tr>
      <w:tr>
        <w:trPr>
          <w:trHeight w:val="171"/>
        </w:trPr>
        <w:tc>
          <w:tcPr>
            <w:tcW w:w="37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84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3"/>
                <w:szCs w:val="13"/>
                <w:color w:val="auto"/>
              </w:rPr>
            </w:pPr>
          </w:p>
        </w:tc>
        <w:tc>
          <w:tcPr>
            <w:tcW w:w="1200" w:type="dxa"/>
            <w:vAlign w:val="bottom"/>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ind w:right="69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jc w:val="right"/>
              <w:ind w:right="69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000" w:type="dxa"/>
            <w:vAlign w:val="bottom"/>
            <w:tcBorders>
              <w:top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92"/>
              </w:rPr>
              <w:t>106,106</w:t>
            </w: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62,198</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205,488</w:t>
            </w:r>
          </w:p>
        </w:tc>
        <w:tc>
          <w:tcPr>
            <w:tcW w:w="1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115,436</w:t>
            </w:r>
          </w:p>
        </w:tc>
      </w:tr>
      <w:tr>
        <w:trPr>
          <w:trHeight w:val="229"/>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33,906</w:t>
            </w:r>
          </w:p>
        </w:tc>
        <w:tc>
          <w:tcPr>
            <w:tcW w:w="1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21,024</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65,772</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37,836</w:t>
            </w:r>
          </w:p>
        </w:tc>
      </w:tr>
      <w:tr>
        <w:trPr>
          <w:trHeight w:val="223"/>
        </w:trPr>
        <w:tc>
          <w:tcPr>
            <w:tcW w:w="3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92"/>
              </w:rPr>
              <w:t>140,012</w:t>
            </w: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83,222</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271,260</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153,272</w:t>
            </w:r>
          </w:p>
        </w:tc>
      </w:tr>
      <w:tr>
        <w:trPr>
          <w:trHeight w:val="20"/>
        </w:trPr>
        <w:tc>
          <w:tcPr>
            <w:tcW w:w="3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2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6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Revenue recognized during the three months ended June 30, 2020 and 2019 that was included in the deferred revenue balances at the beginning of each such period was $64.9 million and $37.2 million, respectively. Revenue recognized during the six months ended June 30, 2020 and 2019 that was included in the deferred revenue balances at the beginning of each such period was $100.8 million and $51.7 million, respectively.</w:t>
      </w:r>
    </w:p>
    <w:p>
      <w:pPr>
        <w:spacing w:after="0" w:line="165"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June 30, 2020 and December 31, 2019, the aggregate transaction price allocated to remaining performance obligations was $286.7 million and $243.8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Accounts receivable deemed uncollectible are charged against the allowance for credit losses when identified. During the six months ended June 30, 2020 and 2019, the Company charged $0.5 million and $0.1 million, respectively, of accounts receivable deemed uncollectible against the allowance for credit losses.</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June 30, 2020, and December 31, 2019, unbilled accounts receivable of approximately $16.0 million and $14.4 million, respectively, was included in accounts receivable on the Company’s condensed consolidated balance sheets.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Deferred contract costs on the Company’s condensed consolidated balance sheets were $32.4 million and $25.8 million as of June 30, 2020 and December 31, 2019, respectively. Amortization expense was $2.4 million and $1.3 million for the three months ended June 30, 2020 and 2019, respectively, and was $4.6 million and $2.3 million for the six months ended June 30, 2020 and 2019, respectively.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a rollforward of the Company’s deferred contract costs (in thousands):</w:t>
      </w:r>
    </w:p>
    <w:p>
      <w:pPr>
        <w:spacing w:after="0" w:line="325"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6350</wp:posOffset>
            </wp:positionV>
            <wp:extent cx="498919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Balance as of December 31, 2019</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Additions to deferred contract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21590</wp:posOffset>
            </wp:positionV>
            <wp:extent cx="498919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14"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Amortization of deferred contract costs</w:t>
      </w:r>
    </w:p>
    <w:p>
      <w:pPr>
        <w:spacing w:after="0" w:line="5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Balance as of June 30, 2020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028" w:hanging="1028"/>
        <w:spacing w:after="0"/>
        <w:tabs>
          <w:tab w:leader="none" w:pos="1028" w:val="left"/>
        </w:tabs>
        <w:numPr>
          <w:ilvl w:val="0"/>
          <w:numId w:val="6"/>
        </w:numPr>
        <w:rPr>
          <w:rFonts w:ascii="Arial" w:cs="Arial" w:eastAsia="Arial" w:hAnsi="Arial"/>
          <w:sz w:val="18"/>
          <w:szCs w:val="18"/>
          <w:color w:val="auto"/>
        </w:rPr>
      </w:pPr>
      <w:r>
        <w:rPr>
          <w:rFonts w:ascii="Arial" w:cs="Arial" w:eastAsia="Arial" w:hAnsi="Arial"/>
          <w:sz w:val="18"/>
          <w:szCs w:val="18"/>
          <w:color w:val="auto"/>
        </w:rPr>
        <w:t>25,755</w:t>
      </w:r>
    </w:p>
    <w:p>
      <w:pPr>
        <w:spacing w:after="0" w:line="21" w:lineRule="exact"/>
        <w:rPr>
          <w:rFonts w:ascii="Arial" w:cs="Arial" w:eastAsia="Arial" w:hAnsi="Arial"/>
          <w:sz w:val="18"/>
          <w:szCs w:val="18"/>
          <w:color w:val="auto"/>
        </w:rPr>
      </w:pPr>
    </w:p>
    <w:p>
      <w:pPr>
        <w:ind w:left="1028"/>
        <w:spacing w:after="0"/>
        <w:rPr>
          <w:rFonts w:ascii="Arial" w:cs="Arial" w:eastAsia="Arial" w:hAnsi="Arial"/>
          <w:sz w:val="18"/>
          <w:szCs w:val="18"/>
          <w:color w:val="auto"/>
        </w:rPr>
      </w:pPr>
      <w:r>
        <w:rPr>
          <w:rFonts w:ascii="Arial" w:cs="Arial" w:eastAsia="Arial" w:hAnsi="Arial"/>
          <w:sz w:val="18"/>
          <w:szCs w:val="18"/>
          <w:color w:val="auto"/>
        </w:rPr>
        <w:t>11,237</w:t>
      </w:r>
    </w:p>
    <w:p>
      <w:pPr>
        <w:spacing w:after="0" w:line="22" w:lineRule="exact"/>
        <w:rPr>
          <w:rFonts w:ascii="Arial" w:cs="Arial" w:eastAsia="Arial" w:hAnsi="Arial"/>
          <w:sz w:val="18"/>
          <w:szCs w:val="18"/>
          <w:color w:val="auto"/>
        </w:rPr>
      </w:pPr>
    </w:p>
    <w:p>
      <w:pPr>
        <w:ind w:left="1068"/>
        <w:spacing w:after="0"/>
        <w:rPr>
          <w:rFonts w:ascii="Arial" w:cs="Arial" w:eastAsia="Arial" w:hAnsi="Arial"/>
          <w:sz w:val="18"/>
          <w:szCs w:val="18"/>
          <w:color w:val="auto"/>
        </w:rPr>
      </w:pPr>
      <w:r>
        <w:rPr>
          <w:rFonts w:ascii="Arial" w:cs="Arial" w:eastAsia="Arial" w:hAnsi="Arial"/>
          <w:sz w:val="17"/>
          <w:szCs w:val="17"/>
          <w:color w:val="auto"/>
        </w:rPr>
        <w:t>(4,627)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028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7" w:lineRule="exact"/>
        <w:rPr>
          <w:sz w:val="20"/>
          <w:szCs w:val="20"/>
          <w:color w:val="auto"/>
        </w:rPr>
      </w:pPr>
    </w:p>
    <w:p>
      <w:pPr>
        <w:ind w:left="1028" w:hanging="1028"/>
        <w:spacing w:after="0"/>
        <w:tabs>
          <w:tab w:leader="none" w:pos="1028" w:val="left"/>
        </w:tabs>
        <w:numPr>
          <w:ilvl w:val="0"/>
          <w:numId w:val="7"/>
        </w:numPr>
        <w:rPr>
          <w:rFonts w:ascii="Arial" w:cs="Arial" w:eastAsia="Arial" w:hAnsi="Arial"/>
          <w:sz w:val="18"/>
          <w:szCs w:val="18"/>
          <w:color w:val="auto"/>
        </w:rPr>
      </w:pPr>
      <w:r>
        <w:rPr>
          <w:rFonts w:ascii="Arial" w:cs="Arial" w:eastAsia="Arial" w:hAnsi="Arial"/>
          <w:sz w:val="18"/>
          <w:szCs w:val="18"/>
          <w:color w:val="auto"/>
        </w:rPr>
        <w:t>32,365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28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28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104" w:lineRule="exact"/>
        <w:rPr>
          <w:sz w:val="20"/>
          <w:szCs w:val="20"/>
          <w:color w:val="auto"/>
        </w:rPr>
      </w:pPr>
    </w:p>
    <w:p>
      <w:pPr>
        <w:sectPr>
          <w:pgSz w:w="11900" w:h="16838" w:orient="portrait"/>
          <w:cols w:equalWidth="0" w:num="2">
            <w:col w:w="7212" w:space="720"/>
            <w:col w:w="3308"/>
          </w:cols>
          <w:pgMar w:left="320" w:top="341" w:right="339" w:bottom="1440" w:gutter="0" w:footer="0" w:header="0"/>
          <w:type w:val="continuous"/>
        </w:sectPr>
      </w:pPr>
    </w:p>
    <w:p>
      <w:pPr>
        <w:spacing w:after="0" w:line="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upon the sale or transfer to Class A common stock, subject to certain limited exceptions.</w:t>
      </w:r>
    </w:p>
    <w:p>
      <w:pPr>
        <w:spacing w:after="0" w:line="15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During the three and six months ended June 30, 2020, 30,092,969 shares and 117,610,911 shares of Class B common stock were converted into Class A common stock, respectively.</w:t>
      </w:r>
    </w:p>
    <w:p>
      <w:pPr>
        <w:spacing w:after="0" w:line="1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8"/>
          <w:szCs w:val="18"/>
          <w:color w:val="auto"/>
        </w:rPr>
        <w:t>As of June 30, 2020, the Company had authorized 2,000,000,000 shares of Class A common stock and 310,000,000 shares of Class B common stock, each at a par value per share of $0.00001, of which 187,108,585 shares of Class A common stock and 115,145,948 shares of Class B common stock were issued and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8"/>
          <w:szCs w:val="18"/>
          <w:color w:val="auto"/>
        </w:rPr>
        <w:t>The Company has two equity incentive plans, the 2012 equity incentive plan (the “2012 Plan”) and the 2019 equity incentive plan (the “2019 Plan”). In connection with the IPO, the Company ceased granting awards under the 2012 Plan, and all shares that remained available for issuance under the 2012 Plan at that time were transferred to the 2019 Plan. Under the 2019 Plan, the Board and any other committee or subcommittee of the Board may grant stock options, stock appreciation rights (“SARs”), restricted stock awards (“RSAs”), restricted stock units (“RSUs”), and performance-based and other awards, each valued or based on the Company’s Class A common stock, to employees, consultants, and advisors of the Company. As of June 30, 2020, there were 43,837,536 shares available for grant under the 2019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and weighted average exercise prices: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43"/>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2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Exercise Price</w:t>
            </w:r>
          </w:p>
        </w:tc>
        <w:tc>
          <w:tcPr>
            <w:tcW w:w="1260" w:type="dxa"/>
            <w:vAlign w:val="bottom"/>
          </w:tcPr>
          <w:p>
            <w:pPr>
              <w:jc w:val="center"/>
              <w:ind w:right="63"/>
              <w:spacing w:after="0"/>
              <w:rPr>
                <w:sz w:val="20"/>
                <w:szCs w:val="20"/>
                <w:color w:val="auto"/>
              </w:rPr>
            </w:pPr>
            <w:r>
              <w:rPr>
                <w:rFonts w:ascii="Arial" w:cs="Arial" w:eastAsia="Arial" w:hAnsi="Arial"/>
                <w:sz w:val="14"/>
                <w:szCs w:val="14"/>
                <w:b w:val="1"/>
                <w:bCs w:val="1"/>
                <w:color w:val="auto"/>
                <w:w w:val="94"/>
              </w:rPr>
              <w:t>Life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outstanding—December 31, 2019</w:t>
            </w:r>
          </w:p>
        </w:tc>
        <w:tc>
          <w:tcPr>
            <w:tcW w:w="12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36,384,767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ind w:right="61"/>
              <w:spacing w:after="0"/>
              <w:rPr>
                <w:sz w:val="20"/>
                <w:szCs w:val="20"/>
                <w:color w:val="auto"/>
              </w:rPr>
            </w:pPr>
            <w:r>
              <w:rPr>
                <w:rFonts w:ascii="Arial" w:cs="Arial" w:eastAsia="Arial" w:hAnsi="Arial"/>
                <w:sz w:val="18"/>
                <w:szCs w:val="18"/>
                <w:color w:val="auto"/>
              </w:rPr>
              <w:t>1,266,938</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14,600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(5,422,829)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forfeited or 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(335,713)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jc w:val="right"/>
              <w:ind w:right="37"/>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outstanding—June 30, 2020</w:t>
            </w: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30,640,825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7.1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2,565,249</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June 30, 2020, there were 35,300 shares of Class A common stock and 30,605,525 shares of Class B common stock issuable upon the exercise of options outstanding. As of December 31, 2019, there were 20,700 shares of Class A common stock and 36,364,067 shares of Class B common stock issuable upon the exercise of options outstanding.</w:t>
      </w:r>
    </w:p>
    <w:p>
      <w:pPr>
        <w:spacing w:after="0" w:line="22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Total compensation cost related to unvested awards not yet recognized was approximately $75.2 million and $90.5 million as of June 30, 2020 and December 31, 2019, respectively. The weighted average period over which this compensation cost related to unvested employee awards will be recognized is 2.3 years and 2.7 years as of June 30, 2020 and December 31, 2019, respectively.</w:t>
      </w:r>
    </w:p>
    <w:p>
      <w:pPr>
        <w:spacing w:after="0" w:line="21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weighted average grant-date fair value of options granted during the six months ended June 30, 2020 and 2019 was $16.55 and $4.03, respectively. The Company received approximately $7.2 million and $5.2 million in cash proceeds from options exercised during the six months ended June 30, 2020 and 2019, respectively. The intrinsic value of options exercised during the six months ended June 30, 2020 and 2019 was approximately $268.6 million and $53.8 million, respectively. The aggregate fair value of options vested during the six months ended June 30, 2020 and 2019 was $8.5 million and $3.6 million, respectively.</w:t>
      </w:r>
    </w:p>
    <w:p>
      <w:pPr>
        <w:spacing w:after="0" w:line="22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recorded liabilities related to early exercises of 839,250 shares of common stock and 1,239,750 shares of common stock as of June 30, 2020 and December 31, 2019,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for the Company’s unvested RSUs: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32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Balance—December 31, 2019</w:t>
            </w:r>
          </w:p>
        </w:tc>
        <w:tc>
          <w:tcPr>
            <w:tcW w:w="148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647,094</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Awarded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3,362,940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(50,793)</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jc w:val="right"/>
              <w:ind w:right="37"/>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and outstanding—June 30, 2020</w:t>
            </w:r>
          </w:p>
        </w:tc>
        <w:tc>
          <w:tcPr>
            <w:tcW w:w="14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3,955,583</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In June 2020, the Company granted 96,210 restricted shares of Class A common stock, which are subject to service-based vesting conditions over approximately four years. Total compensation cost related to unvested RSUs and restricted shares of common stock not yet recognized was approximately $179.2 million and $30.4 million as of June 30, 2020 and December 31, 2019, respectively. The weighted average period over which this compensation cost related to unvested RSUs and restricted shares will be recognized is 3.7 years and 3.9 years as of June 30, 2020 and December 31, 2019,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In September 2019, the Board adopted and approved the 2019 Employee Stock Purchase Plan (the “ESPP”), which became effective on the date of the final prospectus for the Company’s IPO (the “Final Prospectus”). As of June 30, 2020, 9,354,222 shares of Class A common stock remain available for grant under the ESPP.</w:t>
      </w:r>
    </w:p>
    <w:p>
      <w:pPr>
        <w:spacing w:after="0" w:line="184" w:lineRule="exact"/>
        <w:rPr>
          <w:sz w:val="20"/>
          <w:szCs w:val="20"/>
          <w:color w:val="auto"/>
        </w:rPr>
      </w:pPr>
    </w:p>
    <w:p>
      <w:pPr>
        <w:jc w:val="both"/>
        <w:ind w:right="20" w:firstLine="510"/>
        <w:spacing w:after="0" w:line="272" w:lineRule="auto"/>
        <w:rPr>
          <w:sz w:val="20"/>
          <w:szCs w:val="20"/>
          <w:color w:val="auto"/>
        </w:rPr>
      </w:pPr>
      <w:r>
        <w:rPr>
          <w:rFonts w:ascii="Arial" w:cs="Arial" w:eastAsia="Arial" w:hAnsi="Arial"/>
          <w:sz w:val="17"/>
          <w:szCs w:val="17"/>
          <w:color w:val="auto"/>
        </w:rPr>
        <w:t>The ESPP is implemented 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The initial offering period began on the date of the Final Prospectus and ended on May 15, 2020. The next offering period began on May 18, 2020 and will end on November 13, 2020. On each purchase date, eligible employees will purchase the shares at a price per share equal to 85% of the lesser of (1) the fair market value of the Company’s Class A common stock on the first trading day of the offering period, which for the initial offering period was the $27.00 initial public offering price of the Company’s Class A common stock, or (2) the fair market value of the Company’s Class A common stock on the purchase date, as defined in the ESPP.</w:t>
      </w:r>
    </w:p>
    <w:p>
      <w:pPr>
        <w:spacing w:after="0" w:line="177"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The Company recognized $1.1 million and $2.1 million of stock-based compensation expense related to the ESPP during the three and six months ended June 30, 2020, respectively As of June 30, 2020, $2.1 million has been withheld on behalf of employees for a future purchase under the ESPP due to the timing of payroll deductions. During the three months ended June 30, 2020, the Company issued 320,104 shares of Class A common stock under the ESPP.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20" w:firstLine="510"/>
        <w:spacing w:after="0" w:line="270" w:lineRule="auto"/>
        <w:rPr>
          <w:sz w:val="20"/>
          <w:szCs w:val="20"/>
          <w:color w:val="auto"/>
        </w:rPr>
      </w:pPr>
      <w:r>
        <w:rPr>
          <w:rFonts w:ascii="Arial" w:cs="Arial" w:eastAsia="Arial" w:hAnsi="Arial"/>
          <w:sz w:val="17"/>
          <w:szCs w:val="17"/>
          <w:color w:val="auto"/>
        </w:rPr>
        <w:t>The Company uses the Black-Scholes option-pricing model to estimate the fair value of stock options on the date of grant. The Company recognizes and measures compensation expense for all stock-based payment awards granted to employees, directors, and nonemployees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is determined by the closing price on the date of grant of the Company’s Class A common stock, as reported on The Nasdaq Global Select Market. The Company estimates the fair value of the rights to acquire stock under the ESPP using the Black-Scholes option pricing model. Stock-based compensation is recognized on a straight-line basis over the requisite service period and account for forfeitures as they occur.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included in the condensed consolidated statement of operations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r>
      <w:tr>
        <w:trPr>
          <w:trHeight w:val="223"/>
        </w:trPr>
        <w:tc>
          <w:tcPr>
            <w:tcW w:w="5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407</w:t>
            </w:r>
          </w:p>
        </w:tc>
        <w:tc>
          <w:tcPr>
            <w:tcW w:w="1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638</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211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8,703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14,550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1,775</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4,541</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1,007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7,615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1,736</w:t>
            </w: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3,183</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6,091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1,617</w:t>
            </w: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net of amounts capitalized</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16,834</w:t>
            </w:r>
          </w:p>
        </w:tc>
        <w:tc>
          <w:tcPr>
            <w:tcW w:w="1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2,894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28,894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5,339</w:t>
            </w: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stock-based compensation expense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123</w:t>
            </w: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17,032</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2,965</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29,195</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5,462</w:t>
            </w: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Interest Income and Other Income, Net</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and other income, net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60" w:type="dxa"/>
            <w:vAlign w:val="bottom"/>
            <w:gridSpan w:val="4"/>
          </w:tcPr>
          <w:p>
            <w:pPr>
              <w:jc w:val="right"/>
              <w:ind w:right="187"/>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87"/>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7"/>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7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4"/>
              </w:rPr>
              <w:t>3,823</w:t>
            </w: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253</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7,002</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7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643</w:t>
            </w: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1,067</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 and other income, net</w:t>
            </w:r>
          </w:p>
        </w:tc>
        <w:tc>
          <w:tcPr>
            <w:tcW w:w="17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4"/>
              </w:rPr>
              <w:t>4,466</w:t>
            </w: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326</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8,069</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700" w:type="dxa"/>
            <w:vAlign w:val="bottom"/>
            <w:vMerge w:val="restart"/>
          </w:tcPr>
          <w:p>
            <w:pPr>
              <w:jc w:val="right"/>
              <w:ind w:right="39"/>
              <w:spacing w:after="0"/>
              <w:rPr>
                <w:sz w:val="20"/>
                <w:szCs w:val="20"/>
                <w:color w:val="auto"/>
              </w:rPr>
            </w:pPr>
            <w:r>
              <w:rPr>
                <w:rFonts w:ascii="Arial" w:cs="Arial" w:eastAsia="Arial" w:hAnsi="Arial"/>
                <w:sz w:val="18"/>
                <w:szCs w:val="18"/>
                <w:color w:val="auto"/>
              </w:rPr>
              <w:t>22</w:t>
            </w: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66"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has an effective tax rate of 65.5% and (7.6)% for the three months ended June 30, 2020 and 2019, respectively, and 9.8% and (2.6)% for the six months ended June 30, 2020 and 2019, respectively. The Company has incurred U.S. operating losses and has minimal profits in its foreign jurisdictions.</w:t>
      </w:r>
    </w:p>
    <w:p>
      <w:pPr>
        <w:spacing w:after="0" w:line="184" w:lineRule="exact"/>
        <w:rPr>
          <w:sz w:val="20"/>
          <w:szCs w:val="20"/>
          <w:color w:val="auto"/>
        </w:rPr>
      </w:pPr>
    </w:p>
    <w:p>
      <w:pPr>
        <w:jc w:val="both"/>
        <w:ind w:firstLine="510"/>
        <w:spacing w:after="0" w:line="329" w:lineRule="auto"/>
        <w:rPr>
          <w:sz w:val="20"/>
          <w:szCs w:val="20"/>
          <w:color w:val="auto"/>
        </w:rPr>
      </w:pPr>
      <w:r>
        <w:rPr>
          <w:rFonts w:ascii="Arial" w:cs="Arial" w:eastAsia="Arial" w:hAnsi="Arial"/>
          <w:sz w:val="16"/>
          <w:szCs w:val="16"/>
          <w:color w:val="auto"/>
        </w:rPr>
        <w:t xml:space="preserve">The Company has applied ASC 740, </w:t>
      </w:r>
      <w:r>
        <w:rPr>
          <w:rFonts w:ascii="Arial" w:cs="Arial" w:eastAsia="Arial" w:hAnsi="Arial"/>
          <w:sz w:val="16"/>
          <w:szCs w:val="16"/>
          <w:i w:val="1"/>
          <w:iCs w:val="1"/>
          <w:color w:val="auto"/>
        </w:rPr>
        <w:t>Income Taxes</w:t>
      </w:r>
      <w:r>
        <w:rPr>
          <w:rFonts w:ascii="Arial" w:cs="Arial" w:eastAsia="Arial" w:hAnsi="Arial"/>
          <w:sz w:val="16"/>
          <w:szCs w:val="16"/>
          <w:color w:val="auto"/>
        </w:rPr>
        <w:t>, and has determined that it has uncertain positions that would result in a tax reserve deemed immaterial for each of the six months ended June 30, 2020 and 2019. The Company’s policy is to recognize interest and penalties related to uncertain tax positions in income tax expense. The Company is subject to U.S. federal tax authority, U.S. state tax authority and foreign tax authority examinations.</w:t>
      </w:r>
    </w:p>
    <w:p>
      <w:pPr>
        <w:spacing w:after="0" w:line="13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Prior to the issuance of the convertible debt instruments, the Company was in a net deferred tax asset position and maintained a valuation allowance to reduce its deferred tax assets to its realizable value. The issuance of the convertible debt instruments as separate liability and equity components resulted in a taxable temporary tax basis difference related to the liability component, and the Company recorded a deferred tax liability. As a result, the Company was in a net deferred tax liability position for the six months ended June 30, 2020 of $11.2 million.</w:t>
      </w:r>
    </w:p>
    <w:p>
      <w:pPr>
        <w:spacing w:after="0" w:line="17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Company evaluates whether or not to record a valuation allowance against its deferred tax assets by considering all available positive and negative evidence, using a more likely than not realization standard, including cumulative losses, the amount and timing of future taxable income and taxable temporary differences. The taxable temporary difference resulting from the convertible debt issuance provided an additional source of income to support the realizability of the Company's pre-existing deferred tax assets and the Company released a valuation allowance of $15.1 million through additional paid-in capital as a result of the intra-period allocation guidance. The Company will continue to evaluate its need for a valuation allowance and it is possible that due to future operating results, including the impact of equity compensation deductions, a valuation allowance may be necessary in future periods.</w:t>
      </w:r>
    </w:p>
    <w:p>
      <w:pPr>
        <w:spacing w:after="0" w:line="19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On March 27, 2020 the Coronavirus Aid, Relief, and Economic Security Act ("CARES Act") was enacted and signed into law. The CARES Act makes changes to the U.S. tax code, including, but not limited to: (1) modifications to the business interest deduction limitation for tax years 2019 and 2020; (2) a technical correction of the recovery period of qualified improvement property from 39 to 15 years; and (3) a repeal of the 80% taxable income limitation on the deduction of net operating losses ("NOLs") for tax years beginning before January 1, 2021 as well as a five-year carryback period allowed for NOLs generated in tax years beginning after December 31, 2017 and before January 1, 2021.</w:t>
      </w:r>
    </w:p>
    <w:p>
      <w:pPr>
        <w:spacing w:after="0" w:line="17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Under ASC 740, the effects of new legislation would need to be recognized in the period of enactment. Therefore, the effects of the CARES Act would need to be accounted for in the quarter that includes March 27, 2020. The Company evaluated the provisions of the CARES Act and determined that there was no material impact for the three and six months ended June 30, 2020. The Company will continue to assess the potential income tax impact and monitor any updates to the legislation.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(Loss) Per Share</w:t>
      </w:r>
    </w:p>
    <w:p>
      <w:pPr>
        <w:spacing w:after="0" w:line="22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Basic and diluted net income (loss) per common share is presented in conformity with the two-class method required for participating securities. Immediately prior to the consummation of the Company’s IPO in September 2019, all outstanding shares of convertible preferred stock and common stock were converted to Class B common stock. As a result, Class A and Class B common stock are the only outstanding equity in the Company.</w:t>
      </w:r>
    </w:p>
    <w:p>
      <w:pPr>
        <w:spacing w:after="0" w:line="14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Basic and diluted net income (loss) per share is computed using the weighted-average number of common shares outstanding during the period. The undistributed earnings are allocated based on the contractual participation rights of the Class A and Class B common shares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(loss) per share of Class A common stock, the undistributed earnings are equal to net income (loss) for that computation.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The following table presents the calculation of basic and diluted net income (loss) per share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80" w:type="dxa"/>
            <w:vAlign w:val="bottom"/>
            <w:vMerge w:val="restart"/>
          </w:tcPr>
          <w:p>
            <w:pPr>
              <w:spacing w:after="0"/>
              <w:rPr>
                <w:sz w:val="20"/>
                <w:szCs w:val="20"/>
                <w:color w:val="auto"/>
              </w:rPr>
            </w:pPr>
            <w:r>
              <w:rPr>
                <w:rFonts w:ascii="Arial" w:cs="Arial" w:eastAsia="Arial" w:hAnsi="Arial"/>
                <w:sz w:val="18"/>
                <w:szCs w:val="18"/>
                <w:color w:val="auto"/>
              </w:rPr>
              <w:t>Basic net income (loss) per share:</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ind w:right="10"/>
              <w:spacing w:after="0" w:line="155"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w w:val="97"/>
              </w:rPr>
              <w:t>Class 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w w:val="97"/>
              </w:rPr>
              <w:t>Class 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3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2,954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3,809</w:t>
            </w:r>
          </w:p>
        </w:tc>
        <w:tc>
          <w:tcPr>
            <w:tcW w:w="60" w:type="dxa"/>
            <w:vAlign w:val="bottom"/>
          </w:tcPr>
          <w:p>
            <w:pPr>
              <w:spacing w:after="0"/>
              <w:rPr>
                <w:sz w:val="19"/>
                <w:szCs w:val="19"/>
                <w:color w:val="auto"/>
              </w:rPr>
            </w:pP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(13,440)</w:t>
            </w: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60"/>
              <w:spacing w:after="0"/>
              <w:rPr>
                <w:sz w:val="20"/>
                <w:szCs w:val="20"/>
                <w:color w:val="auto"/>
              </w:rPr>
            </w:pPr>
            <w:r>
              <w:rPr>
                <w:rFonts w:ascii="Arial" w:cs="Arial" w:eastAsia="Arial" w:hAnsi="Arial"/>
                <w:sz w:val="18"/>
                <w:szCs w:val="18"/>
                <w:color w:val="auto"/>
              </w:rPr>
              <w:t>Weighted average shares used in calculating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income (loss) per share, basic</w:t>
            </w:r>
          </w:p>
        </w:tc>
        <w:tc>
          <w:tcPr>
            <w:tcW w:w="3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175,330</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123,937</w:t>
            </w: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82,044</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129,882</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167,479</w:t>
            </w:r>
          </w:p>
        </w:tc>
        <w:tc>
          <w:tcPr>
            <w:tcW w:w="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79,566</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0.02</w:t>
            </w:r>
          </w:p>
        </w:tc>
        <w:tc>
          <w:tcPr>
            <w:tcW w:w="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60"/>
              <w:spacing w:after="0"/>
              <w:rPr>
                <w:sz w:val="20"/>
                <w:szCs w:val="20"/>
                <w:color w:val="auto"/>
              </w:rPr>
            </w:pPr>
            <w:r>
              <w:rPr>
                <w:rFonts w:ascii="Arial" w:cs="Arial" w:eastAsia="Arial" w:hAnsi="Arial"/>
                <w:sz w:val="18"/>
                <w:szCs w:val="18"/>
                <w:color w:val="auto"/>
              </w:rPr>
              <w:t>Allocation of distributed income (loss) for basic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80"/>
              <w:spacing w:after="0"/>
              <w:rPr>
                <w:sz w:val="20"/>
                <w:szCs w:val="20"/>
                <w:color w:val="auto"/>
              </w:rPr>
            </w:pPr>
            <w:r>
              <w:rPr>
                <w:rFonts w:ascii="Arial" w:cs="Arial" w:eastAsia="Arial" w:hAnsi="Arial"/>
                <w:sz w:val="18"/>
                <w:szCs w:val="18"/>
                <w:color w:val="auto"/>
              </w:rPr>
              <w:t>computation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2,954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3,809</w:t>
            </w:r>
          </w:p>
        </w:tc>
        <w:tc>
          <w:tcPr>
            <w:tcW w:w="60" w:type="dxa"/>
            <w:vAlign w:val="bottom"/>
          </w:tcPr>
          <w:p>
            <w:pPr>
              <w:spacing w:after="0"/>
              <w:rPr>
                <w:sz w:val="20"/>
                <w:szCs w:val="20"/>
                <w:color w:val="auto"/>
              </w:rPr>
            </w:pP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(13,440)</w:t>
            </w: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Reallocation of undistributed income (loss) as a</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result of conversion of Class B to Class A shares</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Allocation of undistributed income (loss)</w:t>
            </w:r>
          </w:p>
        </w:tc>
        <w:tc>
          <w:tcPr>
            <w:tcW w:w="3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3,809</w:t>
            </w:r>
          </w:p>
        </w:tc>
        <w:tc>
          <w:tcPr>
            <w:tcW w:w="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(13,440)</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Number of shares used in basic calculation</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175,330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123,937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82,044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129,882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167,479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79,566</w:t>
            </w: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average effect of diluted securities: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60"/>
              <w:spacing w:after="0"/>
              <w:rPr>
                <w:sz w:val="20"/>
                <w:szCs w:val="20"/>
                <w:color w:val="auto"/>
              </w:rPr>
            </w:pPr>
            <w:r>
              <w:rPr>
                <w:rFonts w:ascii="Arial" w:cs="Arial" w:eastAsia="Arial" w:hAnsi="Arial"/>
                <w:sz w:val="18"/>
                <w:szCs w:val="18"/>
                <w:color w:val="auto"/>
              </w:rPr>
              <w:t>Conversion of Class B to Class A common shares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123,937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167,479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options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30,147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60"/>
              <w:spacing w:after="0"/>
              <w:rPr>
                <w:sz w:val="20"/>
                <w:szCs w:val="20"/>
                <w:color w:val="auto"/>
              </w:rPr>
            </w:pPr>
            <w:r>
              <w:rPr>
                <w:rFonts w:ascii="Arial" w:cs="Arial" w:eastAsia="Arial" w:hAnsi="Arial"/>
                <w:sz w:val="18"/>
                <w:szCs w:val="18"/>
                <w:color w:val="auto"/>
              </w:rPr>
              <w:t>Employee stock purchase plan</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Unvested early exercises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60"/>
              <w:spacing w:after="0"/>
              <w:rPr>
                <w:sz w:val="20"/>
                <w:szCs w:val="20"/>
                <w:color w:val="auto"/>
              </w:rPr>
            </w:pPr>
            <w:r>
              <w:rPr>
                <w:rFonts w:ascii="Arial" w:cs="Arial" w:eastAsia="Arial" w:hAnsi="Arial"/>
                <w:sz w:val="18"/>
                <w:szCs w:val="18"/>
                <w:color w:val="auto"/>
              </w:rPr>
              <w:t>Restricted Stock Units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Unvested restricted stock in connection with</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Number of shares used in diluted calculation</w:t>
            </w:r>
          </w:p>
        </w:tc>
        <w:tc>
          <w:tcPr>
            <w:tcW w:w="3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330,847</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123,937</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82,044</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329,402</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167,479</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79,566</w:t>
            </w: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270"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As of June 30,</w:t>
      </w:r>
    </w:p>
    <w:p>
      <w:pPr>
        <w:spacing w:after="0" w:line="10"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542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179,011</w:t>
            </w:r>
          </w:p>
        </w:tc>
      </w:tr>
      <w:tr>
        <w:trPr>
          <w:trHeight w:val="215"/>
        </w:trPr>
        <w:tc>
          <w:tcPr>
            <w:tcW w:w="6160" w:type="dxa"/>
            <w:vAlign w:val="bottom"/>
            <w:gridSpan w:val="2"/>
          </w:tcPr>
          <w:p>
            <w:pPr>
              <w:spacing w:after="0"/>
              <w:rPr>
                <w:sz w:val="20"/>
                <w:szCs w:val="20"/>
                <w:color w:val="auto"/>
              </w:rPr>
            </w:pPr>
            <w:r>
              <w:rPr>
                <w:rFonts w:ascii="Arial" w:cs="Arial" w:eastAsia="Arial" w:hAnsi="Arial"/>
                <w:sz w:val="18"/>
                <w:szCs w:val="18"/>
                <w:color w:val="auto"/>
              </w:rPr>
              <w:t>Shares subject to outstanding stock options and restricted</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160" w:type="dxa"/>
            <w:vAlign w:val="bottom"/>
            <w:gridSpan w:val="2"/>
          </w:tcPr>
          <w:p>
            <w:pPr>
              <w:ind w:left="140"/>
              <w:spacing w:after="0"/>
              <w:rPr>
                <w:sz w:val="20"/>
                <w:szCs w:val="20"/>
                <w:color w:val="auto"/>
              </w:rPr>
            </w:pPr>
            <w:r>
              <w:rPr>
                <w:rFonts w:ascii="Arial" w:cs="Arial" w:eastAsia="Arial" w:hAnsi="Arial"/>
                <w:sz w:val="18"/>
                <w:szCs w:val="18"/>
                <w:color w:val="auto"/>
              </w:rPr>
              <w:t>stock units</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182</w:t>
            </w:r>
          </w:p>
        </w:tc>
        <w:tc>
          <w:tcPr>
            <w:tcW w:w="14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34,620</w:t>
            </w:r>
          </w:p>
        </w:tc>
      </w:tr>
      <w:tr>
        <w:trPr>
          <w:trHeight w:val="229"/>
        </w:trPr>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early exercised stock options</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2,363</w:t>
            </w: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Shares subject to the employee stock purchase plan</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215,994</w:t>
            </w:r>
          </w:p>
        </w:tc>
      </w:tr>
      <w:tr>
        <w:trPr>
          <w:trHeight w:val="20"/>
        </w:trPr>
        <w:tc>
          <w:tcPr>
            <w:tcW w:w="5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Company uses the treasury stock method for calculating the potential dilutive effect of the conversion spread on diluted net income per share; if any, as the Company currently expects to settle the principal amount of the 2025 Notes in cash, and any excess in shares of the Company’s Class A common stock. The shares of the underlying conversion option for the 2025 Notes were not considered in the calculation of diluted net income per share as the effect would have been anti-dilutive. The effect of the conversion spread becomes dilutive when the average share price for the Company’s Class A common stock exceeds the conversion price of $92.30 per share, which did not occur as of June 30, 2020.</w:t>
      </w:r>
    </w:p>
    <w:p>
      <w:pPr>
        <w:spacing w:after="0" w:line="2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 Q and our audited consolidated financial statements and the related notes and the discussion under the heading “Management’s Discussion and Analysis of Financial Condition and Results of Operations” in our Annual Report on Form 10-K for the fiscal year ended December 31, 2019, or the Annual Report. This discussion, particularly information with respect to our future results of operations or financial condition, business strategy, plans and objectives of management for future operations and the potential impact that the ongoing COVID-19 pandemic may have on our business,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SaaS platform integrates and automates infrastructure monitoring, application performance monitoring, log management, and security monitoring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5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 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95"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As of June 30, 2020, we had $209.7 million in cash, cash equivalents and restricted cash. We generated revenue of $140.0 million and $83.2 million in the three months ended June 30, 2020 and 2019, respectively, representing year-over-year growth of 68%. For the six months ended June 30, 2020 and 2019, our revenue was $271.3 million and $153.3 million, respectively, representing year-over-year growth of 77%. Substantially all of our revenue is subscription software sales. Our net income (loss) was $0.3 million and $(3.9) million for the three months ended June 30, 2020 and 2019, respectively, and $6.8 million and $(13.4) million for the six months ended June 30, 2020 and 2019, respectively. We generated operating cash flow of $49.0 million and $3.0 million in the six months ended June 30, 2020 and 2019, respectively. Our free cash flow was $37.9 million and $(6.4) million in the six months ended June 30, 2020 and 2019, respectively. See the section titled “—Liquidity and Capital Resources—Non-GAAP Free Cash Flow” for additional information.</w:t>
      </w:r>
    </w:p>
    <w:p>
      <w:pPr>
        <w:spacing w:after="0" w:line="16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Since December 2019, a novel strain of coronavirus, which we refer to, together with other related strains of coronavirus, as “COVID-19”, has spread to multiple countries, including the United States and other countries in which we and our customers, partners, suppliers, vendors and other parties with whom we do business operate. The extent of the impact of the COVID-19 pandemic on our operational and financial performance depends on certain developments, including the duration and spread of the outbreak, its impact on industry events, and its effect on our customers, partners, suppliers and vendors and other parties with whom we do business, all of which are uncertain and cannot be predicted at this time. To the extent possible, we are conducting business as usual, with necessary or advisable modifications to employee travel and employee work locations, and cancelling or holding virtually Datadog marketing events. We are continuing to actively monitor the rapidly evolving situation related to COVID-19 and may take further actions that alter our business operations, including those that may be required by federal, state or local authorities, or that we determine are in the best interests of our employees, customers, partners, suppliers, vendors and stockholders. The extent to which the COVID-19 pandemic may impact our results of operations and financial condition remains uncertain. In addition, due to our subscription model, the effect of the COVID-19 pandemic, if any, may not be fully reflected in our results of operations until future periods.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June 30, 2020, we had approximately 12,100 customers spanning organizations of a broad range of sizes and industries, compared to approximately 8,800 as of June 30, 2019. Our ability to attract new customers will depend on a number of factors, including the effectiveness and pricing of our products, offerings of our competitors, and the effectiveness of our marketing efforts.</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5"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Our base of customers represents a significant opportunity for further sales expansion. As of June 30, 2020, we had 1,015 customers with annual run-rate revenue, or ARR, of $100,000 or more, representing 76% of our ARR, up from 594 customers as of June 30, 2019, representing 72%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and monthly subscriptions. ARR and MRR should be viewed independently of revenue, and do not represent our revenue under generally accepted accounting principles in the United States, or GAAP, on a monthly or annualized basis, as they are operating metrics that can be impacted by contract start and end dates and renewal rates. ARR and MRR are not intended to be replacements or forecasts of revenue.</w:t>
      </w:r>
    </w:p>
    <w:p>
      <w:pPr>
        <w:spacing w:after="0" w:line="18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each of June 30, 2020 and 2019, our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19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 platform approach, through expansion beyond our initial infrastructure monitoring solution, to include APM in 2017, logs in 2018, user experience and network performance monitoring in 2019, and security monitoring in April 2020. As of June 30, 2020, approximately 68% of our customers were using more than one product, up from approximately 40% a year earlier. We believe these metrics indicate strong momentum in the uptake of our newer platform products.</w:t>
      </w:r>
    </w:p>
    <w:p>
      <w:pPr>
        <w:spacing w:after="0" w:line="16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ectPr>
          <w:pgSz w:w="11900" w:h="16838" w:orient="portrait"/>
          <w:cols w:equalWidth="0" w:num="1">
            <w:col w:w="11240"/>
          </w:cols>
          <w:pgMar w:left="320" w:top="33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believe there is a significant opportunity to expand usage of our platform outside of North America. Revenue, as determined based on the billing address of our customers, from regions outside of North America was 24% for the six months ended June 30, 2020, compared to 25% for the six months ended June 30, 2019. In addition, we have made and plan to continue to make significant investments to expand geographically, particularly in Europe, the Middle East, Africa and in the Asia Pacific region. Although these investments may adversely affect our operating results in the near term, we believe that they will contribute to our long-term growth. Beyond North America, we now have sales presence internationally, including in Dublin, London, Amsterdam, Paris, Singapore, Sydney and Tokyo.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 xml:space="preserve">Usage is measured primarily by the number of hosts or by the volume of data indexed. A host is generally defined as a server, either in the cloud or on-premise. Our infrastructure monitoring, APM and </w:t>
      </w:r>
      <w:r>
        <w:rPr>
          <w:rFonts w:ascii="Arial" w:cs="Arial" w:eastAsia="Arial" w:hAnsi="Arial"/>
          <w:sz w:val="17"/>
          <w:szCs w:val="17"/>
          <w:color w:val="333333"/>
        </w:rPr>
        <w:t>network performance monitoring</w:t>
      </w:r>
      <w:r>
        <w:rPr>
          <w:rFonts w:ascii="Arial" w:cs="Arial" w:eastAsia="Arial" w:hAnsi="Arial"/>
          <w:sz w:val="17"/>
          <w:szCs w:val="17"/>
          <w:color w:val="auto"/>
        </w:rPr>
        <w:t xml:space="preserve"> products are priced per host, our logs product is priced primarily per log events indexed and secondarily by events ingested. </w:t>
      </w:r>
      <w:r>
        <w:rPr>
          <w:rFonts w:ascii="Arial" w:cs="Arial" w:eastAsia="Arial" w:hAnsi="Arial"/>
          <w:sz w:val="17"/>
          <w:szCs w:val="17"/>
          <w:color w:val="333333"/>
        </w:rPr>
        <w:t>Customers also have the option to purchase additional products, such as additional container or</w:t>
      </w:r>
      <w:r>
        <w:rPr>
          <w:rFonts w:ascii="Arial" w:cs="Arial" w:eastAsia="Arial" w:hAnsi="Arial"/>
          <w:sz w:val="17"/>
          <w:szCs w:val="17"/>
          <w:color w:val="auto"/>
        </w:rPr>
        <w:t xml:space="preserve"> </w:t>
      </w:r>
      <w:r>
        <w:rPr>
          <w:rFonts w:ascii="Arial" w:cs="Arial" w:eastAsia="Arial" w:hAnsi="Arial"/>
          <w:sz w:val="17"/>
          <w:szCs w:val="17"/>
          <w:color w:val="333333"/>
        </w:rPr>
        <w:t>serverless monitoring, custom metrics packages, anomaly detection, synthetic monitoring and app analytics.</w:t>
      </w:r>
    </w:p>
    <w:p>
      <w:pPr>
        <w:spacing w:after="0" w:line="171"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 related expenses, including depreciation expense.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and continue to be our largest operating expense for the foreseeable future as we expand our sales and marketing efforts.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4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 However, we expect that our general and administrative expense will decrease as a percentage of our revenue as our revenue grows over the longer term.</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Other income, net consists primarily of income earned on our money market funds included in cash and cash equivalents and on our marketable securities, offset by interest expense.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 xml:space="preserve">Provision for income taxes consists of U.S. federal and state income taxes and income taxes in certain foreign jurisdictions in which we conduct business. As of June 30, 2020, we were in a net deferred tax liability position and released our valuation allowance through additional paid-in capital in direct connection with the convertible debt issuance. For more information on the convertible debt issuance, see Note 7, </w:t>
      </w:r>
      <w:r>
        <w:rPr>
          <w:rFonts w:ascii="Arial" w:cs="Arial" w:eastAsia="Arial" w:hAnsi="Arial"/>
          <w:sz w:val="17"/>
          <w:szCs w:val="17"/>
          <w:i w:val="1"/>
          <w:iCs w:val="1"/>
          <w:color w:val="auto"/>
        </w:rPr>
        <w:t>Convertible Senior Notes</w:t>
      </w:r>
      <w:r>
        <w:rPr>
          <w:rFonts w:ascii="Arial" w:cs="Arial" w:eastAsia="Arial" w:hAnsi="Arial"/>
          <w:sz w:val="17"/>
          <w:szCs w:val="17"/>
          <w:color w:val="auto"/>
        </w:rPr>
        <w:t>, in our Notes to Unaudited Condensed Consolidated Financial Statements included in Part I, Item 1 of this Quarterly Report on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2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r>
      <w:tr>
        <w:trPr>
          <w:trHeight w:val="171"/>
        </w:trPr>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4"/>
                <w:szCs w:val="14"/>
                <w:color w:val="auto"/>
              </w:rPr>
            </w:pPr>
          </w:p>
        </w:tc>
      </w:tr>
      <w:tr>
        <w:trPr>
          <w:trHeight w:val="156"/>
        </w:trPr>
        <w:tc>
          <w:tcPr>
            <w:tcW w:w="15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2019</w:t>
            </w:r>
          </w:p>
        </w:tc>
      </w:tr>
      <w:tr>
        <w:trPr>
          <w:trHeight w:val="197"/>
        </w:trPr>
        <w:tc>
          <w:tcPr>
            <w:tcW w:w="1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6"/>
        </w:trPr>
        <w:tc>
          <w:tcPr>
            <w:tcW w:w="1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6"/>
              </w:rPr>
              <w:t>140,012</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4"/>
              </w:rPr>
              <w:t>83,222</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271,260</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153,272</w:t>
            </w:r>
          </w:p>
        </w:tc>
      </w:tr>
      <w:tr>
        <w:trPr>
          <w:trHeight w:val="229"/>
        </w:trPr>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(1)(2)(4)</w:t>
            </w: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28,878</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20,978</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55,357</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39,928</w:t>
            </w:r>
          </w:p>
        </w:tc>
      </w:tr>
      <w:tr>
        <w:trPr>
          <w:trHeight w:val="223"/>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6"/>
              </w:rPr>
              <w:t>111,134</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4"/>
              </w:rPr>
              <w:t>62,244</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215,903</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113,344</w:t>
            </w: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(1)(3)(4)</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45,664</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4"/>
              </w:rPr>
              <w:t>24,032</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86,488</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46,847</w:t>
            </w:r>
          </w:p>
        </w:tc>
      </w:tr>
      <w:tr>
        <w:trPr>
          <w:trHeight w:val="229"/>
        </w:trPr>
        <w:tc>
          <w:tcPr>
            <w:tcW w:w="4240" w:type="dxa"/>
            <w:vAlign w:val="bottom"/>
            <w:gridSpan w:val="2"/>
          </w:tcPr>
          <w:p>
            <w:pPr>
              <w:ind w:left="2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(1)(3)(4)</w:t>
            </w:r>
          </w:p>
        </w:tc>
        <w:tc>
          <w:tcPr>
            <w:tcW w:w="92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51,269</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36,118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96,484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66,225</w:t>
            </w:r>
          </w:p>
        </w:tc>
      </w:tr>
      <w:tr>
        <w:trPr>
          <w:trHeight w:val="229"/>
        </w:trPr>
        <w:tc>
          <w:tcPr>
            <w:tcW w:w="4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(1)(3)(4)</w:t>
            </w:r>
          </w:p>
        </w:tc>
        <w:tc>
          <w:tcPr>
            <w:tcW w:w="9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13,547</w:t>
            </w: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6,088</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28,499</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13,928</w:t>
            </w:r>
          </w:p>
        </w:tc>
      </w:tr>
      <w:tr>
        <w:trPr>
          <w:trHeight w:val="223"/>
        </w:trPr>
        <w:tc>
          <w:tcPr>
            <w:tcW w:w="42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110,480</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66,238</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211,471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127,000</w:t>
            </w:r>
          </w:p>
        </w:tc>
      </w:tr>
      <w:tr>
        <w:trPr>
          <w:trHeight w:val="223"/>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4,432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(13,656)</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 income and other income, net</w:t>
            </w: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4,466</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326</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8,069</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556</w:t>
            </w:r>
          </w:p>
        </w:tc>
      </w:tr>
      <w:tr>
        <w:trPr>
          <w:trHeight w:val="223"/>
        </w:trPr>
        <w:tc>
          <w:tcPr>
            <w:tcW w:w="4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Other income, net </w:t>
            </w:r>
            <w:r>
              <w:rPr>
                <w:rFonts w:ascii="Arial" w:cs="Arial" w:eastAsia="Arial" w:hAnsi="Arial"/>
                <w:sz w:val="15"/>
                <w:szCs w:val="15"/>
                <w:color w:val="auto"/>
              </w:rPr>
              <w:t>(5)</w:t>
            </w:r>
          </w:p>
        </w:tc>
        <w:tc>
          <w:tcPr>
            <w:tcW w:w="9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3,068</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556</w:t>
            </w: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Income (loss) before provision for income taxes</w:t>
            </w:r>
          </w:p>
        </w:tc>
        <w:tc>
          <w:tcPr>
            <w:tcW w:w="92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(13,100)</w:t>
            </w:r>
          </w:p>
        </w:tc>
      </w:tr>
      <w:tr>
        <w:trPr>
          <w:trHeight w:val="229"/>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6,763</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w:t>
            </w:r>
          </w:p>
        </w:tc>
      </w:tr>
      <w:tr>
        <w:trPr>
          <w:trHeight w:val="20"/>
        </w:trPr>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22"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w w:val="96"/>
              </w:rPr>
              <w:t>Three Months Ended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r>
      <w:tr>
        <w:trPr>
          <w:trHeight w:val="171"/>
        </w:trPr>
        <w:tc>
          <w:tcPr>
            <w:tcW w:w="4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796"/>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4"/>
                <w:szCs w:val="14"/>
                <w:color w:val="auto"/>
              </w:rPr>
            </w:pPr>
          </w:p>
        </w:tc>
      </w:tr>
      <w:tr>
        <w:trPr>
          <w:trHeight w:val="156"/>
        </w:trPr>
        <w:tc>
          <w:tcPr>
            <w:tcW w:w="42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2019</w:t>
            </w:r>
          </w:p>
        </w:tc>
      </w:tr>
      <w:tr>
        <w:trPr>
          <w:trHeight w:val="197"/>
        </w:trPr>
        <w:tc>
          <w:tcPr>
            <w:tcW w:w="4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211</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9"/>
                <w:szCs w:val="19"/>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8,703</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14,550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1,775</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4,541</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1,007</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7,615</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1,736</w:t>
            </w:r>
          </w:p>
        </w:tc>
      </w:tr>
      <w:tr>
        <w:trPr>
          <w:trHeight w:val="229"/>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3,183</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786</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6,091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1,617</w:t>
            </w:r>
          </w:p>
        </w:tc>
      </w:tr>
      <w:tr>
        <w:trPr>
          <w:trHeight w:val="223"/>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98"/>
              </w:rPr>
              <w:t>16,834</w:t>
            </w:r>
          </w:p>
        </w:tc>
        <w:tc>
          <w:tcPr>
            <w:tcW w:w="1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2,894</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28,894</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5,339</w:t>
            </w:r>
          </w:p>
        </w:tc>
      </w:tr>
      <w:tr>
        <w:trPr>
          <w:trHeight w:val="20"/>
        </w:trPr>
        <w:tc>
          <w:tcPr>
            <w:tcW w:w="4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120" w:type="dxa"/>
            <w:vAlign w:val="bottom"/>
          </w:tcPr>
          <w:p>
            <w:pPr>
              <w:spacing w:after="0"/>
              <w:rPr>
                <w:sz w:val="14"/>
                <w:szCs w:val="14"/>
                <w:color w:val="auto"/>
              </w:rPr>
            </w:pPr>
          </w:p>
        </w:tc>
      </w:tr>
      <w:tr>
        <w:trPr>
          <w:trHeight w:val="171"/>
        </w:trPr>
        <w:tc>
          <w:tcPr>
            <w:tcW w:w="4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tcBorders>
              <w:bottom w:val="single" w:sz="8" w:color="auto"/>
            </w:tcBorders>
          </w:tcPr>
          <w:p>
            <w:pPr>
              <w:spacing w:after="0"/>
              <w:rPr>
                <w:sz w:val="14"/>
                <w:szCs w:val="14"/>
                <w:color w:val="auto"/>
              </w:rPr>
            </w:pPr>
          </w:p>
        </w:tc>
      </w:tr>
      <w:tr>
        <w:trPr>
          <w:trHeight w:val="155"/>
        </w:trPr>
        <w:tc>
          <w:tcPr>
            <w:tcW w:w="42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2019</w:t>
            </w:r>
          </w:p>
        </w:tc>
      </w:tr>
      <w:tr>
        <w:trPr>
          <w:trHeight w:val="198"/>
        </w:trPr>
        <w:tc>
          <w:tcPr>
            <w:tcW w:w="4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gridSpan w:val="3"/>
          </w:tcPr>
          <w:p>
            <w:pPr>
              <w:ind w:left="16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147</w:t>
            </w:r>
          </w:p>
        </w:tc>
        <w:tc>
          <w:tcPr>
            <w:tcW w:w="120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394</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non-cash benefit related to tax adjustment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2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w w:val="96"/>
              </w:rPr>
              <w:t>Three Months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r>
      <w:tr>
        <w:trPr>
          <w:trHeight w:val="171"/>
        </w:trPr>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4"/>
                <w:szCs w:val="14"/>
                <w:color w:val="auto"/>
              </w:rPr>
            </w:pPr>
          </w:p>
        </w:tc>
      </w:tr>
      <w:tr>
        <w:trPr>
          <w:trHeight w:val="237"/>
        </w:trPr>
        <w:tc>
          <w:tcPr>
            <w:tcW w:w="1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11"/>
        </w:trPr>
        <w:tc>
          <w:tcPr>
            <w:tcW w:w="1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
        </w:trPr>
        <w:tc>
          <w:tcPr>
            <w:tcW w:w="1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w:t>
            </w: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w:t>
            </w:r>
          </w:p>
        </w:tc>
      </w:tr>
      <w:tr>
        <w:trPr>
          <w:trHeight w:val="223"/>
        </w:trPr>
        <w:tc>
          <w:tcPr>
            <w:tcW w:w="42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w:t>
            </w:r>
          </w:p>
        </w:tc>
      </w:tr>
      <w:tr>
        <w:trPr>
          <w:trHeight w:val="20"/>
        </w:trPr>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22"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employer payroll taxes on employee stock transactions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3"/>
          </w:tcPr>
          <w:p>
            <w:pPr>
              <w:jc w:val="right"/>
              <w:ind w:right="467"/>
              <w:spacing w:after="0"/>
              <w:rPr>
                <w:sz w:val="20"/>
                <w:szCs w:val="20"/>
                <w:color w:val="auto"/>
              </w:rPr>
            </w:pPr>
            <w:r>
              <w:rPr>
                <w:rFonts w:ascii="Arial" w:cs="Arial" w:eastAsia="Arial" w:hAnsi="Arial"/>
                <w:sz w:val="14"/>
                <w:szCs w:val="14"/>
                <w:b w:val="1"/>
                <w:bCs w:val="1"/>
                <w:color w:val="auto"/>
                <w:w w:val="96"/>
              </w:rPr>
              <w:t>Three Months Ended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r>
      <w:tr>
        <w:trPr>
          <w:trHeight w:val="171"/>
        </w:trPr>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867"/>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4"/>
                <w:szCs w:val="14"/>
                <w:color w:val="auto"/>
              </w:rPr>
            </w:pPr>
          </w:p>
        </w:tc>
      </w:tr>
      <w:tr>
        <w:trPr>
          <w:trHeight w:val="155"/>
        </w:trPr>
        <w:tc>
          <w:tcPr>
            <w:tcW w:w="1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2019</w:t>
            </w:r>
          </w:p>
        </w:tc>
      </w:tr>
      <w:tr>
        <w:trPr>
          <w:trHeight w:val="198"/>
        </w:trPr>
        <w:tc>
          <w:tcPr>
            <w:tcW w:w="1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6"/>
        </w:trPr>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10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1,423</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1,460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262</w:t>
            </w:r>
          </w:p>
        </w:tc>
      </w:tr>
      <w:tr>
        <w:trPr>
          <w:trHeight w:val="229"/>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1,508</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1,659</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191</w:t>
            </w:r>
          </w:p>
        </w:tc>
      </w:tr>
      <w:tr>
        <w:trPr>
          <w:trHeight w:val="229"/>
        </w:trPr>
        <w:tc>
          <w:tcPr>
            <w:tcW w:w="31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212</w:t>
            </w:r>
          </w:p>
        </w:tc>
        <w:tc>
          <w:tcPr>
            <w:tcW w:w="1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270</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19</w:t>
            </w:r>
          </w:p>
        </w:tc>
      </w:tr>
      <w:tr>
        <w:trPr>
          <w:trHeight w:val="223"/>
        </w:trPr>
        <w:tc>
          <w:tcPr>
            <w:tcW w:w="31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3,264</w:t>
            </w:r>
          </w:p>
        </w:tc>
        <w:tc>
          <w:tcPr>
            <w:tcW w:w="1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460</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3,510</w:t>
            </w: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472</w:t>
            </w:r>
          </w:p>
        </w:tc>
      </w:tr>
      <w:tr>
        <w:trPr>
          <w:trHeight w:val="20"/>
        </w:trPr>
        <w:tc>
          <w:tcPr>
            <w:tcW w:w="1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1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22"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amortization of debt discount and issuance costs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2"/>
          </w:tcPr>
          <w:p>
            <w:pPr>
              <w:ind w:left="640"/>
              <w:spacing w:after="0"/>
              <w:rPr>
                <w:sz w:val="20"/>
                <w:szCs w:val="20"/>
                <w:color w:val="auto"/>
              </w:rPr>
            </w:pPr>
            <w:r>
              <w:rPr>
                <w:rFonts w:ascii="Arial" w:cs="Arial" w:eastAsia="Arial" w:hAnsi="Arial"/>
                <w:sz w:val="14"/>
                <w:szCs w:val="14"/>
                <w:b w:val="1"/>
                <w:bCs w:val="1"/>
                <w:color w:val="auto"/>
                <w:w w:val="98"/>
              </w:rPr>
              <w:t>Six Months Ended</w:t>
            </w:r>
          </w:p>
        </w:tc>
        <w:tc>
          <w:tcPr>
            <w:tcW w:w="1120" w:type="dxa"/>
            <w:vAlign w:val="bottom"/>
          </w:tcPr>
          <w:p>
            <w:pPr>
              <w:spacing w:after="0"/>
              <w:rPr>
                <w:sz w:val="14"/>
                <w:szCs w:val="14"/>
                <w:color w:val="auto"/>
              </w:rPr>
            </w:pPr>
          </w:p>
        </w:tc>
      </w:tr>
      <w:tr>
        <w:trPr>
          <w:trHeight w:val="171"/>
        </w:trPr>
        <w:tc>
          <w:tcPr>
            <w:tcW w:w="4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4"/>
                <w:szCs w:val="14"/>
                <w:color w:val="auto"/>
              </w:rPr>
            </w:pPr>
          </w:p>
        </w:tc>
      </w:tr>
      <w:tr>
        <w:trPr>
          <w:trHeight w:val="237"/>
        </w:trPr>
        <w:tc>
          <w:tcPr>
            <w:tcW w:w="42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2019</w:t>
            </w:r>
          </w:p>
        </w:tc>
      </w:tr>
      <w:tr>
        <w:trPr>
          <w:trHeight w:val="211"/>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6"/>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2,484</w:t>
            </w:r>
          </w:p>
        </w:tc>
        <w:tc>
          <w:tcPr>
            <w:tcW w:w="120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2,484</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our consolidated statements of operations data expressed as a percentage of revenue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3"/>
          </w:tcPr>
          <w:p>
            <w:pPr>
              <w:jc w:val="center"/>
              <w:ind w:right="428"/>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1200" w:type="dxa"/>
            <w:vAlign w:val="bottom"/>
          </w:tcPr>
          <w:p>
            <w:pPr>
              <w:spacing w:after="0"/>
              <w:rPr>
                <w:sz w:val="14"/>
                <w:szCs w:val="14"/>
                <w:color w:val="auto"/>
              </w:rPr>
            </w:pPr>
          </w:p>
        </w:tc>
      </w:tr>
      <w:tr>
        <w:trPr>
          <w:trHeight w:val="171"/>
        </w:trPr>
        <w:tc>
          <w:tcPr>
            <w:tcW w:w="4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428"/>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9"/>
              </w:rPr>
              <w:t>June 30,</w:t>
            </w:r>
          </w:p>
        </w:tc>
        <w:tc>
          <w:tcPr>
            <w:tcW w:w="1200" w:type="dxa"/>
            <w:vAlign w:val="bottom"/>
            <w:tcBorders>
              <w:bottom w:val="single" w:sz="8" w:color="auto"/>
            </w:tcBorders>
          </w:tcPr>
          <w:p>
            <w:pPr>
              <w:spacing w:after="0"/>
              <w:rPr>
                <w:sz w:val="14"/>
                <w:szCs w:val="14"/>
                <w:color w:val="auto"/>
              </w:rPr>
            </w:pPr>
          </w:p>
        </w:tc>
      </w:tr>
      <w:tr>
        <w:trPr>
          <w:trHeight w:val="156"/>
        </w:trPr>
        <w:tc>
          <w:tcPr>
            <w:tcW w:w="410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900" w:type="dxa"/>
            <w:vAlign w:val="bottom"/>
            <w:tcBorders>
              <w:bottom w:val="single" w:sz="8" w:color="auto"/>
            </w:tcBorders>
            <w:gridSpan w:val="3"/>
          </w:tcPr>
          <w:p>
            <w:pPr>
              <w:ind w:left="1460"/>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31"/>
              <w:spacing w:after="0" w:line="155" w:lineRule="exact"/>
              <w:rPr>
                <w:sz w:val="20"/>
                <w:szCs w:val="20"/>
                <w:color w:val="auto"/>
              </w:rPr>
            </w:pPr>
            <w:r>
              <w:rPr>
                <w:rFonts w:ascii="Arial" w:cs="Arial" w:eastAsia="Arial" w:hAnsi="Arial"/>
                <w:sz w:val="14"/>
                <w:szCs w:val="14"/>
                <w:b w:val="1"/>
                <w:bCs w:val="1"/>
                <w:color w:val="auto"/>
              </w:rPr>
              <w:t>2019</w:t>
            </w:r>
          </w:p>
        </w:tc>
      </w:tr>
      <w:tr>
        <w:trPr>
          <w:trHeight w:val="211"/>
        </w:trPr>
        <w:tc>
          <w:tcPr>
            <w:tcW w:w="4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4"/>
          </w:tcPr>
          <w:p>
            <w:pPr>
              <w:ind w:left="560"/>
              <w:spacing w:after="0"/>
              <w:rPr>
                <w:sz w:val="20"/>
                <w:szCs w:val="20"/>
                <w:color w:val="auto"/>
              </w:rPr>
            </w:pPr>
            <w:r>
              <w:rPr>
                <w:rFonts w:ascii="Arial" w:cs="Arial" w:eastAsia="Arial" w:hAnsi="Arial"/>
                <w:sz w:val="14"/>
                <w:szCs w:val="14"/>
                <w:b w:val="1"/>
                <w:bCs w:val="1"/>
                <w:color w:val="auto"/>
                <w:w w:val="94"/>
              </w:rPr>
              <w:t>(as a percentage of total revenue</w:t>
            </w:r>
            <w:r>
              <w:rPr>
                <w:rFonts w:ascii="Arial" w:cs="Arial" w:eastAsia="Arial" w:hAnsi="Arial"/>
                <w:sz w:val="12"/>
                <w:szCs w:val="12"/>
                <w:b w:val="1"/>
                <w:bCs w:val="1"/>
                <w:color w:val="auto"/>
                <w:w w:val="94"/>
              </w:rPr>
              <w:t>(1)</w:t>
            </w:r>
            <w:r>
              <w:rPr>
                <w:rFonts w:ascii="Arial" w:cs="Arial" w:eastAsia="Arial" w:hAnsi="Arial"/>
                <w:sz w:val="14"/>
                <w:szCs w:val="14"/>
                <w:b w:val="1"/>
                <w:bCs w:val="1"/>
                <w:color w:val="auto"/>
                <w:w w:val="94"/>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6"/>
        </w:trPr>
        <w:tc>
          <w:tcPr>
            <w:tcW w:w="4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26</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113"/>
              <w:spacing w:after="0"/>
              <w:rPr>
                <w:sz w:val="20"/>
                <w:szCs w:val="20"/>
                <w:color w:val="auto"/>
              </w:rPr>
            </w:pPr>
            <w:r>
              <w:rPr>
                <w:rFonts w:ascii="Arial" w:cs="Arial" w:eastAsia="Arial" w:hAnsi="Arial"/>
                <w:sz w:val="18"/>
                <w:szCs w:val="18"/>
                <w:color w:val="auto"/>
              </w:rPr>
              <w:t>79</w:t>
            </w:r>
          </w:p>
        </w:tc>
        <w:tc>
          <w:tcPr>
            <w:tcW w:w="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80</w:t>
            </w:r>
          </w:p>
        </w:tc>
        <w:tc>
          <w:tcPr>
            <w:tcW w:w="1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rPr>
              <w:t>74</w:t>
            </w: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0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31</w:t>
            </w:r>
          </w:p>
        </w:tc>
      </w:tr>
      <w:tr>
        <w:trPr>
          <w:trHeight w:val="229"/>
        </w:trPr>
        <w:tc>
          <w:tcPr>
            <w:tcW w:w="502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43</w:t>
            </w:r>
          </w:p>
        </w:tc>
      </w:tr>
      <w:tr>
        <w:trPr>
          <w:trHeight w:val="230"/>
        </w:trPr>
        <w:tc>
          <w:tcPr>
            <w:tcW w:w="50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9</w:t>
            </w:r>
          </w:p>
        </w:tc>
      </w:tr>
      <w:tr>
        <w:trPr>
          <w:trHeight w:val="223"/>
        </w:trPr>
        <w:tc>
          <w:tcPr>
            <w:tcW w:w="4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83</w:t>
            </w: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(9)</w:t>
            </w: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0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0</w:t>
            </w:r>
          </w:p>
        </w:tc>
      </w:tr>
      <w:tr>
        <w:trPr>
          <w:trHeight w:val="230"/>
        </w:trPr>
        <w:tc>
          <w:tcPr>
            <w:tcW w:w="5020" w:type="dxa"/>
            <w:vAlign w:val="bottom"/>
            <w:gridSpan w:val="2"/>
          </w:tcPr>
          <w:p>
            <w:pPr>
              <w:ind w:left="260"/>
              <w:spacing w:after="0"/>
              <w:rPr>
                <w:sz w:val="20"/>
                <w:szCs w:val="20"/>
                <w:color w:val="auto"/>
              </w:rPr>
            </w:pPr>
            <w:r>
              <w:rPr>
                <w:rFonts w:ascii="Arial" w:cs="Arial" w:eastAsia="Arial" w:hAnsi="Arial"/>
                <w:sz w:val="18"/>
                <w:szCs w:val="18"/>
                <w:color w:val="auto"/>
              </w:rPr>
              <w:t>Interest income and other income, net</w:t>
            </w: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w:t>
            </w:r>
          </w:p>
        </w:tc>
      </w:tr>
      <w:tr>
        <w:trPr>
          <w:trHeight w:val="23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72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rPr>
              <w:t>1</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9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w:t>
            </w: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Net income (loss)</w:t>
            </w:r>
          </w:p>
        </w:tc>
        <w:tc>
          <w:tcPr>
            <w:tcW w:w="9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Certain items may not total due to rounding.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2020 and 2019</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2"/>
          </w:tcPr>
          <w:p>
            <w:pPr>
              <w:jc w:val="center"/>
              <w:ind w:left="502"/>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left="502"/>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ind w:right="682"/>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3"/>
                <w:szCs w:val="13"/>
                <w:color w:val="auto"/>
              </w:rPr>
            </w:pPr>
          </w:p>
        </w:tc>
        <w:tc>
          <w:tcPr>
            <w:tcW w:w="1040" w:type="dxa"/>
            <w:vAlign w:val="bottom"/>
          </w:tcPr>
          <w:p>
            <w:pPr>
              <w:jc w:val="right"/>
              <w:ind w:right="639"/>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tcPr>
          <w:p>
            <w:pPr>
              <w:jc w:val="center"/>
              <w:ind w:left="502"/>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140,012</w:t>
            </w:r>
          </w:p>
        </w:tc>
        <w:tc>
          <w:tcPr>
            <w:tcW w:w="7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83,222</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56,790</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2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62"/>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31" w:name="page32"/>
    <w:bookmarkEnd w:id="31"/>
    <w:p>
      <w:pPr>
        <w:jc w:val="both"/>
        <w:ind w:right="20" w:firstLine="510"/>
        <w:spacing w:after="0" w:line="263" w:lineRule="auto"/>
        <w:rPr>
          <w:sz w:val="20"/>
          <w:szCs w:val="20"/>
          <w:color w:val="auto"/>
        </w:rPr>
      </w:pPr>
      <w:r>
        <w:rPr>
          <w:rFonts w:ascii="Arial" w:cs="Arial" w:eastAsia="Arial" w:hAnsi="Arial"/>
          <w:sz w:val="18"/>
          <w:szCs w:val="18"/>
          <w:color w:val="auto"/>
        </w:rPr>
        <w:t>Revenue increased by $56.8 million, or 68%, for the three months ended June 30, 2020 compared to the three months ended June 30, 2019. Approximately 60% of the increase in revenue was attributable to growth from existing customers, and the remaining 40% was attributable to growth from new customers.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jc w:val="right"/>
              <w:ind w:right="69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(dollars in thousands)</w:t>
            </w: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w w:val="94"/>
              </w:rPr>
              <w:t>28,878</w:t>
            </w:r>
          </w:p>
        </w:tc>
        <w:tc>
          <w:tcPr>
            <w:tcW w:w="64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20,978</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7,900</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Gross margin</w:t>
            </w:r>
          </w:p>
        </w:tc>
        <w:tc>
          <w:tcPr>
            <w:tcW w:w="94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8"/>
                <w:szCs w:val="18"/>
                <w:color w:val="auto"/>
              </w:rPr>
              <w:t>79%</w:t>
            </w: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Cost of revenue increased by $7.9 million, or 38%, for the three months ended June 30, 2020 compared to the three months ended June 30, 2019. This increase was primarily due to an increase of $6.4 million in third-party cloud infrastructure hosting and software costs, $1.1 million of personnel expenses as a result of increased headcount, $0.3 million of depreciation and amortization and $0.1 million of credit card processing fees and other fees.</w:t>
      </w:r>
    </w:p>
    <w:p>
      <w:pPr>
        <w:spacing w:after="0" w:line="14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Our gross margin increased 4% for the three months ended June 30, 2020 compared to the three months ended June 30, 2019, primarily as a result of increased revenue and cost savings from our third-party cloud infrastructure providers.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Three Months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center"/>
              <w:ind w:right="29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w w:val="98"/>
              </w:rPr>
              <w:t>45,664</w:t>
            </w:r>
          </w:p>
        </w:tc>
        <w:tc>
          <w:tcPr>
            <w:tcW w:w="10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4"/>
              </w:rPr>
              <w:t>24,032</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21,632</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33%</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Research and development expense increased by $21.6 million, or 90%, for the three months ended June 30, 2020 compared to the three months ended June 30, 2019. This increase was primarily due to an increase of $19.8 million in personnel costs for our engineering, product and design teams as a result of increased headcount and an increase of $1.8 million in cloud infrastructure related investments and in allocated overhead costs necessary for supporting the growth of the business.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Three Months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center"/>
              <w:ind w:right="29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20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w w:val="98"/>
              </w:rPr>
              <w:t>51,269</w:t>
            </w:r>
          </w:p>
        </w:tc>
        <w:tc>
          <w:tcPr>
            <w:tcW w:w="10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4"/>
              </w:rPr>
              <w:t>36,118</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15,151</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36%</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Sales and marketing expense increased by $15.2 million, or 42%, for the three months ended June 30, 2020 compared to the three months ended June 30, 2019. This increase was primarily due to an increase of $14.0 million in personnel costs for our sales and marketing organization as a result of increased headcount and increased variable compensation for our sales personnel, and an increase of $1.2 million related to marketing and promotional activities and overhead costs.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8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3"/>
              </w:rPr>
              <w:t>Three Months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339"/>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080" w:type="dxa"/>
            <w:vAlign w:val="bottom"/>
          </w:tcPr>
          <w:p>
            <w:pPr>
              <w:jc w:val="right"/>
              <w:ind w:right="19"/>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2"/>
          </w:tcPr>
          <w:p>
            <w:pPr>
              <w:jc w:val="center"/>
              <w:ind w:right="33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2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w w:val="98"/>
              </w:rPr>
              <w:t>13,547</w:t>
            </w:r>
          </w:p>
        </w:tc>
        <w:tc>
          <w:tcPr>
            <w:tcW w:w="10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6,088</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7,459</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2" w:name="page33"/>
    <w:bookmarkEnd w:id="32"/>
    <w:p>
      <w:pPr>
        <w:jc w:val="both"/>
        <w:ind w:firstLine="510"/>
        <w:spacing w:after="0" w:line="255" w:lineRule="auto"/>
        <w:rPr>
          <w:sz w:val="20"/>
          <w:szCs w:val="20"/>
          <w:color w:val="auto"/>
        </w:rPr>
      </w:pPr>
      <w:r>
        <w:rPr>
          <w:rFonts w:ascii="Arial" w:cs="Arial" w:eastAsia="Arial" w:hAnsi="Arial"/>
          <w:sz w:val="18"/>
          <w:szCs w:val="18"/>
          <w:color w:val="auto"/>
        </w:rPr>
        <w:t>General and administrative expense increased by $7.5 million, or 123%, for the three months ended June 30, 2020 compared to the three months ended June 30, 2019. This increase was primarily due to an increase of $4.4 million in personnel costs as a result of increased headcount, an increase of $1.7 million related to insurance fees, an increase of $0.6 million related to overhead costs, and an increase of $0.4 million related to bad debt expense. These amounts were partially offset by a decrease of $0.3 million related to professional fees. In addition, general and administrative expense includes a one-time donation in the amount of $0.7 million from Datadog and its employees in support of various organizations during the ongoing COVID-19 outbreak.</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4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93"/>
              </w:rPr>
              <w:t>Three Months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72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140" w:type="dxa"/>
            <w:vAlign w:val="bottom"/>
          </w:tcPr>
          <w:p>
            <w:pPr>
              <w:jc w:val="right"/>
              <w:ind w:right="79"/>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2"/>
          </w:tcPr>
          <w:p>
            <w:pPr>
              <w:jc w:val="center"/>
              <w:ind w:right="39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172</w:t>
            </w:r>
          </w:p>
        </w:tc>
        <w:tc>
          <w:tcPr>
            <w:tcW w:w="114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Percentage of revenue</w:t>
            </w:r>
          </w:p>
        </w:tc>
        <w:tc>
          <w:tcPr>
            <w:tcW w:w="92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Other income, net decreased by $0.2 million in the three months ended June 30, 2020 compared to the three months ended June 30, 2019. The decrease was primarily due to a $2.6 million interest expense related to our 0.125% convertible senior notes due 2025, or the 2025 Notes, a $1.7 million interest expense related to amortization of premiums on our marketable securities. These amounts were partially offset by a $3.6 million interest income earned from investments in marketable securities and a $0.6 million of other income, mainly due to accretion income from marketable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2020 and 2019</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right"/>
              <w:ind w:right="664"/>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3"/>
                <w:szCs w:val="13"/>
                <w:color w:val="auto"/>
              </w:rPr>
            </w:pPr>
          </w:p>
        </w:tc>
        <w:tc>
          <w:tcPr>
            <w:tcW w:w="1040" w:type="dxa"/>
            <w:vAlign w:val="bottom"/>
          </w:tcPr>
          <w:p>
            <w:pPr>
              <w:jc w:val="right"/>
              <w:ind w:right="639"/>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tcPr>
          <w:p>
            <w:pPr>
              <w:jc w:val="center"/>
              <w:ind w:left="504"/>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271,260</w:t>
            </w:r>
          </w:p>
        </w:tc>
        <w:tc>
          <w:tcPr>
            <w:tcW w:w="7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153,272</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117,988</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Revenue increased by $118.0 million, or 77%, in the six months ended June 30, 2020 compared to the six months ended June 30, 2019. Approximately 60% of the increase in revenue was attributable to the growth from existing customers, and the remaining 40% was attributable to growth from new customers.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6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jc w:val="right"/>
              <w:ind w:right="69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1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0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w w:val="98"/>
              </w:rPr>
              <w:t>55,357</w:t>
            </w:r>
          </w:p>
        </w:tc>
        <w:tc>
          <w:tcPr>
            <w:tcW w:w="64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39,928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15,429</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Gross margin</w:t>
            </w:r>
          </w:p>
        </w:tc>
        <w:tc>
          <w:tcPr>
            <w:tcW w:w="1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8"/>
                <w:szCs w:val="18"/>
                <w:color w:val="auto"/>
              </w:rPr>
              <w:t>80%</w:t>
            </w: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Cost of revenue increased by $15.5 million, or 39%, in the six months ended June 30, 2020 compared to the six months ended June 30, 2019. This increase was primarily due to an increase of $11.9 million in third-party cloud infrastructure hosting and software costs, an increase of $2.2 million in personnel expenses as a result of increased headcount, and an increase of $1.4 million of depreciation and amortization, credit card processing fees and overhead costs as a result of an increase in overall costs necessary to support the growth of the business and related infrastructure.</w:t>
      </w:r>
    </w:p>
    <w:p>
      <w:pPr>
        <w:spacing w:after="0" w:line="15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gross margin increased 6% for the six months ended June 30, 2020 compared to the six months ended June 30, 2019, primarily as a result of increased revenue and cost savings from our third-party cloud infrastructure providers.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Six Months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center"/>
              <w:ind w:right="29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w w:val="98"/>
              </w:rPr>
              <w:t>86,488</w:t>
            </w:r>
          </w:p>
        </w:tc>
        <w:tc>
          <w:tcPr>
            <w:tcW w:w="10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4"/>
              </w:rPr>
              <w:t>46,847</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39,641</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Research and development expense increased by $39.6 million, or 85% in the six months ended June 30, 2020 compared to the six months ended June 30, 2019. This increase was primarily due to an increase of $35.5 million in personnel costs for our engineering, product and design teams as a result of increased headcount, and an increase of $4.1 million in cloud infrastructure related investments and in allocated overhead costs necessary for supporting the growth of the business.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Six Months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center"/>
              <w:ind w:right="29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w w:val="98"/>
              </w:rPr>
              <w:t>96,484</w:t>
            </w:r>
          </w:p>
        </w:tc>
        <w:tc>
          <w:tcPr>
            <w:tcW w:w="10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4"/>
              </w:rPr>
              <w:t>66,225</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30,259</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Percentage of revenue</w:t>
            </w:r>
          </w:p>
        </w:tc>
        <w:tc>
          <w:tcPr>
            <w:tcW w:w="92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36%</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Sales and marketing expense increased by $30.3 million, or 46%, in the six months ended June 30, 2020 compared to the six months ended June 30, 2019. This increase was primarily due to an increase of $24.8 million in personnel costs for our sales and marketing organization as a result of increased headcount and increased variable compensation for our sales personnel, an increase of $2.7 million in marketing and promotional activities, and an increase of $2.8 million in allocated overhead costs as a result of an increase in overall costs necessary to support the growth of the business and related infrastructure.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Six Months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center"/>
              <w:ind w:right="29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2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w w:val="98"/>
              </w:rPr>
              <w:t>28,499</w:t>
            </w:r>
          </w:p>
        </w:tc>
        <w:tc>
          <w:tcPr>
            <w:tcW w:w="10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4"/>
              </w:rPr>
              <w:t>13,928</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14,571</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General and administrative expense increased by $14.6 million, or 105%, in the six months ended June 30, 2020 compared to the six months ended June 30, 2019. This increase was primarily due to an increase of $8.2 million in personnel expenses as a result of increased headcount, an increase of $3.3 million related to insurance fees, an increase of $1.5 million in overhead expenses, and an increase of $1.5 million related to bad debt expense. These amounts were partially offset by a decrease of $0.6 million related to professional fees. In addition, general and administrative expense includes a one-time donation in the amount of $0.7 million from Datadog and its employees in support of various organizations during the ongoing COVID-19 outbreak.</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gridSpan w:val="2"/>
          </w:tcPr>
          <w:p>
            <w:pPr>
              <w:jc w:val="center"/>
              <w:ind w:right="419"/>
              <w:spacing w:after="0"/>
              <w:rPr>
                <w:sz w:val="20"/>
                <w:szCs w:val="20"/>
                <w:color w:val="auto"/>
              </w:rPr>
            </w:pPr>
            <w:r>
              <w:rPr>
                <w:rFonts w:ascii="Arial" w:cs="Arial" w:eastAsia="Arial" w:hAnsi="Arial"/>
                <w:sz w:val="14"/>
                <w:szCs w:val="14"/>
                <w:b w:val="1"/>
                <w:bCs w:val="1"/>
                <w:color w:val="auto"/>
                <w:w w:val="93"/>
              </w:rPr>
              <w:t>Six Months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3"/>
                <w:szCs w:val="13"/>
                <w:color w:val="auto"/>
              </w:rPr>
            </w:pPr>
          </w:p>
        </w:tc>
        <w:tc>
          <w:tcPr>
            <w:tcW w:w="1160" w:type="dxa"/>
            <w:vAlign w:val="bottom"/>
          </w:tcPr>
          <w:p>
            <w:pPr>
              <w:jc w:val="right"/>
              <w:ind w:right="99"/>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2"/>
          </w:tcPr>
          <w:p>
            <w:pPr>
              <w:jc w:val="center"/>
              <w:ind w:right="41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20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3,068</w:t>
            </w:r>
          </w:p>
        </w:tc>
        <w:tc>
          <w:tcPr>
            <w:tcW w:w="11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556</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2,512</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Other income, net increased by $2.5 million in the six months ended June 30, 2020 compared to the six months ended June 30, 2019. The increase was primarily due to a $6.5 million interest income earned from investments in marketable securities and a $1.0 million of other income, mainly due to accretion income from marketable securities. These amounts were partially offset by a $2.6 million interest expense related to our 2025 Notes and $2.4 million interest expense related to amortization of premiums on our marketable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Since inception, we have financed operations primarily through sales of subscriptions and the net proceeds we have received from issuance of equity and debt securities.</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June 2020, we issued $747.5 million aggregate principal amount of the 2025 Notes in a private placement to qualified institutional buyers pursuant to Rule 144A under the Securities Act. The total net proceeds from the sale of the 2025 Notes, after deducting the initial purchasers’ discounts and estimated debt issuance costs, were approximately $730.2 million.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2020, we had $206.2 million in cash and cash equivalents, and $1,259.6 million in marketable securities.</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cash and cash equivalents primarily consist of bank deposits and money market funds. Our marketable securities consist of commercial debt, certificates of deposit, U.S. government treasury and agency securities, and commercial paper.</w:t>
      </w:r>
    </w:p>
    <w:p>
      <w:pPr>
        <w:spacing w:after="0" w:line="17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We believe that our existing cash and cash equivalents, marketable securities,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customers, the expansion of sales and marketing activities, the timing and extent of spending to support development efforts, the introduction of new and enhanced products, the continuing market adoption of our platform, and the current uncertainty in the global markets resulting from the ongoing COVID-19 pandemic on our customers’ businesses and operations. 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6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 substantial source of our cash from operations is from our deferred revenue, which is included in the liabilities section of our condensed consolidated balance sheet. Deferred revenue consists of the unearned portion of customer billings, which is recognized as revenue in accordance with our revenue recognition policy. As of June 30, 2020, we had deferred revenue of $165.3 million, of which $162.9 million was recorded as a current liability and expected to be recognized as revenue in the next 12 months, provided all other revenue recognition criteria have been met.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Six Months Ended</w:t>
      </w:r>
    </w:p>
    <w:p>
      <w:pPr>
        <w:jc w:val="center"/>
        <w:ind w:left="60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620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1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1035"/>
              <w:spacing w:after="0" w:line="155" w:lineRule="exact"/>
              <w:rPr>
                <w:sz w:val="20"/>
                <w:szCs w:val="20"/>
                <w:color w:val="auto"/>
              </w:rPr>
            </w:pPr>
            <w:r>
              <w:rPr>
                <w:rFonts w:ascii="Arial" w:cs="Arial" w:eastAsia="Arial" w:hAnsi="Arial"/>
                <w:sz w:val="14"/>
                <w:szCs w:val="14"/>
                <w:b w:val="1"/>
                <w:bCs w:val="1"/>
                <w:color w:val="auto"/>
              </w:rPr>
              <w:t>2019</w:t>
            </w:r>
          </w:p>
        </w:tc>
      </w:tr>
      <w:tr>
        <w:trPr>
          <w:trHeight w:val="198"/>
        </w:trPr>
        <w:tc>
          <w:tcPr>
            <w:tcW w:w="6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Pr>
          <w:p>
            <w:pPr>
              <w:spacing w:after="0"/>
              <w:rPr>
                <w:sz w:val="17"/>
                <w:szCs w:val="17"/>
                <w:color w:val="auto"/>
              </w:rPr>
            </w:pPr>
          </w:p>
        </w:tc>
      </w:tr>
      <w:tr>
        <w:trPr>
          <w:trHeight w:val="25"/>
        </w:trPr>
        <w:tc>
          <w:tcPr>
            <w:tcW w:w="6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operating activities</w:t>
            </w:r>
          </w:p>
        </w:tc>
        <w:tc>
          <w:tcPr>
            <w:tcW w:w="1380" w:type="dxa"/>
            <w:vAlign w:val="bottom"/>
            <w:shd w:val="clear" w:color="auto" w:fill="CFF0FC"/>
          </w:tcPr>
          <w:p>
            <w:pPr>
              <w:jc w:val="right"/>
              <w:ind w:right="122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48,993</w:t>
            </w:r>
          </w:p>
        </w:tc>
        <w:tc>
          <w:tcPr>
            <w:tcW w:w="78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2,980</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38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(1,095,100)</w:t>
            </w:r>
          </w:p>
        </w:tc>
        <w:tc>
          <w:tcPr>
            <w:tcW w:w="7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(9,387)</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654,691</w:t>
            </w:r>
          </w:p>
        </w:tc>
        <w:tc>
          <w:tcPr>
            <w:tcW w:w="7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5,041</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largest source of operating cash is cash collection from sales of subscriptions to our customers. Our primary uses of cash from operating activities are for personnel expenses, marketing expenses, hosting expenses and overhead expenses. We have generated positive cash flows and have supplemented working capital requirements through net proceeds from the sale of equity and debt securities.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both"/>
        <w:ind w:firstLine="510"/>
        <w:spacing w:after="0" w:line="271" w:lineRule="auto"/>
        <w:rPr>
          <w:sz w:val="20"/>
          <w:szCs w:val="20"/>
          <w:color w:val="auto"/>
        </w:rPr>
      </w:pPr>
      <w:r>
        <w:rPr>
          <w:rFonts w:ascii="Arial" w:cs="Arial" w:eastAsia="Arial" w:hAnsi="Arial"/>
          <w:sz w:val="17"/>
          <w:szCs w:val="17"/>
          <w:color w:val="auto"/>
        </w:rPr>
        <w:t>Cash provided by operating activities for the six months ended June 30, 2020 of $49.0 million was primarily related to our net income of $6.8 million, adjusted for non-cash charges of $53.4 million and net cash outflows of $11.2 million provided by changes in our operating assets and liabilities. Non-cash charges primarily consisted of stock-based compensation, depreciation and amortization of property and equipment, amortization of capitalized software, and amortization of acquired intangibles. The main drivers of the changes in operating assets and liabilities were related to a $26.8 million increase in deferred revenue, resulting primarily from increased billings for subscriptions, a $2.7 million increase in accounts payable, and a $1.6 increase in accrued expenses and other liabilities. These amounts were partially offset by a $23.7 million increase in accounts receivable, net, due to increases in sales, a $11.2 million increase in deferred contract costs related to commissions paid on new bookings, a $6.5 increase in prepaid expenses and other current assets, primarily driven by prepaid hosting services, and a $0.9 million increase in other assets.</w:t>
      </w:r>
    </w:p>
    <w:p>
      <w:pPr>
        <w:spacing w:after="0" w:line="178"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Cash provided by operating activities for the six months ended June 30, 2019 of $3.0 million was primarily related to our net loss of $(13.4) million, adjusted for non-cash charges of $17.5 million and net cash outflows of $1.1 million provided by changes in our operating assets and liabilities. Non-cash charges primarily consisted of stock-based compensation, depreciation and amortization of property and equipment, amortization of capitalized software, and amortization of acquired intangibles. The main drivers of the changes in operating assets and liabilities were related to a $34.5 million increase in deferred revenue, resulting primarily from increased billings for subscriptions and a $7.5 million increase in accounts payable. These amounts were partially offset by a $8.6 million decrease in accrued expenses and other liabilities, a $12.2 million increase in accounts receivable, net, due to increases in sales, a $12.2 million increase in prepaid expenses and other current assets, primarily driven by prepaid hosting services, a $6.1 million increase in deferred contract costs related to commissions paid on new bookings, and a $4.0 million increase in other assets.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Cash used in investing activities for the six months ended June 30, 2020 was $1,095.1 million, and was primarily the result of investment in marketable securities of $1,203.5 million, a $8.2 million increase in capitalization of software development costs, a $2.9 million increase in capital expenditures to purchase property and equipment to support office space and site operations, and a $2.4 million paid for an acquisition. These amounts were partially offset by $121.9 million paid for maturities of marketable securities. For more information on the acquisition, see Note 6, </w:t>
      </w:r>
      <w:r>
        <w:rPr>
          <w:rFonts w:ascii="Arial" w:cs="Arial" w:eastAsia="Arial" w:hAnsi="Arial"/>
          <w:sz w:val="18"/>
          <w:szCs w:val="18"/>
          <w:i w:val="1"/>
          <w:iCs w:val="1"/>
          <w:color w:val="auto"/>
        </w:rPr>
        <w:t>Acquisition,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and Goodwill, </w:t>
      </w:r>
      <w:r>
        <w:rPr>
          <w:rFonts w:ascii="Arial" w:cs="Arial" w:eastAsia="Arial" w:hAnsi="Arial"/>
          <w:sz w:val="18"/>
          <w:szCs w:val="18"/>
          <w:color w:val="auto"/>
        </w:rPr>
        <w:t>in our Notes to Unaudited Condensed Consolidated Financial Statements included in Part I, Item 1 of this Quarterly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10-Q.</w:t>
      </w:r>
    </w:p>
    <w:p>
      <w:pPr>
        <w:spacing w:after="0" w:line="19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used in investing activities for the six months ended June 30, 2019 was $9.4 million, and was the result of $5.0 million increase in capital expenditures to purchase property and equipment to support additional office space and site operations and $4.4 million increase in capitalization of software development costs.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Cash provided by financing activities for the six months ended June 30, 2020 was $654.7 million and was primarily attributable to proceeds from the issuance of the 2025 Notes in the amount of $730.7 million, net of issuance costs, proceeds from the issuance of common stock under the 2019 Employee Stock Purchase Plan, or ESPP in the amount of $7.7 million, and proceeds from the exercise of stock options in the amount of $7.2 million. These amounts were partially offset by a $89.6 million purchase of the capped call in connection with the issuance of the 2025 Notes, $0.9 million of taxes in connection with the ESPP, and $0.4 million of the initial public offering, or IPO, costs.</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Cash provided by financing activities for the six months ended June 30, 2019 was $5.0 million and was the result of proceeds from the exercise of stock options, partially offset by a $0.2 million payment of IPO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Free Cash Flow</w:t>
      </w:r>
    </w:p>
    <w:p>
      <w:pPr>
        <w:spacing w:after="0" w:line="229"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We report our financial results in accordance with GAAP. To supplement our condensed consolidated financial statements, we provide investors with the amount of free cash flow, which is a non-GAAP financial measure. Free cash flow represents net cash used in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ind w:firstLine="510"/>
        <w:spacing w:after="0" w:line="277" w:lineRule="auto"/>
        <w:rPr>
          <w:sz w:val="20"/>
          <w:szCs w:val="20"/>
          <w:color w:val="auto"/>
        </w:rPr>
      </w:pPr>
      <w:r>
        <w:rPr>
          <w:rFonts w:ascii="Arial" w:cs="Arial" w:eastAsia="Arial" w:hAnsi="Arial"/>
          <w:sz w:val="18"/>
          <w:szCs w:val="18"/>
          <w:color w:val="auto"/>
        </w:rPr>
        <w:t>The following table presents our cash flows for the periods presented and a reconciliation of free cash flow to net cash provided by operating activities, the most directly comparable financial measure calculated in accordance with GAAP:</w:t>
      </w:r>
    </w:p>
    <w:p>
      <w:pPr>
        <w:spacing w:after="0" w:line="175"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Six Months Ended</w:t>
      </w:r>
    </w:p>
    <w:p>
      <w:pPr>
        <w:jc w:val="center"/>
        <w:ind w:left="60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6200" w:type="dxa"/>
            <w:vAlign w:val="bottom"/>
          </w:tcPr>
          <w:p>
            <w:pPr>
              <w:spacing w:after="0"/>
              <w:rPr>
                <w:sz w:val="13"/>
                <w:szCs w:val="13"/>
                <w:color w:val="auto"/>
              </w:rPr>
            </w:pPr>
          </w:p>
        </w:tc>
        <w:tc>
          <w:tcPr>
            <w:tcW w:w="1520" w:type="dxa"/>
            <w:vAlign w:val="bottom"/>
            <w:tcBorders>
              <w:top w:val="single" w:sz="8" w:color="auto"/>
              <w:bottom w:val="single" w:sz="8" w:color="auto"/>
            </w:tcBorders>
          </w:tcPr>
          <w:p>
            <w:pPr>
              <w:jc w:val="right"/>
              <w:ind w:right="187"/>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1034"/>
              <w:spacing w:after="0" w:line="155" w:lineRule="exact"/>
              <w:rPr>
                <w:sz w:val="20"/>
                <w:szCs w:val="20"/>
                <w:color w:val="auto"/>
              </w:rPr>
            </w:pPr>
            <w:r>
              <w:rPr>
                <w:rFonts w:ascii="Arial" w:cs="Arial" w:eastAsia="Arial" w:hAnsi="Arial"/>
                <w:sz w:val="14"/>
                <w:szCs w:val="14"/>
                <w:b w:val="1"/>
                <w:bCs w:val="1"/>
                <w:color w:val="auto"/>
              </w:rPr>
              <w:t>2019</w:t>
            </w:r>
          </w:p>
        </w:tc>
      </w:tr>
      <w:tr>
        <w:trPr>
          <w:trHeight w:val="198"/>
        </w:trPr>
        <w:tc>
          <w:tcPr>
            <w:tcW w:w="6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40" w:type="dxa"/>
            <w:vAlign w:val="bottom"/>
            <w:gridSpan w:val="3"/>
          </w:tcPr>
          <w:p>
            <w:pPr>
              <w:jc w:val="right"/>
              <w:ind w:right="307"/>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Pr>
          <w:p>
            <w:pPr>
              <w:spacing w:after="0"/>
              <w:rPr>
                <w:sz w:val="17"/>
                <w:szCs w:val="17"/>
                <w:color w:val="auto"/>
              </w:rPr>
            </w:pPr>
          </w:p>
        </w:tc>
      </w:tr>
      <w:tr>
        <w:trPr>
          <w:trHeight w:val="26"/>
        </w:trPr>
        <w:tc>
          <w:tcPr>
            <w:tcW w:w="6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shd w:val="clear" w:color="auto" w:fill="CFF0FC"/>
          </w:tcPr>
          <w:p>
            <w:pPr>
              <w:jc w:val="right"/>
              <w:ind w:right="13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48,993</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2,980</w:t>
            </w:r>
          </w:p>
        </w:tc>
      </w:tr>
      <w:tr>
        <w:trPr>
          <w:trHeight w:val="229"/>
        </w:trPr>
        <w:tc>
          <w:tcPr>
            <w:tcW w:w="6200" w:type="dxa"/>
            <w:vAlign w:val="bottom"/>
          </w:tcPr>
          <w:p>
            <w:pPr>
              <w:ind w:left="260"/>
              <w:spacing w:after="0"/>
              <w:rPr>
                <w:sz w:val="20"/>
                <w:szCs w:val="20"/>
                <w:color w:val="auto"/>
              </w:rPr>
            </w:pPr>
            <w:r>
              <w:rPr>
                <w:rFonts w:ascii="Arial" w:cs="Arial" w:eastAsia="Arial" w:hAnsi="Arial"/>
                <w:sz w:val="18"/>
                <w:szCs w:val="18"/>
                <w:color w:val="auto"/>
              </w:rPr>
              <w:t>Less: Purchases of property and equipment</w:t>
            </w:r>
          </w:p>
        </w:tc>
        <w:tc>
          <w:tcPr>
            <w:tcW w:w="1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(2,924)</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(4,979)</w:t>
            </w: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Capitalized software development costs</w:t>
            </w:r>
          </w:p>
        </w:tc>
        <w:tc>
          <w:tcPr>
            <w:tcW w:w="15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(8,154)</w:t>
            </w:r>
          </w:p>
        </w:tc>
        <w:tc>
          <w:tcPr>
            <w:tcW w:w="2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(4,408)</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Free cash flow</w:t>
            </w:r>
          </w:p>
        </w:tc>
        <w:tc>
          <w:tcPr>
            <w:tcW w:w="1520" w:type="dxa"/>
            <w:vAlign w:val="bottom"/>
            <w:tcBorders>
              <w:bottom w:val="single" w:sz="8" w:color="auto"/>
            </w:tcBorders>
          </w:tcPr>
          <w:p>
            <w:pPr>
              <w:jc w:val="right"/>
              <w:ind w:right="13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37,915</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w:t>
            </w:r>
          </w:p>
        </w:tc>
      </w:tr>
      <w:tr>
        <w:trPr>
          <w:trHeight w:val="20"/>
        </w:trPr>
        <w:tc>
          <w:tcPr>
            <w:tcW w:w="6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Our principal commitments consist of obligations under our operating leases, purchase commitments to our cloud hosting providers and other vendors, and obligations to pay the 2025 Notes’ coupons and principal.</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 January 2020, we entered into an agreement with Microsoft Azure, pursuant to which we are required to purchase an aggregate of at least $21.0 million of cloud services through January 2023.</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April 2020, we signed a new lease agreement with the existing landlord of our office in Boston. According to the agreement, we are required to pay an aggregate amount of $19.0 million over the course of the lease term from September 2021 through May 2029 for the new premises. Additionally, our existing Boston leases were extended from November 2025 through May 2029, requiring payment of an additional aggregate amount of $13.3 million to be paid over the course of the extended term for the covered space.</w:t>
      </w:r>
    </w:p>
    <w:p>
      <w:pPr>
        <w:spacing w:after="0" w:line="1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In June 2020, we issued $747.5 million aggregate principal amount of our 2025 Notes in a private placement to qualified institutional buyers pursuant to Rule 144A under the Securities Act. The 2025 Notes will mature on June 15, 2025, unless earlier converted, redeemed or repurchased. For more information on the 2025 Notes, see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xml:space="preserve"> in our Notes to Unaudited Condensed Consolidated Financial Statements included in Part I, Item 1 of this Quarterly Report on Form 10-Q.</w:t>
      </w:r>
    </w:p>
    <w:p>
      <w:pPr>
        <w:spacing w:after="0" w:line="18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There were no other material changes outside the ordinary course of business in our contractual obligations and commitments, as disclosed in Part II, Item 7, “Management’s Discussion and Analysis of Financial Condition and Results of Operations” of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June 30, 2020 we did not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 xml:space="preserve">See Note 2, </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in our Notes to Unaudited Condensed Consolidated Financial Statements included in Part I, Item 1 of this Quarterly Report on Form 10-Q for a discussion of recent accounting pronouncements.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w:t>
      </w:r>
    </w:p>
    <w:p>
      <w:pPr>
        <w:spacing w:after="0" w:line="1" w:lineRule="exact"/>
        <w:rPr>
          <w:sz w:val="20"/>
          <w:szCs w:val="20"/>
          <w:color w:val="auto"/>
        </w:rPr>
      </w:pPr>
    </w:p>
    <w:p>
      <w:pPr>
        <w:jc w:val="both"/>
        <w:ind w:firstLine="8"/>
        <w:spacing w:after="0" w:line="253" w:lineRule="auto"/>
        <w:tabs>
          <w:tab w:leader="none" w:pos="2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 Based on the market value of our Class A common stock held by non-affiliates as of June 30, 2020, we will cease to qualify as an emerging growth company, effective as of December 31,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 xml:space="preserve">As of June 30, 2020, we had $189.5 million in cash equivalents, and $1,259.6 million in marketable securities, </w:t>
      </w:r>
      <w:r>
        <w:rPr>
          <w:rFonts w:ascii="Arial" w:cs="Arial" w:eastAsia="Arial" w:hAnsi="Arial"/>
          <w:sz w:val="17"/>
          <w:szCs w:val="17"/>
          <w:color w:val="333333"/>
        </w:rPr>
        <w:t>which consisted</w:t>
      </w:r>
      <w:r>
        <w:rPr>
          <w:rFonts w:ascii="Arial" w:cs="Arial" w:eastAsia="Arial" w:hAnsi="Arial"/>
          <w:sz w:val="17"/>
          <w:szCs w:val="17"/>
          <w:color w:val="auto"/>
        </w:rPr>
        <w:t xml:space="preserve"> of commercial debt, certificates of deposit, U.S. government treasury and agency securities, and commercial paper</w:t>
      </w:r>
      <w:r>
        <w:rPr>
          <w:rFonts w:ascii="Arial" w:cs="Arial" w:eastAsia="Arial" w:hAnsi="Arial"/>
          <w:sz w:val="17"/>
          <w:szCs w:val="17"/>
          <w:color w:val="333333"/>
        </w:rPr>
        <w:t>. In addition, we had</w:t>
      </w:r>
      <w:r>
        <w:rPr>
          <w:rFonts w:ascii="Arial" w:cs="Arial" w:eastAsia="Arial" w:hAnsi="Arial"/>
          <w:sz w:val="17"/>
          <w:szCs w:val="17"/>
          <w:color w:val="auto"/>
        </w:rPr>
        <w:t xml:space="preserve"> $3.5 million of restricted cash due to the outstanding letters of credit established in connection with lease agreements for our facilities. Our cash and cash equivalents are held for working capital purposes. We do not enter into investments for trading or speculative purposes. </w:t>
      </w:r>
      <w:r>
        <w:rPr>
          <w:rFonts w:ascii="Arial" w:cs="Arial" w:eastAsia="Arial" w:hAnsi="Arial"/>
          <w:sz w:val="17"/>
          <w:szCs w:val="17"/>
          <w:color w:val="333333"/>
        </w:rPr>
        <w:t>Our investments are exposed to market risk due to a fluctuation in interest</w:t>
      </w:r>
      <w:r>
        <w:rPr>
          <w:rFonts w:ascii="Arial" w:cs="Arial" w:eastAsia="Arial" w:hAnsi="Arial"/>
          <w:sz w:val="17"/>
          <w:szCs w:val="17"/>
          <w:color w:val="auto"/>
        </w:rPr>
        <w:t xml:space="preserve"> </w:t>
      </w:r>
      <w:r>
        <w:rPr>
          <w:rFonts w:ascii="Arial" w:cs="Arial" w:eastAsia="Arial" w:hAnsi="Arial"/>
          <w:sz w:val="17"/>
          <w:szCs w:val="17"/>
          <w:color w:val="333333"/>
        </w:rPr>
        <w:t xml:space="preserve">rates, which may affect our interest income and the fair market value of our investments. </w:t>
      </w:r>
      <w:r>
        <w:rPr>
          <w:rFonts w:ascii="Arial" w:cs="Arial" w:eastAsia="Arial" w:hAnsi="Arial"/>
          <w:sz w:val="17"/>
          <w:szCs w:val="17"/>
          <w:color w:val="000000"/>
        </w:rPr>
        <w:t>As of June 30, 2020, a hypothetical 10% relative change in</w:t>
      </w:r>
      <w:r>
        <w:rPr>
          <w:rFonts w:ascii="Arial" w:cs="Arial" w:eastAsia="Arial" w:hAnsi="Arial"/>
          <w:sz w:val="17"/>
          <w:szCs w:val="17"/>
          <w:color w:val="333333"/>
        </w:rPr>
        <w:t xml:space="preserve"> </w:t>
      </w:r>
      <w:r>
        <w:rPr>
          <w:rFonts w:ascii="Arial" w:cs="Arial" w:eastAsia="Arial" w:hAnsi="Arial"/>
          <w:sz w:val="17"/>
          <w:szCs w:val="17"/>
          <w:color w:val="000000"/>
        </w:rPr>
        <w:t>interest rates would not have a material impact on our condensed consolidated financial statements.</w:t>
      </w:r>
    </w:p>
    <w:p>
      <w:pPr>
        <w:spacing w:after="0" w:line="17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 Additionally, we carry the 2025 Notes at face value less unamortized discount and unamortized issuance costs on our balance sheet, and we present the fair value for required disclosure purposes only.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the United Kingdom, Japan and Australia.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ind w:firstLine="510"/>
        <w:spacing w:after="0" w:line="31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2020. 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ongoing COVID-19 pandemic and any related economic downturn could negatively impact our business, financial condition and results of operations.</w:t>
      </w:r>
    </w:p>
    <w:p>
      <w:pPr>
        <w:spacing w:after="0" w:line="170"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ongoing COVID-19 pandemic may prevent us or our employees, customers, partners, suppliers or vendors or other parties with whom we do business from conducting certain marketing and other business activities for an indefinite period of time, which could adversely impact our business, financial position and results of operations. Further, in response to the COVID-19 pandemic, many state, local and foreign governments have put in place, and others in the future may put in place, quarantines, executive orders, shelter-in-place orders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of events, among other effects that could negatively impact productivity and disrupt our operations or those of our customers, partners, suppliers or vendors or other parties with whom we do business.</w:t>
      </w:r>
    </w:p>
    <w:p>
      <w:pPr>
        <w:spacing w:after="0" w:line="19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light of the uncertain and rapidly evolving situation relating to the spread of COVID-19 and in compliance with recent shelter-in-place orders and other government executive orders directing that all non-essential businesses close their physical operations, we have taken measures intended to help minimize the risk of the virus to our employees and the communities in which we participate. These measures include temporarily suspending all non-essential travel worldwide for our employees, canceling, postponing or holding virtually any Datadog events and discouraging employee attendance at any industry events or in-person work-related meetings. In addition, although we have recently and may continue to selectively reopen certain of our offices in compliance with applicable government orders and guidelines, the vast majority of our employees continue to work remotely. We have a distributed workforce and our employees are accustomed to working remotely and working with others who are working remotely. However, the temporary suspension of travel and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continue to operate via a remote workforce. In addition, our management team has, and will likely continue, to spend significant time, attention and resources monitoring the COVID-19 pandemic and seeking to manage its effects on our business and workforce.</w:t>
      </w:r>
    </w:p>
    <w:p>
      <w:pPr>
        <w:spacing w:after="0" w:line="179"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COVID-19 could also adversely affect workforces, economies and financial markets globally, potentially leading to an economic downturn and a reduction in customer spending on our solutions or an inability for our customers, partners, suppliers or vendors or other parties with whom we do business to meet their contractual obligations. While it is not possible at this time to predict the duration and extent of the impact that COVID-19 could have on worldwide economic activity and our business in particular, the continued spread of COVID-19 and the measures taken by governments, businesses and other organizations in response to COVID-19 could adversely impact our business, financial condition and results of operations. For example, while usage from existing customers continued to expand during the three months ended June 30, 2020, we did experience some impact to the rate of usage growth of our customers.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 Moreover, to the extent the COVID-19 pandemic adversely affects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70"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 xml:space="preserve">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international trade relations, political turmoil, natural catastrophes, </w:t>
      </w:r>
      <w:r>
        <w:rPr>
          <w:rFonts w:ascii="Arial" w:cs="Arial" w:eastAsia="Arial" w:hAnsi="Arial"/>
          <w:sz w:val="16"/>
          <w:szCs w:val="16"/>
          <w:color w:val="333333"/>
        </w:rPr>
        <w:t>outbreaks of contagious diseases (such as the ongoing COVID-19 pandemic),</w:t>
      </w:r>
      <w:r>
        <w:rPr>
          <w:rFonts w:ascii="Arial" w:cs="Arial" w:eastAsia="Arial" w:hAnsi="Arial"/>
          <w:sz w:val="16"/>
          <w:szCs w:val="16"/>
          <w:color w:val="auto"/>
        </w:rPr>
        <w:t xml:space="preserve"> warfare and terrorist attacks on the United States, Europe, the Asia Pacific region or elsewhere, could cause a decrease in business investments, including spending on information technology, disrupt the timing and cadence of key industry events, and negatively affect the growth of our business and our results of operations. For example,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In addition, our competitors, many of whom are larger and have greater financial resources than we do, may respond to challenging market conditions by lowering prices in an attempt to attract our customers and may be less dependent on key industry events to generate sales for their products. In addition,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revenue was $271.3 million, $153.3 million, $362.8 million and $198.1 million for the six months ended June 30, 2020 and 2019 and the years ended December 31, 2019 and 2018,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49"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generated net income of $6.8 million, $(13.4) million, $(16.7) million and $(10.8) million for the six months ended June 30, 2020 and 2019 and the years ended December 31, 2019 and 2018, respectively. As of June 30, 2020, we had an accumulated deficit of $116.9 million. While we have experienced significant revenue growth in recent periods, we are not certain whether or when we will obtain a high enough volume of sales to sustain or increase our growth or consistently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future results of operations.</w:t>
      </w:r>
    </w:p>
    <w:p>
      <w:pPr>
        <w:spacing w:after="0" w:line="22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were founded in June 2010.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7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including due to the global economic uncertainty and financial market conditions caused by the COVID-19 pandemic, or reductions in our customers’ spending on IT solutions or their spending levels generally. In addition, the factors impacting our ability to sell additional subscriptions and products to our customers may be exacerbated by the COVID-19 pandemic.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spacing w:after="0" w:line="184"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Our platform and products involve the storage and transmission of data, including personally identifiable information, and security breaches or unauthorized access to our platform and products could result in the loss of our or our customers’ data,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we have seen an increase in phishing and spam emails in connection with the COVID-19 pandemic.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social engineering (including spear phishing and ransomware attacks), and general hacking have become more prevalent in our industry, particularly against cloud services. In addition, we do not directly control content that our customers store in our products. If our customers use our products for the transmission or storage of personally identifiable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8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also process, store and transmit our own data as part of our business and operations. This data may include personally identifiable, confidential or proprietary information. There can be no assurance that any security measures that we or our third-party service providers have implemented will be effective against current or future security threats. While we have developed systems and processes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ind w:firstLine="510"/>
        <w:spacing w:after="0" w:line="291" w:lineRule="auto"/>
        <w:rPr>
          <w:sz w:val="20"/>
          <w:szCs w:val="20"/>
          <w:color w:val="auto"/>
        </w:rPr>
      </w:pPr>
      <w:r>
        <w:rPr>
          <w:rFonts w:ascii="Arial" w:cs="Arial" w:eastAsia="Arial" w:hAnsi="Arial"/>
          <w:sz w:val="16"/>
          <w:szCs w:val="16"/>
          <w:color w:val="auto"/>
        </w:rPr>
        <w:t>Because there are many different security breach techniques and such techniques continue to evolve, we may be unable to anticipate attempted security breaches, react in a timely manner or implement adequate preventative measures. 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6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use third-party technology and systems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7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Additionally,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7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7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success of our platform depends, in part, on its ability to be deployed in a self-service installation process. We currently offer more than 400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Micro Focus International plc, BMC Software, Inc. and Computer Associates International, Inc. With respect to APM, we compete with Cisco Systems, Inc., New Relic, Inc. and Dynatrace Software Inc. With respect to log management, we compete with Splunk Inc. and Elastic N.V. With respect to cloud monitoring, we compete with native solutions from cloud providers such as Amazon.com, Inc. (Amazon Web Services), Alphabet Inc. (Google Cloud Platform) and Microsoft Corporation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8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9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 xml:space="preserve">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w:t>
      </w:r>
      <w:r>
        <w:rPr>
          <w:rFonts w:ascii="Arial" w:cs="Arial" w:eastAsia="Arial" w:hAnsi="Arial"/>
          <w:sz w:val="16"/>
          <w:szCs w:val="16"/>
          <w:color w:val="333333"/>
        </w:rPr>
        <w:t>outbreaks of contagious diseases,</w:t>
      </w:r>
      <w:r>
        <w:rPr>
          <w:rFonts w:ascii="Arial" w:cs="Arial" w:eastAsia="Arial" w:hAnsi="Arial"/>
          <w:sz w:val="16"/>
          <w:szCs w:val="16"/>
          <w:color w:val="auto"/>
        </w:rPr>
        <w:t xml:space="preserve">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6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5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2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6"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related to the ongoing COVID-19 pandemic;</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regulatory or legal environments that may cause us to incur, among other elements, expenses associated with compliance;</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products and platform capabilities.</w:t>
      </w:r>
    </w:p>
    <w:p>
      <w:pPr>
        <w:spacing w:after="0" w:line="24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social and economic impacts spread.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Because we recognize the majority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66"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4"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spacing w:after="0" w:line="34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3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stringent and changing privacy laws, regulations and standards, information security policies and contractual obligations related to data privacy and security. Our actual or perceived failure to comply with such obligations could harm our business.</w:t>
      </w:r>
    </w:p>
    <w:p>
      <w:pPr>
        <w:spacing w:after="0" w:line="14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 xml:space="preserve">We have legal and contractual obligations regarding the protection of confidentiality and appropriate use of personally identifiable </w:t>
      </w:r>
      <w:r>
        <w:rPr>
          <w:rFonts w:ascii="Arial" w:cs="Arial" w:eastAsia="Arial" w:hAnsi="Arial"/>
          <w:sz w:val="16"/>
          <w:szCs w:val="16"/>
          <w:color w:val="333333"/>
        </w:rPr>
        <w:t>and other</w:t>
      </w:r>
      <w:r>
        <w:rPr>
          <w:rFonts w:ascii="Arial" w:cs="Arial" w:eastAsia="Arial" w:hAnsi="Arial"/>
          <w:sz w:val="16"/>
          <w:szCs w:val="16"/>
          <w:color w:val="auto"/>
        </w:rPr>
        <w:t xml:space="preserve"> </w:t>
      </w:r>
      <w:r>
        <w:rPr>
          <w:rFonts w:ascii="Arial" w:cs="Arial" w:eastAsia="Arial" w:hAnsi="Arial"/>
          <w:sz w:val="16"/>
          <w:szCs w:val="16"/>
          <w:color w:val="333333"/>
        </w:rPr>
        <w:t xml:space="preserve">proprietary </w:t>
      </w:r>
      <w:r>
        <w:rPr>
          <w:rFonts w:ascii="Arial" w:cs="Arial" w:eastAsia="Arial" w:hAnsi="Arial"/>
          <w:sz w:val="16"/>
          <w:szCs w:val="16"/>
          <w:color w:val="000000"/>
        </w:rPr>
        <w:t>information. We are subject to a variety of federal, state, local and international laws, directives and regulations relating to the collection, use,</w:t>
      </w:r>
      <w:r>
        <w:rPr>
          <w:rFonts w:ascii="Arial" w:cs="Arial" w:eastAsia="Arial" w:hAnsi="Arial"/>
          <w:sz w:val="16"/>
          <w:szCs w:val="16"/>
          <w:color w:val="333333"/>
        </w:rPr>
        <w:t xml:space="preserve"> </w:t>
      </w:r>
      <w:r>
        <w:rPr>
          <w:rFonts w:ascii="Arial" w:cs="Arial" w:eastAsia="Arial" w:hAnsi="Arial"/>
          <w:sz w:val="16"/>
          <w:szCs w:val="16"/>
          <w:color w:val="000000"/>
        </w:rPr>
        <w:t xml:space="preserve">retention, security, disclosure, transfer and other processing of personally identifiable information. The regulatory framework for privacy and security issues worldwide is rapidly evolving and as a result implementation standards and enforcement practices are likely to remain uncertain for the foreseeable future. We publicly post documentation regarding our practices concerning the collection, processing, use and disclosure of data. Although we endeavor to comply with our published policies and documentation, we may at times fail to do so or be alleged to have failed to do so. The publication of our privacy policy and other documentation that provide promises and assurances about privacy and security can subject us to potential state and federal action if they are found to be deceptive, unfair, or misrepresentative of our actual practices. Any failure by us, our suppliers or other parties with whom we do business to comply with this documentation or with federal, state, local or international regulations could result in proceedings against us by governmental entities, </w:t>
      </w:r>
      <w:r>
        <w:rPr>
          <w:rFonts w:ascii="Arial" w:cs="Arial" w:eastAsia="Arial" w:hAnsi="Arial"/>
          <w:sz w:val="16"/>
          <w:szCs w:val="16"/>
          <w:color w:val="333333"/>
        </w:rPr>
        <w:t xml:space="preserve">private parties </w:t>
      </w:r>
      <w:r>
        <w:rPr>
          <w:rFonts w:ascii="Arial" w:cs="Arial" w:eastAsia="Arial" w:hAnsi="Arial"/>
          <w:sz w:val="16"/>
          <w:szCs w:val="16"/>
          <w:color w:val="000000"/>
        </w:rPr>
        <w:t>or others. In many jurisdictions, enforcement actions and consequences for noncompliance are rising. In the United States, these include</w:t>
      </w:r>
      <w:r>
        <w:rPr>
          <w:rFonts w:ascii="Arial" w:cs="Arial" w:eastAsia="Arial" w:hAnsi="Arial"/>
          <w:sz w:val="16"/>
          <w:szCs w:val="16"/>
          <w:color w:val="333333"/>
        </w:rPr>
        <w:t xml:space="preserve"> </w:t>
      </w:r>
      <w:r>
        <w:rPr>
          <w:rFonts w:ascii="Arial" w:cs="Arial" w:eastAsia="Arial" w:hAnsi="Arial"/>
          <w:sz w:val="16"/>
          <w:szCs w:val="16"/>
          <w:color w:val="000000"/>
        </w:rPr>
        <w:t>enforcement actions in response to rules and regulations promulgated under the authority of federal agencies and state attorneys general and legislatures and consumer protection agencies. In addition, privacy advocates and industry groups have regularly proposed, and may propose in the future, self-regulatory standards with which we must legally comply or that contractually apply to us. If we fail to follow these security standards even if no customer information is compromised, we may incur significant fines or experience a significant increase in costs.</w:t>
      </w:r>
    </w:p>
    <w:p>
      <w:pPr>
        <w:spacing w:after="0" w:line="171"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Internationally, virtually every jurisdiction in which we operate has established its own data security and privacy legal framework with which we or our customers must comply, including but not limited to the European Union, or EU. The EU’s data protection landscape is currently unstable, resulting in possible significant operational costs for internal compliance and risk to our business. The EU has adopted the General Data Protection Regulation, or GDPR, which went into effect in May 2018 and contains numerous requirements and changes from previously existing EU law, including more robust obligations on data processors and heavier documentation requirements for data protection compliance programs by companies. Among other requirements, the GDPR regulates transfers of personal data subject to the GDPR to third countries that have not been found to provide adequate protection to such personal data, including the United States. While we have taken steps to mitigate the impact on us with respect to transfers of data, such as implementing standard contractual clauses and self-certifying under the EU-US Privacy Shield, the efficacy and longevity of these transfer mechanisms remains uncertain.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under the GDPR, fines of up to 20 million euros or up to 4% of the annual global revenue of the noncompliant company, whichever is greater, could be imposed for violations of certain of the GDPR’s requirements.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ind w:firstLine="510"/>
        <w:spacing w:after="0" w:line="290" w:lineRule="auto"/>
        <w:rPr>
          <w:sz w:val="20"/>
          <w:szCs w:val="20"/>
          <w:color w:val="auto"/>
        </w:rPr>
      </w:pPr>
      <w:r>
        <w:rPr>
          <w:rFonts w:ascii="Arial" w:cs="Arial" w:eastAsia="Arial" w:hAnsi="Arial"/>
          <w:sz w:val="16"/>
          <w:szCs w:val="16"/>
          <w:color w:val="auto"/>
        </w:rPr>
        <w:t xml:space="preserve">In addition to the GDPR, the European Commission has another draft regulation in the approval process that focuses on a person’s right to conduct a private life (in contrast to the GDPR, which focuses on protection of personal data). The proposed legislation, known as the Regulation on Privacy and Electronic Communications, or ePrivacy Regulation, would replace the current ePrivacy Directive. Originally planned to be adopted and implemented at the same time as the GDPR, the ePrivacy Regulation </w:t>
      </w:r>
      <w:r>
        <w:rPr>
          <w:rFonts w:ascii="Arial" w:cs="Arial" w:eastAsia="Arial" w:hAnsi="Arial"/>
          <w:sz w:val="16"/>
          <w:szCs w:val="16"/>
          <w:color w:val="333333"/>
        </w:rPr>
        <w:t>continues to be delayed but could</w:t>
      </w:r>
      <w:r>
        <w:rPr>
          <w:rFonts w:ascii="Arial" w:cs="Arial" w:eastAsia="Arial" w:hAnsi="Arial"/>
          <w:sz w:val="16"/>
          <w:szCs w:val="16"/>
          <w:color w:val="auto"/>
        </w:rPr>
        <w:t xml:space="preserve"> be enacted in 2020. While the new legislation contains protections for those using communications services (for example, protections against online tracking technologies), the timing of its proposed enactment following the GDPR means that additional time and effort may need to be spent addressing differences between the ePrivacy Regulation and the GDPR. New rules related to the ePrivacy Regulation are likely to include enhanced consent requirements in order to use communications content and communications metadata, which may negatively impact our platform and products and our relationships with our customers.</w:t>
      </w:r>
    </w:p>
    <w:p>
      <w:pPr>
        <w:spacing w:after="0" w:line="165"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Complying with the GDPR and the ePrivacy Regulation, when it becomes effective, may cause us to incur substantial operational costs or require us to change our business practices. Despite our efforts to bring practices into compliance before the effective date of the GDPR and ePrivacy Regulation,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European Economic Area to maintain certain customer data (which may include personal data) originating from the EU in the European Economic Area, we may find it necessary to establish additional systems and processes to maintain such data in the European Economic Area, which may involve substantial expense and distraction from other aspects of our business.</w:t>
      </w:r>
    </w:p>
    <w:p>
      <w:pPr>
        <w:spacing w:after="0" w:line="16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Domestic laws in this area are also complex and developing rapidly. Many state legislatures have adopted legislation that regulates how businesses operate online, including measures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Further, California recently enacted the California Consumer Privacy Act, or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8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products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changing laws, regulations, and standards related to the internet, our business may be harmed.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both"/>
        <w:ind w:firstLine="510"/>
        <w:spacing w:after="0" w:line="263"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4"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7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Additionally, the Trump administration has been critical of existing trade agreements and may impose more stringent export controls.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9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70"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6"/>
          <w:szCs w:val="16"/>
          <w:color w:val="auto"/>
        </w:rPr>
        <w:t xml:space="preserve">Our success depends to a significant degree on our ability to obtain, maintain, protect and enforce our intellectual property rights, including our proprietary technology, know-how and our brand. We rely on a 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86"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95"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70"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80" w:lineRule="exact"/>
        <w:rPr>
          <w:sz w:val="20"/>
          <w:szCs w:val="20"/>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cease selling or using products or services that incorporate the intellectual property rights that we allegedly infringe, misappropriate or violate;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i w:val="1"/>
          <w:iCs w:val="1"/>
          <w:color w:val="auto"/>
        </w:rPr>
        <w:t>We use open source software in our products, which could negatively affect our ability to sell our services or subject us to litigation or other actions.</w:t>
      </w:r>
    </w:p>
    <w:p>
      <w:pPr>
        <w:spacing w:after="0" w:line="260"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Revenue, as determined based on the billing address of our customers, from regions outside of North America was 24% and 25% for the six months ended June 30, 2020 and 2019, respectively. Beyond North America, we now have sales presence internationally, including in Dublin, Paris, London, Singapore, Tokyo, Seoul and Sydney.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June 30, 2020, approximately 36% of our full-time employees were located outside of the United States, 45%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including in the United Kingdom as a result of the United Kingdom exiting the EU, or Brexit;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changes in trade relations, regulations, or laws;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w:t>
      </w:r>
    </w:p>
    <w:p>
      <w:pPr>
        <w:spacing w:after="0" w:line="62"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both"/>
        <w:ind w:left="100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333333"/>
        </w:rPr>
        <w:t xml:space="preserve">an outbreak of a contagious disease, </w:t>
      </w:r>
      <w:r>
        <w:rPr>
          <w:rFonts w:ascii="Arial" w:cs="Arial" w:eastAsia="Arial" w:hAnsi="Arial"/>
          <w:sz w:val="18"/>
          <w:szCs w:val="18"/>
          <w:color w:val="000000"/>
        </w:rPr>
        <w:t>including COVID-19,</w:t>
      </w:r>
      <w:r>
        <w:rPr>
          <w:rFonts w:ascii="Arial" w:cs="Arial" w:eastAsia="Arial" w:hAnsi="Arial"/>
          <w:sz w:val="18"/>
          <w:szCs w:val="18"/>
          <w:color w:val="333333"/>
        </w:rPr>
        <w:t xml:space="preserve"> which may cause us or our third-party providers and/or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 may be a source of instability in international markets, create significant currency fluctuations, adversely affect our operations in the United Kingdom and pose additional risks to our business, financial condition and results of operations.</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333333"/>
        </w:rPr>
        <w:t>United Kingdom formally left the EU on January 31, 2020, commonly referred to as Brexit. Under the terms of the withdrawal agreement</w:t>
      </w:r>
      <w:r>
        <w:rPr>
          <w:rFonts w:ascii="Arial" w:cs="Arial" w:eastAsia="Arial" w:hAnsi="Arial"/>
          <w:sz w:val="18"/>
          <w:szCs w:val="18"/>
          <w:color w:val="auto"/>
        </w:rPr>
        <w:t xml:space="preserve"> </w:t>
      </w:r>
      <w:r>
        <w:rPr>
          <w:rFonts w:ascii="Arial" w:cs="Arial" w:eastAsia="Arial" w:hAnsi="Arial"/>
          <w:sz w:val="18"/>
          <w:szCs w:val="18"/>
          <w:color w:val="333333"/>
        </w:rPr>
        <w:t>agreed to between the United Kingdom and the EU, the United Kingdom will be subject to a transition period through December 31, 2020, during which EU rules will continue to apply. Negotiations between the United Kingdom and the EU are expected to continue in relation to their customs and trading relationship following this transition period.</w:t>
      </w:r>
    </w:p>
    <w:p>
      <w:pPr>
        <w:spacing w:after="0" w:line="18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333333"/>
        </w:rPr>
        <w:t>The uncertainty concerning the United Kingdom’s legal, political and economic relationships with the EU after the transition period may be a source of instability in the international markets, create significant currency fluctuations, and otherwise adversely affect trading agreements or similar cross-border co-operation arrangements (whether economic, tax, fiscal, legal, regulatory or otherwise). Further, if the United Kingdom and the EU are unable to negotiate acceptable trading and customs terms or if other EU Member States pursue withdrawal, barrier-free access between the United Kingdom and other EU Member States or among the European Economic Area overall could be diminished or eliminated. The long-term effects of Brexit will depend on any agreements (or lack thereof) between the United Kingdom and the EU and, in particular, any arrangements for the United Kingdom to retain access to EU markets after the transition period.</w:t>
      </w:r>
    </w:p>
    <w:p>
      <w:pPr>
        <w:spacing w:after="0" w:line="19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Such a withdrawal from the EU is unprecedented, and it is unclear how the United Kingdom’s access to the European single market for goods, capital, services and labor within the EU, or the European single market, and the wider commercial, legal and regulatory environment, will impact our U.K. operations, including our customers in the United Kingdom. We may also face new regulatory costs and challenges that could have an adverse effect on our operations. Brexit has already created economic uncertainty, and its consequences could adversely impact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5"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Tax Cuts and Jobs Act, or the Tax Act, makes broad and complex changes to the U.S. tax code including, among other things, changes to U.S. federal tax rates, imposes additional limitations on the deductibility of interest, has both positive and negative changes to the utilization of future net operating loss, or NOL, carryforwards, allows for the expensing of certain capital expenditures, and puts into effect the migration from a “worldwide” system of taxation to a territorial system.</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As of December 31, 2019, we had NOL carryforwards for federal and state income tax purposes of approximately $56.6 million and $42.0 million, respectively, which may be available to offset taxable income in the future, and which expire in various years beginning in 2031 for federal purposes and 2029 for state purposes if not utilized.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117" w:lineRule="exact"/>
        <w:rPr>
          <w:rFonts w:ascii="Arial" w:cs="Arial" w:eastAsia="Arial" w:hAnsi="Arial"/>
          <w:sz w:val="18"/>
          <w:szCs w:val="18"/>
          <w:color w:val="auto"/>
        </w:rPr>
      </w:pPr>
    </w:p>
    <w:p>
      <w:pPr>
        <w:ind w:left="1000" w:right="20" w:hanging="493"/>
        <w:spacing w:after="0" w:line="30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Accounting principles under GAAP are subject to interpretation by the Financial Accounting Standards Board, the SEC and various other bodies formed to promulgate and interpret such principles. A change in these principles or interpretations could have a significant effect on our reported results of operations and could affect the reporting of transactions already completed before the announcement of a change.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6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“Basis of Presentation and Summary of Significant Accounting Policies” in the Notes to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8"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We have funded our operations since inception primarily through equity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trading volume of our Class A common stock;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w:t>
      </w:r>
    </w:p>
    <w:p>
      <w:pPr>
        <w:spacing w:after="0" w:line="25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including those related to the ongoing COVID-19 pandemic, may also negatively impact the market price of our Class A common stock. The full impact of the COVID-19 pandemic is unknown at this time, but could result in material adverse changes in our results of operations for an unknown period of time as the virus and its related political, social and economic impacts spread.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4"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As of June 30, 2020, holders of our Class B common stock represented approximately 86% of the voting power of our outstanding capital stock. As a result, the holders of our Class B common stock, including our directors, executive officers and their affiliates, will be able to exercise considerable influence over matters requiring stockholder approval, including the election of directors and approval of significant corporate transactions, such as a merger or other sale of our company or our assets, even while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cannot predict whether our dual class structure, combined with the concentrated control of our stockholders who held our capital stock prior to the completion of our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our Class A common stock may not develop or be sustained.</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Prior to the closing of our IPO in September 2019, no public market for our Class A common stock existed. An active public trading market for our Class A common stock may not continue to develop or, if further developed, it may not be sustained. The lack of an active market may impair the ability of holders of our Class A common stock to sell their shares at the time they wish to sell them or at a price that the holders of our Class A common stock consider reasonable. The lack of an active market may also reduce the fair value of shares of our Class A common stock. An inactive market may also impair our ability to raise capital to continue to fund operations by selling shares and may impair our ability to acquire other companies or technologies by using our shares as consideration.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3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6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registered all of the shares of Class A common stock and Class B common stock issuable upon exercise of outstanding options or other equity incentives we may grant in the future, for public resale under the Securities Act. All such shares will become eligible for sale in the public market to the extent such options are exercised, subject to compliance with applicable securities laws, including the limitations of Rule 144 under the Securities Act applicable to our affiliates.</w:t>
      </w:r>
    </w:p>
    <w:p>
      <w:pPr>
        <w:spacing w:after="0" w:line="18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Further, as of June 30, 2020,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unfavorable or inaccurate research about our business, or if we fail to meet our publicly announced financial guidance, the market price and trading volume of our Class A common stock could decline.</w:t>
      </w:r>
    </w:p>
    <w:p>
      <w:pPr>
        <w:spacing w:after="0" w:line="14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jc w:val="both"/>
        <w:spacing w:after="0" w:line="255" w:lineRule="auto"/>
        <w:rPr>
          <w:sz w:val="20"/>
          <w:szCs w:val="20"/>
          <w:color w:val="auto"/>
        </w:rPr>
      </w:pPr>
      <w:r>
        <w:rPr>
          <w:rFonts w:ascii="Arial" w:cs="Arial" w:eastAsia="Arial" w:hAnsi="Arial"/>
          <w:sz w:val="18"/>
          <w:szCs w:val="18"/>
          <w:color w:val="auto"/>
        </w:rPr>
        <w:t>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no longer qualify as an “emerging growth company” as of December 31, 2020 and, as a result, we will no longer be able to avail ourselves of certain reduced reporting and disclosure requirements.</w:t>
      </w:r>
    </w:p>
    <w:p>
      <w:pPr>
        <w:spacing w:after="0" w:line="17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are currently an “emerging growth company,” as defined in the JOBS Act, and we have taken advantage of certain exemptions from various reporting requirements that are applicable to other public companies that are not “emerging growth companies,” including the auditor attestation requirements of Section 404 of the Sarbanes-Oxley Act,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It is possible that investors have found or will continue to find our Class A common stock less attractive in light of the fact that we have relied on certain of these exemptions.</w:t>
      </w:r>
    </w:p>
    <w:p>
      <w:pPr>
        <w:spacing w:after="0" w:line="18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Based on the market value of our Class A common stock held by non-affiliates as of June 30, 2020, we will cease to qualify as an emerging growth company, effective as of December 31, 2020. We will no longer be able to take advantage of any of the exemptions from various reporting requirements that are applicable to other public companies that are not “emerging growth companies” as described above, and we will no longer be able to use the extended transition period for complying with new or revised accounting standards. We expect that the loss of our “emerging growth company” status and compliance with these additional requirements will substantially increase our legal and financial compliance costs. In addition, any failure to comply with these additional requirements in a timely manner, or at all, could have an adverse effect on our business and results of operations and could cause a decline in the price of our Class A common stock.</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70"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As a public company, we will continue to incur significant legal, accounting, and other expenses that we did not incur as a private company, which we expect to further increase as we transition out of an “emerging growth company” status. Based on the market value of our Class A common stock held by non-affiliates as of June 30, 2020, we will cease to qualify as an emerging growth company, effective as of December 31, 2020.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contribute to increased legal and financial compliance costs and make some activities more time-consuming and costly.</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are required, pursuant to Section 404 to furnish a report by management on, among other things, the effectiveness of our internal control over financial reporting and our independent registered public accounting firm will be required to attest to the effectiveness of our internal control over financial reporting for the fiscal year ending December 31, 2020. We have already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have hired additional accounting and financial staff with appropriate public company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color w:val="auto"/>
        </w:rPr>
        <w:t>experience and technical accounting knowledge, and compiled the system and process documentation necessary to perform the evaluation needed to comply with Section 404.</w:t>
      </w:r>
    </w:p>
    <w:p>
      <w:pPr>
        <w:spacing w:after="0" w:line="17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6" w:lineRule="exact"/>
        <w:rPr>
          <w:sz w:val="20"/>
          <w:szCs w:val="20"/>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2/3% of our outstanding shares of voting stock;</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other employees.</w:t>
      </w:r>
    </w:p>
    <w:p>
      <w:pPr>
        <w:spacing w:after="0" w:line="165"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7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2025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7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2025 Notes, if triggered, may adversely affect our financial condition and operating results.</w:t>
      </w:r>
    </w:p>
    <w:p>
      <w:pPr>
        <w:spacing w:after="0" w:line="23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the event the conditional conversion feature of the 2025 Notes is triggered, holders of the 2025 Notes will be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7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 xml:space="preserve">Under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or ASC 470-20, an entity must separately account for the liability and equity components of the convertible debt instruments (such as the 2025 Notes) that may be settled entirely or partially in cash upon conversion in a manner that reflects the issuer’s economic interest cost. The effect of ASC 470-20 on the accounting for the 2025 Notes is that the equity component is required to be included in the additional paid-in capital section of stockholders’ equity on our consolidated balance sheet at issuance, and the value of the equity component would be treated as original issue discount for purposes of accounting for the debt component of the 2025 Notes. As a result, we will be required to record a greater amount of non-cash interest expense in current periods presented as a result of the amortization of the discounted carrying value of the 2025 Notes to their face amount over the term of the 2025 Notes. We will report larger net losses or lower net income in our financial results because ASC 470-20 will require interest to include both the current period’s amortization of the debt discount and the instrument’s non-convertible coupon interest rate, which could adversely affect our reported or future financial results, the trading price of our common stock and the trading price of the 2025 Notes.</w:t>
      </w:r>
    </w:p>
    <w:p>
      <w:pPr>
        <w:spacing w:after="0" w:line="16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addition, under certain circumstances, convertible debt instruments (such as the 2025 Notes) that may be settled entirely or partly in cash are currently accounted for utilizing the treasury stock method, the effect of which is that the shares issuable upon conversion of such 2025 Notes are not included in the calculation of diluted earnings per share except to the extent that the conversion value of such 2025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certain that the accounting standards in the future will continue to permit the use of the treasury stock method. If we are unable or otherwise elect not to use the treasury stock method in accounting for the shares issuable upon conversion of the 2025 Notes, then the “if converted” method of accounting would be applied and accordingly, the full number of shares that could be issued would be included in the calculation of diluted earnings per share, which would adversely affect our diluted earnings per share. For example, the FASB recently published an exposure draft proposing to amend these accounting standards to eliminate the treasury stock method for convertible instruments and instead require application of the “if-converted” method. We cannot be sure that this exposure draft will be issued, or will be issued in its current form. We also cannot be sure whether other changes may be made to the current accounting standards related to the 2025 Notes, or otherwise, that could have an adverse impact on our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2025 Notes and our Class A common stock.</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offset the potential dilution to our Class A common stock as a result of any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92"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and prior to the maturity of the 2025 Notes (and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June 26, 2020, we issued 120,992 shares of Class A common stock as consideration in an acquisition. The issuance was deemed exempt from registration under the Securities Act pursuant to the exemption provided by Section 4(a)(2) of the Securities Act as a transaction by an issuer not involving a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September 2019, we closed our IPO of 27,600,000 shares of our Class A common stock at an offering price of $27.00 per share, including 3,600,000 shares pursuant to the underwriters’ option to purchase additional shares of our Class A common stock, resulting in net proceeds to us of $705.9 million, after deducting underwriting discounts and commissions of $37.3 million and net offering expenses of $2.0 million. All of the shares issued and sold in our IPO were registered under the Securities Act pursuant to a registration statement on Form S-1 (File No. 333-233428), which was declared effective by the SEC on September 18, 2019.</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from those disclosed in the Final Prospectus for our IPO dated as of September 18, 2019 and filed with the SEC pursuant to Rule 424(b)(4) on September 19, 2019.</w:t>
      </w:r>
    </w:p>
    <w:p>
      <w:pPr>
        <w:spacing w:after="0" w:line="166" w:lineRule="exact"/>
        <w:rPr>
          <w:sz w:val="20"/>
          <w:szCs w:val="20"/>
          <w:color w:val="auto"/>
        </w:rPr>
      </w:pPr>
    </w:p>
    <w:p>
      <w:pPr>
        <w:ind w:left="520" w:right="8140" w:hanging="512"/>
        <w:spacing w:after="0" w:line="500" w:lineRule="auto"/>
        <w:tabs>
          <w:tab w:leader="none" w:pos="25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9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9"/>
              </w:rPr>
              <w:t>Incorporated by Reference</w:t>
            </w:r>
          </w:p>
        </w:tc>
        <w:tc>
          <w:tcPr>
            <w:tcW w:w="1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gridSpan w:val="2"/>
            <w:vMerge w:val="continue"/>
          </w:tcPr>
          <w:p>
            <w:pPr>
              <w:spacing w:after="0"/>
              <w:rPr>
                <w:sz w:val="10"/>
                <w:szCs w:val="10"/>
                <w:color w:val="auto"/>
              </w:rPr>
            </w:pPr>
          </w:p>
        </w:tc>
        <w:tc>
          <w:tcPr>
            <w:tcW w:w="4180" w:type="dxa"/>
            <w:vAlign w:val="bottom"/>
            <w:gridSpan w:val="1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File No.</w:t>
            </w:r>
          </w:p>
        </w:tc>
        <w:tc>
          <w:tcPr>
            <w:tcW w:w="11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7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Filing Date</w:t>
            </w:r>
          </w:p>
        </w:tc>
        <w:tc>
          <w:tcPr>
            <w:tcW w:w="98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4180" w:type="dxa"/>
            <w:vAlign w:val="bottom"/>
            <w:gridSpan w:val="14"/>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86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900" w:type="dxa"/>
            <w:vAlign w:val="bottom"/>
            <w:tcBorders>
              <w:top w:val="single" w:sz="8" w:color="auto"/>
              <w:bottom w:val="single" w:sz="8" w:color="0000EE"/>
            </w:tcBorders>
            <w:gridSpan w:val="11"/>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Amended and Restated Certificate of Incorporation of</w:t>
              </w:r>
            </w:hyperlink>
          </w:p>
        </w:tc>
        <w:tc>
          <w:tcPr>
            <w:tcW w:w="280" w:type="dxa"/>
            <w:vAlign w:val="bottom"/>
            <w:tcBorders>
              <w:top w:val="single" w:sz="8" w:color="auto"/>
            </w:tcBorders>
            <w:gridSpan w:val="3"/>
          </w:tcPr>
          <w:p>
            <w:pPr>
              <w:spacing w:after="0"/>
              <w:rPr>
                <w:sz w:val="24"/>
                <w:szCs w:val="2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001-39051</w:t>
            </w:r>
          </w:p>
        </w:tc>
        <w:tc>
          <w:tcPr>
            <w:tcW w:w="1100" w:type="dxa"/>
            <w:vAlign w:val="bottom"/>
            <w:tcBorders>
              <w:top w:val="single" w:sz="8" w:color="auto"/>
            </w:tcBorders>
          </w:tcPr>
          <w:p>
            <w:pPr>
              <w:jc w:val="center"/>
              <w:ind w:right="73"/>
              <w:spacing w:after="0"/>
              <w:rPr>
                <w:sz w:val="20"/>
                <w:szCs w:val="20"/>
                <w:color w:val="auto"/>
              </w:rPr>
            </w:pPr>
            <w:r>
              <w:rPr>
                <w:rFonts w:ascii="Arial" w:cs="Arial" w:eastAsia="Arial" w:hAnsi="Arial"/>
                <w:sz w:val="18"/>
                <w:szCs w:val="18"/>
                <w:color w:val="auto"/>
                <w:w w:val="87"/>
              </w:rPr>
              <w:t>3.1</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September 23, 2019</w:t>
            </w: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4"/>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Datadog, Inc.</w:t>
              </w:r>
            </w:hyperlink>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4180" w:type="dxa"/>
            <w:vAlign w:val="bottom"/>
            <w:gridSpan w:val="14"/>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Amended and Restated Bylaws of Datadog, Inc.</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333-233428</w:t>
            </w:r>
          </w:p>
        </w:tc>
        <w:tc>
          <w:tcPr>
            <w:tcW w:w="1100" w:type="dxa"/>
            <w:vAlign w:val="bottom"/>
          </w:tcPr>
          <w:p>
            <w:pPr>
              <w:jc w:val="center"/>
              <w:ind w:right="73"/>
              <w:spacing w:after="0"/>
              <w:rPr>
                <w:sz w:val="20"/>
                <w:szCs w:val="20"/>
                <w:color w:val="auto"/>
              </w:rPr>
            </w:pPr>
            <w:r>
              <w:rPr>
                <w:rFonts w:ascii="Arial" w:cs="Arial" w:eastAsia="Arial" w:hAnsi="Arial"/>
                <w:sz w:val="18"/>
                <w:szCs w:val="18"/>
                <w:color w:val="auto"/>
                <w:w w:val="87"/>
              </w:rPr>
              <w:t>3.4</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4180" w:type="dxa"/>
            <w:vAlign w:val="bottom"/>
            <w:gridSpan w:val="14"/>
          </w:tcPr>
          <w:p>
            <w:pPr>
              <w:spacing w:after="0"/>
              <w:rPr>
                <w:rFonts w:ascii="Arial" w:cs="Arial" w:eastAsia="Arial" w:hAnsi="Arial"/>
                <w:sz w:val="18"/>
                <w:szCs w:val="18"/>
                <w:color w:val="0000EE"/>
                <w:w w:val="96"/>
              </w:rPr>
            </w:pPr>
            <w:hyperlink r:id="rId105">
              <w:r>
                <w:rPr>
                  <w:rFonts w:ascii="Arial" w:cs="Arial" w:eastAsia="Arial" w:hAnsi="Arial"/>
                  <w:sz w:val="18"/>
                  <w:szCs w:val="18"/>
                  <w:color w:val="0000EE"/>
                  <w:w w:val="96"/>
                </w:rPr>
                <w:t>Indenture, dated June 2, 2020, between Datadog, Inc.</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1100" w:type="dxa"/>
            <w:vAlign w:val="bottom"/>
          </w:tcPr>
          <w:p>
            <w:pPr>
              <w:jc w:val="center"/>
              <w:ind w:right="73"/>
              <w:spacing w:after="0"/>
              <w:rPr>
                <w:sz w:val="20"/>
                <w:szCs w:val="20"/>
                <w:color w:val="auto"/>
              </w:rPr>
            </w:pPr>
            <w:r>
              <w:rPr>
                <w:rFonts w:ascii="Arial" w:cs="Arial" w:eastAsia="Arial" w:hAnsi="Arial"/>
                <w:sz w:val="18"/>
                <w:szCs w:val="18"/>
                <w:color w:val="auto"/>
                <w:w w:val="87"/>
              </w:rPr>
              <w:t>4.1</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June 2, 2020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tcBorders>
              <w:top w:val="single" w:sz="8" w:color="0000EE"/>
            </w:tcBorders>
            <w:gridSpan w:val="8"/>
          </w:tcPr>
          <w:p>
            <w:pPr>
              <w:spacing w:after="0"/>
              <w:rPr>
                <w:rFonts w:ascii="Arial" w:cs="Arial" w:eastAsia="Arial" w:hAnsi="Arial"/>
                <w:sz w:val="18"/>
                <w:szCs w:val="18"/>
                <w:u w:val="single" w:color="auto"/>
                <w:color w:val="0000EE"/>
                <w:w w:val="99"/>
              </w:rPr>
            </w:pPr>
            <w:hyperlink r:id="rId105">
              <w:r>
                <w:rPr>
                  <w:rFonts w:ascii="Arial" w:cs="Arial" w:eastAsia="Arial" w:hAnsi="Arial"/>
                  <w:sz w:val="18"/>
                  <w:szCs w:val="18"/>
                  <w:u w:val="single" w:color="auto"/>
                  <w:color w:val="0000EE"/>
                  <w:w w:val="99"/>
                </w:rPr>
                <w:t>and U.S. Bank National Association, as Trustee.</w:t>
              </w:r>
            </w:hyperlink>
          </w:p>
        </w:tc>
        <w:tc>
          <w:tcPr>
            <w:tcW w:w="340" w:type="dxa"/>
            <w:vAlign w:val="bottom"/>
            <w:gridSpan w:val="6"/>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3600" w:type="dxa"/>
            <w:vAlign w:val="bottom"/>
            <w:tcBorders>
              <w:bottom w:val="single" w:sz="8" w:color="0000EE"/>
            </w:tcBorders>
            <w:gridSpan w:val="3"/>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Form of Global Note representing Datadog, Inc.’s</w:t>
              </w:r>
            </w:hyperlink>
          </w:p>
        </w:tc>
        <w:tc>
          <w:tcPr>
            <w:tcW w:w="580" w:type="dxa"/>
            <w:vAlign w:val="bottom"/>
            <w:gridSpan w:val="11"/>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1100" w:type="dxa"/>
            <w:vAlign w:val="bottom"/>
          </w:tcPr>
          <w:p>
            <w:pPr>
              <w:jc w:val="center"/>
              <w:ind w:right="73"/>
              <w:spacing w:after="0"/>
              <w:rPr>
                <w:sz w:val="20"/>
                <w:szCs w:val="20"/>
                <w:color w:val="auto"/>
              </w:rPr>
            </w:pPr>
            <w:r>
              <w:rPr>
                <w:rFonts w:ascii="Arial" w:cs="Arial" w:eastAsia="Arial" w:hAnsi="Arial"/>
                <w:sz w:val="18"/>
                <w:szCs w:val="18"/>
                <w:color w:val="auto"/>
                <w:w w:val="87"/>
              </w:rPr>
              <w:t>4.2</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June 2, 2020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4"/>
          </w:tcPr>
          <w:p>
            <w:pPr>
              <w:spacing w:after="0" w:line="196" w:lineRule="exact"/>
              <w:rPr>
                <w:rFonts w:ascii="Arial" w:cs="Arial" w:eastAsia="Arial" w:hAnsi="Arial"/>
                <w:sz w:val="18"/>
                <w:szCs w:val="18"/>
                <w:color w:val="0000EE"/>
                <w:w w:val="98"/>
              </w:rPr>
            </w:pPr>
            <w:hyperlink r:id="rId105">
              <w:r>
                <w:rPr>
                  <w:rFonts w:ascii="Arial" w:cs="Arial" w:eastAsia="Arial" w:hAnsi="Arial"/>
                  <w:sz w:val="18"/>
                  <w:szCs w:val="18"/>
                  <w:color w:val="0000EE"/>
                  <w:w w:val="98"/>
                </w:rPr>
                <w:t>0.</w:t>
              </w:r>
              <w:r>
                <w:rPr>
                  <w:rFonts w:ascii="Arial" w:cs="Arial" w:eastAsia="Arial" w:hAnsi="Arial"/>
                  <w:sz w:val="18"/>
                  <w:szCs w:val="18"/>
                  <w:u w:val="single" w:color="auto"/>
                  <w:color w:val="0000EE"/>
                  <w:w w:val="98"/>
                </w:rPr>
                <w:t>125%</w:t>
              </w:r>
              <w:r>
                <w:rPr>
                  <w:rFonts w:ascii="Arial" w:cs="Arial" w:eastAsia="Arial" w:hAnsi="Arial"/>
                  <w:sz w:val="18"/>
                  <w:szCs w:val="18"/>
                  <w:color w:val="0000EE"/>
                  <w:w w:val="98"/>
                </w:rPr>
                <w:t xml:space="preserve"> Convertible Senior Notes due 2025 (included</w:t>
              </w:r>
            </w:hyperlink>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Borders>
              <w:top w:val="single" w:sz="8" w:color="0000EE"/>
            </w:tcBorders>
            <w:gridSpan w:val="9"/>
          </w:tcPr>
          <w:p>
            <w:pPr>
              <w:spacing w:after="0"/>
              <w:rPr>
                <w:rFonts w:ascii="Arial" w:cs="Arial" w:eastAsia="Arial" w:hAnsi="Arial"/>
                <w:sz w:val="18"/>
                <w:szCs w:val="18"/>
                <w:u w:val="single" w:color="auto"/>
                <w:color w:val="0000EE"/>
                <w:w w:val="98"/>
              </w:rPr>
            </w:pPr>
            <w:hyperlink r:id="rId105">
              <w:r>
                <w:rPr>
                  <w:rFonts w:ascii="Arial" w:cs="Arial" w:eastAsia="Arial" w:hAnsi="Arial"/>
                  <w:sz w:val="18"/>
                  <w:szCs w:val="18"/>
                  <w:u w:val="single" w:color="auto"/>
                  <w:color w:val="0000EE"/>
                  <w:w w:val="98"/>
                </w:rPr>
                <w:t>as Exhibit A to the Indenture filed as Exhibit 4.1).</w:t>
              </w:r>
            </w:hyperlink>
          </w:p>
        </w:tc>
        <w:tc>
          <w:tcPr>
            <w:tcW w:w="320" w:type="dxa"/>
            <w:vAlign w:val="bottom"/>
            <w:gridSpan w:val="5"/>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4180" w:type="dxa"/>
            <w:vAlign w:val="bottom"/>
            <w:gridSpan w:val="14"/>
          </w:tcPr>
          <w:p>
            <w:pPr>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Form of Confirmation for Capped Call Transactions.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1100" w:type="dxa"/>
            <w:vAlign w:val="bottom"/>
          </w:tcPr>
          <w:p>
            <w:pPr>
              <w:jc w:val="center"/>
              <w:ind w:right="93"/>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June 2, 2020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38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Certification of Principal Executive Officer Pursuant</w:t>
              </w:r>
            </w:hyperlink>
          </w:p>
        </w:tc>
        <w:tc>
          <w:tcPr>
            <w:tcW w:w="36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to Rules 13a-14(a) and 15d-14(a) under the Securities</w:t>
              </w:r>
            </w:hyperlink>
          </w:p>
        </w:tc>
        <w:tc>
          <w:tcPr>
            <w:tcW w:w="3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4"/>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Exchange Act of 1934, as Adopted Pursuant to Section</w:t>
              </w:r>
            </w:hyperlink>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Borders>
              <w:top w:val="single" w:sz="8" w:color="0000EE"/>
            </w:tcBorders>
            <w:gridSpan w:val="13"/>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302 of the Sarbanes-Oxley Act of 2002.</w:t>
              </w:r>
            </w:hyperlink>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4180" w:type="dxa"/>
            <w:vAlign w:val="bottom"/>
            <w:gridSpan w:val="14"/>
          </w:tcPr>
          <w:p>
            <w:pPr>
              <w:spacing w:after="0"/>
              <w:rPr>
                <w:rFonts w:ascii="Arial" w:cs="Arial" w:eastAsia="Arial" w:hAnsi="Arial"/>
                <w:sz w:val="18"/>
                <w:szCs w:val="18"/>
                <w:color w:val="0000EE"/>
                <w:w w:val="98"/>
              </w:rPr>
            </w:pPr>
            <w:hyperlink w:anchor="page69">
              <w:r>
                <w:rPr>
                  <w:rFonts w:ascii="Arial" w:cs="Arial" w:eastAsia="Arial" w:hAnsi="Arial"/>
                  <w:sz w:val="18"/>
                  <w:szCs w:val="18"/>
                  <w:color w:val="0000EE"/>
                  <w:w w:val="98"/>
                </w:rPr>
                <w:t>Certification of Principal Financial Officer Pursuant to</w:t>
              </w:r>
            </w:hyperlink>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Rules 13a-14(a) and 15d-14(a) under the Securities</w:t>
              </w:r>
            </w:hyperlink>
          </w:p>
        </w:tc>
        <w:tc>
          <w:tcPr>
            <w:tcW w:w="240" w:type="dxa"/>
            <w:vAlign w:val="bottom"/>
            <w:tcBorders>
              <w:top w:val="single" w:sz="8" w:color="0000EE"/>
            </w:tcBorders>
            <w:gridSpan w:val="7"/>
          </w:tcPr>
          <w:p>
            <w:pPr>
              <w:spacing w:after="0"/>
              <w:rPr>
                <w:sz w:val="17"/>
                <w:szCs w:val="17"/>
                <w:color w:val="auto"/>
              </w:rPr>
            </w:pPr>
          </w:p>
        </w:tc>
        <w:tc>
          <w:tcPr>
            <w:tcW w:w="2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4"/>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Exchange Act of 1934, as Adopted Pursuant to Section</w:t>
              </w:r>
            </w:hyperlink>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Borders>
              <w:top w:val="single" w:sz="8" w:color="0000EE"/>
            </w:tcBorders>
            <w:gridSpan w:val="13"/>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302 of the Sarbanes-Oxley Act of 2002.</w:t>
              </w:r>
            </w:hyperlink>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352"/>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4180" w:type="dxa"/>
            <w:vAlign w:val="bottom"/>
            <w:gridSpan w:val="1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Certification of Principal Executive Officer Pursuant</w:t>
              </w:r>
            </w:hyperlink>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to 18 U.S.C. Section 1350, as Adopted Pursuant to</w:t>
              </w:r>
            </w:hyperlink>
          </w:p>
        </w:tc>
        <w:tc>
          <w:tcPr>
            <w:tcW w:w="140" w:type="dxa"/>
            <w:vAlign w:val="bottom"/>
            <w:tcBorders>
              <w:top w:val="single" w:sz="8" w:color="0000EE"/>
            </w:tcBorders>
            <w:gridSpan w:val="2"/>
          </w:tcPr>
          <w:p>
            <w:pPr>
              <w:spacing w:after="0"/>
              <w:rPr>
                <w:sz w:val="17"/>
                <w:szCs w:val="17"/>
                <w:color w:val="auto"/>
              </w:rPr>
            </w:pPr>
          </w:p>
        </w:tc>
        <w:tc>
          <w:tcPr>
            <w:tcW w:w="3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4"/>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Section 906 of the Sarbanes-Oxley Act of 2002.</w:t>
              </w:r>
            </w:hyperlink>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tcPr>
          <w:p>
            <w:pPr>
              <w:jc w:val="right"/>
              <w:ind w:right="352"/>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4180" w:type="dxa"/>
            <w:vAlign w:val="bottom"/>
            <w:gridSpan w:val="14"/>
          </w:tcPr>
          <w:p>
            <w:pPr>
              <w:spacing w:after="0"/>
              <w:rPr>
                <w:rFonts w:ascii="Arial" w:cs="Arial" w:eastAsia="Arial" w:hAnsi="Arial"/>
                <w:sz w:val="18"/>
                <w:szCs w:val="18"/>
                <w:color w:val="0000EE"/>
                <w:w w:val="98"/>
              </w:rPr>
            </w:pPr>
            <w:hyperlink w:anchor="page71">
              <w:r>
                <w:rPr>
                  <w:rFonts w:ascii="Arial" w:cs="Arial" w:eastAsia="Arial" w:hAnsi="Arial"/>
                  <w:sz w:val="18"/>
                  <w:szCs w:val="18"/>
                  <w:color w:val="0000EE"/>
                  <w:w w:val="98"/>
                </w:rPr>
                <w:t>Certification of Principal Financial Officer Pursuant to</w:t>
              </w:r>
            </w:hyperlink>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18 U.S.C. Section 1350, as Adopted Pursuant to</w:t>
              </w:r>
            </w:hyperlink>
          </w:p>
        </w:tc>
        <w:tc>
          <w:tcPr>
            <w:tcW w:w="2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72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4"/>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Section 906 of the Sarbanes-Oxley Act of 2002.</w:t>
              </w:r>
            </w:hyperlink>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18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18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18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18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18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18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jc w:val="both"/>
        <w:ind w:left="380" w:hanging="372"/>
        <w:spacing w:after="0" w:line="238"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720" w:type="dxa"/>
            <w:vAlign w:val="bottom"/>
            <w:gridSpan w:val="2"/>
          </w:tcPr>
          <w:p>
            <w:pPr>
              <w:ind w:left="1980"/>
              <w:spacing w:after="0"/>
              <w:rPr>
                <w:sz w:val="20"/>
                <w:szCs w:val="20"/>
                <w:color w:val="auto"/>
              </w:rPr>
            </w:pPr>
            <w:r>
              <w:rPr>
                <w:rFonts w:ascii="Arial" w:cs="Arial" w:eastAsia="Arial" w:hAnsi="Arial"/>
                <w:sz w:val="18"/>
                <w:szCs w:val="18"/>
                <w:color w:val="auto"/>
              </w:rPr>
              <w:t>DATADOG, INC.</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August 7, 2020</w:t>
            </w:r>
          </w:p>
        </w:tc>
        <w:tc>
          <w:tcPr>
            <w:tcW w:w="2640" w:type="dxa"/>
            <w:vAlign w:val="bottom"/>
          </w:tcPr>
          <w:p>
            <w:pPr>
              <w:ind w:left="19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Pomel</w:t>
            </w:r>
          </w:p>
        </w:tc>
      </w:tr>
      <w:tr>
        <w:trPr>
          <w:trHeight w:val="209"/>
        </w:trPr>
        <w:tc>
          <w:tcPr>
            <w:tcW w:w="3520" w:type="dxa"/>
            <w:vAlign w:val="bottom"/>
          </w:tcPr>
          <w:p>
            <w:pPr>
              <w:spacing w:after="0"/>
              <w:rPr>
                <w:sz w:val="18"/>
                <w:szCs w:val="18"/>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Name:</w:t>
            </w:r>
          </w:p>
        </w:tc>
        <w:tc>
          <w:tcPr>
            <w:tcW w:w="5080" w:type="dxa"/>
            <w:vAlign w:val="bottom"/>
          </w:tcPr>
          <w:p>
            <w:pPr>
              <w:spacing w:after="0"/>
              <w:rPr>
                <w:sz w:val="20"/>
                <w:szCs w:val="20"/>
                <w:color w:val="auto"/>
              </w:rPr>
            </w:pPr>
            <w:r>
              <w:rPr>
                <w:rFonts w:ascii="Arial" w:cs="Arial" w:eastAsia="Arial" w:hAnsi="Arial"/>
                <w:sz w:val="18"/>
                <w:szCs w:val="18"/>
                <w:color w:val="auto"/>
              </w:rPr>
              <w:t>Olivier Pomel</w:t>
            </w:r>
          </w:p>
        </w:tc>
      </w:tr>
      <w:tr>
        <w:trPr>
          <w:trHeight w:val="216"/>
        </w:trPr>
        <w:tc>
          <w:tcPr>
            <w:tcW w:w="3520" w:type="dxa"/>
            <w:vAlign w:val="bottom"/>
          </w:tcPr>
          <w:p>
            <w:pPr>
              <w:spacing w:after="0"/>
              <w:rPr>
                <w:sz w:val="18"/>
                <w:szCs w:val="18"/>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August 7, 2020</w:t>
            </w:r>
          </w:p>
        </w:tc>
        <w:tc>
          <w:tcPr>
            <w:tcW w:w="2640" w:type="dxa"/>
            <w:vAlign w:val="bottom"/>
          </w:tcPr>
          <w:p>
            <w:pPr>
              <w:ind w:left="19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Obstler</w:t>
            </w:r>
          </w:p>
        </w:tc>
      </w:tr>
      <w:tr>
        <w:trPr>
          <w:trHeight w:val="209"/>
        </w:trPr>
        <w:tc>
          <w:tcPr>
            <w:tcW w:w="3520" w:type="dxa"/>
            <w:vAlign w:val="bottom"/>
          </w:tcPr>
          <w:p>
            <w:pPr>
              <w:spacing w:after="0"/>
              <w:rPr>
                <w:sz w:val="18"/>
                <w:szCs w:val="18"/>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Name:</w:t>
            </w:r>
          </w:p>
        </w:tc>
        <w:tc>
          <w:tcPr>
            <w:tcW w:w="5080" w:type="dxa"/>
            <w:vAlign w:val="bottom"/>
          </w:tcPr>
          <w:p>
            <w:pPr>
              <w:spacing w:after="0"/>
              <w:rPr>
                <w:sz w:val="20"/>
                <w:szCs w:val="20"/>
                <w:color w:val="auto"/>
              </w:rPr>
            </w:pPr>
            <w:r>
              <w:rPr>
                <w:rFonts w:ascii="Arial" w:cs="Arial" w:eastAsia="Arial" w:hAnsi="Arial"/>
                <w:sz w:val="18"/>
                <w:szCs w:val="18"/>
                <w:color w:val="auto"/>
              </w:rPr>
              <w:t>David Obstler</w:t>
            </w:r>
          </w:p>
        </w:tc>
      </w:tr>
      <w:tr>
        <w:trPr>
          <w:trHeight w:val="216"/>
        </w:trPr>
        <w:tc>
          <w:tcPr>
            <w:tcW w:w="3520" w:type="dxa"/>
            <w:vAlign w:val="bottom"/>
          </w:tcPr>
          <w:p>
            <w:pPr>
              <w:spacing w:after="0"/>
              <w:rPr>
                <w:sz w:val="18"/>
                <w:szCs w:val="18"/>
                <w:color w:val="auto"/>
              </w:rPr>
            </w:pPr>
          </w:p>
        </w:tc>
        <w:tc>
          <w:tcPr>
            <w:tcW w:w="2640" w:type="dxa"/>
            <w:vAlign w:val="bottom"/>
          </w:tcPr>
          <w:p>
            <w:pPr>
              <w:ind w:left="1980"/>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48"/>
        </w:trPr>
        <w:tc>
          <w:tcPr>
            <w:tcW w:w="3520" w:type="dxa"/>
            <w:vAlign w:val="bottom"/>
          </w:tcPr>
          <w:p>
            <w:pPr>
              <w:spacing w:after="0"/>
              <w:rPr>
                <w:sz w:val="24"/>
                <w:szCs w:val="24"/>
                <w:color w:val="auto"/>
              </w:rPr>
            </w:pPr>
          </w:p>
        </w:tc>
        <w:tc>
          <w:tcPr>
            <w:tcW w:w="2640" w:type="dxa"/>
            <w:vAlign w:val="bottom"/>
          </w:tcPr>
          <w:p>
            <w:pPr>
              <w:ind w:left="2020"/>
              <w:spacing w:after="0"/>
              <w:rPr>
                <w:sz w:val="20"/>
                <w:szCs w:val="20"/>
                <w:color w:val="auto"/>
              </w:rPr>
            </w:pPr>
            <w:r>
              <w:rPr>
                <w:rFonts w:ascii="Arial" w:cs="Arial" w:eastAsia="Arial" w:hAnsi="Arial"/>
                <w:sz w:val="18"/>
                <w:szCs w:val="18"/>
                <w:color w:val="auto"/>
              </w:rPr>
              <w:t>66</w:t>
            </w:r>
          </w:p>
        </w:tc>
        <w:tc>
          <w:tcPr>
            <w:tcW w:w="50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Datadog, Inc. (the “registrant”) for the fiscal quarter ended June 30, 2020;</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August 7, 2020</w:t>
            </w:r>
          </w:p>
        </w:tc>
        <w:tc>
          <w:tcPr>
            <w:tcW w:w="2620" w:type="dxa"/>
            <w:vAlign w:val="bottom"/>
          </w:tcPr>
          <w:p>
            <w:pPr>
              <w:ind w:left="2340"/>
              <w:spacing w:after="0"/>
              <w:rPr>
                <w:sz w:val="20"/>
                <w:szCs w:val="20"/>
                <w:color w:val="auto"/>
              </w:rPr>
            </w:pPr>
            <w:r>
              <w:rPr>
                <w:rFonts w:ascii="Arial" w:cs="Arial" w:eastAsia="Arial" w:hAnsi="Arial"/>
                <w:sz w:val="18"/>
                <w:szCs w:val="18"/>
                <w:color w:val="auto"/>
                <w:w w:val="99"/>
              </w:rPr>
              <w:t>By:</w:t>
            </w:r>
          </w:p>
        </w:tc>
        <w:tc>
          <w:tcPr>
            <w:tcW w:w="40" w:type="dxa"/>
            <w:vAlign w:val="bottom"/>
          </w:tcPr>
          <w:p>
            <w:pPr>
              <w:spacing w:after="0"/>
              <w:rPr>
                <w:sz w:val="20"/>
                <w:szCs w:val="20"/>
                <w:color w:val="auto"/>
              </w:rPr>
            </w:pPr>
          </w:p>
        </w:tc>
        <w:tc>
          <w:tcPr>
            <w:tcW w:w="4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/s/ Olivier Pomel</w:t>
            </w:r>
          </w:p>
        </w:tc>
      </w:tr>
      <w:tr>
        <w:trPr>
          <w:trHeight w:val="191"/>
        </w:trPr>
        <w:tc>
          <w:tcPr>
            <w:tcW w:w="38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720" w:type="dxa"/>
            <w:vAlign w:val="bottom"/>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Olivier Pomel</w:t>
            </w:r>
          </w:p>
        </w:tc>
      </w:tr>
      <w:tr>
        <w:trPr>
          <w:trHeight w:val="220"/>
        </w:trPr>
        <w:tc>
          <w:tcPr>
            <w:tcW w:w="38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76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Chief Executive Officer and Director</w:t>
            </w:r>
          </w:p>
        </w:tc>
      </w:tr>
      <w:tr>
        <w:trPr>
          <w:trHeight w:val="230"/>
        </w:trPr>
        <w:tc>
          <w:tcPr>
            <w:tcW w:w="3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20" w:type="dxa"/>
            <w:vAlign w:val="bottom"/>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Datadog, Inc. (the “registrant”) for the fiscal quarter ended June 30, 2020;</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August 7, 2020</w:t>
            </w:r>
          </w:p>
        </w:tc>
        <w:tc>
          <w:tcPr>
            <w:tcW w:w="3160" w:type="dxa"/>
            <w:vAlign w:val="bottom"/>
            <w:gridSpan w:val="2"/>
          </w:tcPr>
          <w:p>
            <w:pPr>
              <w:ind w:left="2340"/>
              <w:spacing w:after="0"/>
              <w:rPr>
                <w:sz w:val="20"/>
                <w:szCs w:val="20"/>
                <w:color w:val="auto"/>
              </w:rPr>
            </w:pPr>
            <w:r>
              <w:rPr>
                <w:rFonts w:ascii="Arial" w:cs="Arial" w:eastAsia="Arial" w:hAnsi="Arial"/>
                <w:sz w:val="18"/>
                <w:szCs w:val="18"/>
                <w:color w:val="auto"/>
              </w:rPr>
              <w:t>By:</w:t>
            </w:r>
          </w:p>
        </w:tc>
        <w:tc>
          <w:tcPr>
            <w:tcW w:w="4220" w:type="dxa"/>
            <w:vAlign w:val="bottom"/>
          </w:tcPr>
          <w:p>
            <w:pPr>
              <w:ind w:left="60"/>
              <w:spacing w:after="0"/>
              <w:rPr>
                <w:sz w:val="20"/>
                <w:szCs w:val="20"/>
                <w:color w:val="auto"/>
              </w:rPr>
            </w:pPr>
            <w:r>
              <w:rPr>
                <w:rFonts w:ascii="Arial" w:cs="Arial" w:eastAsia="Arial" w:hAnsi="Arial"/>
                <w:sz w:val="18"/>
                <w:szCs w:val="18"/>
                <w:color w:val="auto"/>
              </w:rPr>
              <w:t>/s/ David Obstler</w:t>
            </w:r>
          </w:p>
        </w:tc>
      </w:tr>
      <w:tr>
        <w:trPr>
          <w:trHeight w:val="191"/>
        </w:trPr>
        <w:tc>
          <w:tcPr>
            <w:tcW w:w="38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7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David Obstler</w:t>
            </w:r>
          </w:p>
        </w:tc>
      </w:tr>
      <w:tr>
        <w:trPr>
          <w:trHeight w:val="220"/>
        </w:trPr>
        <w:tc>
          <w:tcPr>
            <w:tcW w:w="3860" w:type="dxa"/>
            <w:vAlign w:val="bottom"/>
          </w:tcPr>
          <w:p>
            <w:pPr>
              <w:spacing w:after="0"/>
              <w:rPr>
                <w:sz w:val="19"/>
                <w:szCs w:val="19"/>
                <w:color w:val="auto"/>
              </w:rPr>
            </w:pPr>
          </w:p>
        </w:tc>
        <w:tc>
          <w:tcPr>
            <w:tcW w:w="3160" w:type="dxa"/>
            <w:vAlign w:val="bottom"/>
            <w:gridSpan w:val="2"/>
          </w:tcPr>
          <w:p>
            <w:pPr>
              <w:ind w:left="2660"/>
              <w:spacing w:after="0"/>
              <w:rPr>
                <w:sz w:val="20"/>
                <w:szCs w:val="20"/>
                <w:color w:val="auto"/>
              </w:rPr>
            </w:pPr>
            <w:r>
              <w:rPr>
                <w:rFonts w:ascii="Arial" w:cs="Arial" w:eastAsia="Arial" w:hAnsi="Arial"/>
                <w:sz w:val="18"/>
                <w:szCs w:val="18"/>
                <w:b w:val="1"/>
                <w:bCs w:val="1"/>
                <w:color w:val="auto"/>
              </w:rPr>
              <w:t>Title:</w:t>
            </w:r>
          </w:p>
        </w:tc>
        <w:tc>
          <w:tcPr>
            <w:tcW w:w="42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30"/>
        </w:trPr>
        <w:tc>
          <w:tcPr>
            <w:tcW w:w="38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Quarterly Report on Form 10-Q of Datadog, Inc. for the fiscal quarter ended June 30, 2020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p>
      <w:pPr>
        <w:ind w:left="40"/>
        <w:spacing w:after="0"/>
        <w:tabs>
          <w:tab w:leader="none" w:pos="5640" w:val="left"/>
          <w:tab w:leader="none" w:pos="654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Olivier Pomel</w:t>
      </w:r>
    </w:p>
    <w:p>
      <w:pPr>
        <w:spacing w:after="0" w:line="6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5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Quarterly Report on Form 10-Q of Datadog, Inc. for the fiscal quarter ended June 30, 2020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p>
      <w:pPr>
        <w:ind w:left="40"/>
        <w:spacing w:after="0"/>
        <w:tabs>
          <w:tab w:leader="none" w:pos="5640" w:val="left"/>
          <w:tab w:leader="none" w:pos="654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Obstler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5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David Obstler</w:t>
      </w:r>
    </w:p>
    <w:p>
      <w:pPr>
        <w:spacing w:after="0" w:line="6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color w:val="auto"/>
        </w:rPr>
        <w:t>Chief Financial Officer</w:t>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5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decimal"/>
      <w:start w:val="3"/>
    </w:lvl>
  </w:abstractNum>
  <w:abstractNum w:abstractNumId="10">
    <w:nsid w:val="62BBD95A"/>
    <w:multiLevelType w:val="hybridMultilevel"/>
    <w:lvl w:ilvl="0">
      <w:lvlJc w:val="left"/>
      <w:lvlText w:val="(%1)"/>
      <w:numFmt w:val="decimal"/>
      <w:start w:val="4"/>
    </w:lvl>
  </w:abstractNum>
  <w:abstractNum w:abstractNumId="11">
    <w:nsid w:val="436C6125"/>
    <w:multiLevelType w:val="hybridMultilevel"/>
    <w:lvl w:ilvl="0">
      <w:lvlJc w:val="left"/>
      <w:lvlText w:val="(%1)"/>
      <w:numFmt w:val="decimal"/>
      <w:start w:val="5"/>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2"/>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lowerLetter"/>
      <w:start w:val="3"/>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03" Type="http://schemas.openxmlformats.org/officeDocument/2006/relationships/hyperlink" Target="http://www.sec.gov/Archives/edgar/data/1561550/000119312519252279/d803834dex31.htm" TargetMode="External"/><Relationship Id="rId104" Type="http://schemas.openxmlformats.org/officeDocument/2006/relationships/hyperlink" Target="http://www.sec.gov/Archives/edgar/data/1561550/000119312519227783/d745413dex34.htm" TargetMode="External"/><Relationship Id="rId105" Type="http://schemas.openxmlformats.org/officeDocument/2006/relationships/hyperlink" Target="http://www.sec.gov/Archives/edgar/data/0001561550/000119312520158639/d202955dex41.htm" TargetMode="External"/><Relationship Id="rId106" Type="http://schemas.openxmlformats.org/officeDocument/2006/relationships/hyperlink" Target="http://www.sec.gov/Archives/edgar/data/0001561550/000119312520158639/d20295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2020-08-10T06:32:18Z</dcterms:created>
  <dcterms:modified xsi:type="dcterms:W3CDTF">2020-08-10T06:32:18Z</dcterms:modified>
</cp:coreProperties>
</file>