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173990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Datadog,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ind w:left="1940"/>
              <w:spacing w:after="0"/>
              <w:rPr>
                <w:sz w:val="20"/>
                <w:szCs w:val="20"/>
                <w:color w:val="auto"/>
              </w:rPr>
            </w:pPr>
            <w:r>
              <w:rPr>
                <w:rFonts w:ascii="Arial" w:cs="Arial" w:eastAsia="Arial" w:hAnsi="Arial"/>
                <w:sz w:val="18"/>
                <w:szCs w:val="18"/>
                <w:b w:val="1"/>
                <w:bCs w:val="1"/>
                <w:color w:val="auto"/>
              </w:rPr>
              <w:t>001-39051</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27-2825503</w:t>
            </w:r>
          </w:p>
        </w:tc>
      </w:tr>
      <w:tr>
        <w:trPr>
          <w:trHeight w:val="149"/>
        </w:trPr>
        <w:tc>
          <w:tcPr>
            <w:tcW w:w="26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ind w:left="192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620 8th Avenue, 45th Floor</w:t>
            </w: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2"/>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3"/>
              </w:rPr>
              <w:t>New York, New York</w:t>
            </w:r>
          </w:p>
        </w:tc>
        <w:tc>
          <w:tcPr>
            <w:tcW w:w="4820" w:type="dxa"/>
            <w:vAlign w:val="bottom"/>
          </w:tcPr>
          <w:p>
            <w:pPr>
              <w:spacing w:after="0"/>
              <w:rPr>
                <w:sz w:val="18"/>
                <w:szCs w:val="18"/>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(866) 329-4466</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13"/>
        </w:trPr>
        <w:tc>
          <w:tcPr>
            <w:tcW w:w="266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161925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60" w:firstLine="4"/>
        <w:spacing w:after="0" w:line="417"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DDOG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Early Lock-Up Release Dates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initial public offering of Class A common stock (the “IPO”) of Datadog, Inc. (the “Company”), each of the Company’s directors, executive officers and holders of substantially all of the Company’s outstanding equity securities as of the IPO entered into lock-up agreements with the underwriters for the IPO that restrict their ability to sell or transfer the Company’s shares through March 16, 2020, subject to certain exceptions.</w:t>
      </w:r>
    </w:p>
    <w:p>
      <w:pPr>
        <w:spacing w:after="0" w:line="14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lock-up agreements provide that, if at any time beginning 90 days after September 18, 2019 (the “Early Expiration Threshold Date”), (1) the Company has filed at least one quarterly report on Form 10-Q or annual report on Form 10-K and (2) the last reported closing price of the Company’s Class A common stock is at least 33% greater than the IPO public offering price for 10 out of any 15 consecutive trading days, including on the 15</w:t>
      </w:r>
      <w:r>
        <w:rPr>
          <w:rFonts w:ascii="Arial" w:cs="Arial" w:eastAsia="Arial" w:hAnsi="Arial"/>
          <w:sz w:val="13"/>
          <w:szCs w:val="13"/>
          <w:color w:val="auto"/>
        </w:rPr>
        <w:t>th</w:t>
      </w:r>
      <w:r>
        <w:rPr>
          <w:rFonts w:ascii="Arial" w:cs="Arial" w:eastAsia="Arial" w:hAnsi="Arial"/>
          <w:sz w:val="16"/>
          <w:szCs w:val="16"/>
          <w:color w:val="auto"/>
        </w:rPr>
        <w:t xml:space="preserve"> consecutive trading day, ending on or after the 90th day after September 18, 2019 (the “Price Condition”), 20% of the shares subject to the lock-up agreements will be released from the lock-up and eligible for sale in the public market, provided that two business days’ notice of such release is reported on a Current Report on Form 8-K (the “Notice Condition”). The 90th day after September 18, 2019 is December 17, 2019, which day will be during a Company trading black-out period. The lock-up agreements provide that in such event, the earliest Early Expiration Threshold Date would instead be the sixth trading day immediately preceding the commencement of such trading black-out period, which day is December 6, 2019.</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6, 2019, the Price Condition was satisfied, and as a result, 20% of the shares subject to the lock-up agreements will become eligible for sale in the public market at the open of trading on December 10, 2019 (subject to trading limitations on shares held by affiliates of the Company, continued vesting of any unvested equity awards as of such date, and the Company’s insider trading policies). This Form 8-K is intended to satisfy the Notice Condition.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lock-up restrictions with respect to all remaining shares are scheduled to expire at the end of the day on March 16, 2020; however, because the Company expects to be in its standard trading black-out period on that date, all remaining shares are expected to be released from the lock-up and eligible for immediate sale in the public market at the open of trading on March 9, 2020 (subject to trading limitations on shares held by affiliates of the Company, continued vesting of any unvested equity awards as of such date, and the Company’s insider trading policies).</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Datadog,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2019</w:t>
      </w:r>
    </w:p>
    <w:p>
      <w:pPr>
        <w:spacing w:after="0" w:line="117"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Obstler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2019-12-06T16:28:45Z</dcterms:created>
  <dcterms:modified xsi:type="dcterms:W3CDTF">2019-12-06T16:28:45Z</dcterms:modified>
</cp:coreProperties>
</file>