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4"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-182880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48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80"/>
              <w:spacing w:after="0" w:line="127"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6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00" w:type="dxa"/>
            <w:vAlign w:val="bottom"/>
            <w:vMerge w:val="restart"/>
          </w:tcPr>
          <w:p>
            <w:pPr>
              <w:jc w:val="center"/>
              <w:ind w:right="4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-595630</wp:posOffset>
            </wp:positionV>
            <wp:extent cx="56515" cy="608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944689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580"/>
            <w:col w:w="8600"/>
          </w:cols>
          <w:pgMar w:left="240" w:top="218" w:right="13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5"/>
            <w:vMerge w:val="restart"/>
          </w:tcPr>
          <w:p>
            <w:pPr>
              <w:spacing w:after="0"/>
              <w:rPr>
                <w:rFonts w:ascii="Arial" w:cs="Arial" w:eastAsia="Arial" w:hAnsi="Arial"/>
                <w:sz w:val="20"/>
                <w:szCs w:val="20"/>
                <w:color w:val="0000EE"/>
                <w:w w:val="91"/>
              </w:rPr>
            </w:pPr>
            <w:hyperlink r:id="rId12">
              <w:r>
                <w:rPr>
                  <w:rFonts w:ascii="Arial" w:cs="Arial" w:eastAsia="Arial" w:hAnsi="Arial"/>
                  <w:sz w:val="20"/>
                  <w:szCs w:val="20"/>
                  <w:color w:val="0000EE"/>
                  <w:w w:val="91"/>
                </w:rPr>
                <w:t>ICONIQ STRATEGIC PARTNERS II, L.P.</w:t>
              </w:r>
            </w:hyperlink>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5"/>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Datadog,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DDOG</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X</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auto"/>
              </w:rPr>
              <w:t>10% Owner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tcBorders>
              <w:bottom w:val="single" w:sz="8" w:color="0000EE"/>
            </w:tcBorders>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color w:val="auto"/>
              </w:rPr>
              <w:t>Officer (give title</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gridSpan w:val="5"/>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6"/>
                <w:szCs w:val="6"/>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2"/>
            <w:vMerge w:val="restart"/>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gridSpan w:val="3"/>
            <w:vMerge w:val="restart"/>
          </w:tcPr>
          <w:p>
            <w:pPr>
              <w:spacing w:after="0"/>
              <w:rPr>
                <w:sz w:val="20"/>
                <w:szCs w:val="20"/>
                <w:color w:val="auto"/>
              </w:rPr>
            </w:pPr>
            <w:r>
              <w:rPr>
                <w:rFonts w:ascii="Arial" w:cs="Arial" w:eastAsia="Arial" w:hAnsi="Arial"/>
                <w:sz w:val="16"/>
                <w:szCs w:val="16"/>
                <w:color w:val="0000FF"/>
              </w:rPr>
              <w:t>C/O ICONIQ CAPITAL</w:t>
            </w: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4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6"/>
          </w:tcPr>
          <w:p>
            <w:pPr>
              <w:ind w:left="560"/>
              <w:spacing w:after="0"/>
              <w:rPr>
                <w:sz w:val="20"/>
                <w:szCs w:val="20"/>
                <w:color w:val="auto"/>
              </w:rPr>
            </w:pPr>
            <w:r>
              <w:rPr>
                <w:rFonts w:ascii="Arial" w:cs="Arial" w:eastAsia="Arial" w:hAnsi="Arial"/>
                <w:sz w:val="16"/>
                <w:szCs w:val="16"/>
                <w:color w:val="0000FF"/>
              </w:rPr>
              <w:t>09/23/2019</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6"/>
                <w:szCs w:val="16"/>
                <w:color w:val="0000FF"/>
              </w:rPr>
              <w:t>394 PACIFIC AVENUE, 2ND FLOOR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spacing w:after="0"/>
              <w:rPr>
                <w:sz w:val="11"/>
                <w:szCs w:val="11"/>
                <w:color w:val="auto"/>
              </w:rPr>
            </w:pPr>
          </w:p>
        </w:tc>
        <w:tc>
          <w:tcPr>
            <w:tcW w:w="2040" w:type="dxa"/>
            <w:vAlign w:val="bottom"/>
            <w:gridSpan w:val="4"/>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840" w:type="dxa"/>
            <w:vAlign w:val="bottom"/>
            <w:gridSpan w:val="7"/>
          </w:tcPr>
          <w:p>
            <w:pPr>
              <w:spacing w:after="0"/>
              <w:rPr>
                <w:sz w:val="11"/>
                <w:szCs w:val="11"/>
                <w:color w:val="auto"/>
              </w:rPr>
            </w:pP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40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2840" w:type="dxa"/>
            <w:vAlign w:val="bottom"/>
            <w:tcBorders>
              <w:bottom w:val="single" w:sz="8" w:color="2C2C2C"/>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1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0000FF"/>
              </w:rPr>
              <w:t>SAN</w:t>
            </w:r>
          </w:p>
        </w:tc>
        <w:tc>
          <w:tcPr>
            <w:tcW w:w="700" w:type="dxa"/>
            <w:vAlign w:val="bottom"/>
          </w:tcPr>
          <w:p>
            <w:pPr>
              <w:spacing w:after="0"/>
              <w:rPr>
                <w:sz w:val="17"/>
                <w:szCs w:val="17"/>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0000FF"/>
              </w:rPr>
              <w:t>CA</w:t>
            </w:r>
          </w:p>
        </w:tc>
        <w:tc>
          <w:tcPr>
            <w:tcW w:w="1000" w:type="dxa"/>
            <w:vAlign w:val="bottom"/>
            <w:vMerge w:val="restart"/>
          </w:tcPr>
          <w:p>
            <w:pPr>
              <w:ind w:left="200"/>
              <w:spacing w:after="0"/>
              <w:rPr>
                <w:sz w:val="20"/>
                <w:szCs w:val="20"/>
                <w:color w:val="auto"/>
              </w:rPr>
            </w:pPr>
            <w:r>
              <w:rPr>
                <w:rFonts w:ascii="Arial" w:cs="Arial" w:eastAsia="Arial" w:hAnsi="Arial"/>
                <w:sz w:val="16"/>
                <w:szCs w:val="16"/>
                <w:color w:val="0000FF"/>
              </w:rPr>
              <w:t>94111</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gridSpan w:val="5"/>
          </w:tcPr>
          <w:p>
            <w:pPr>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FRANCISCO</w:t>
            </w:r>
          </w:p>
        </w:tc>
        <w:tc>
          <w:tcPr>
            <w:tcW w:w="11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540" w:type="dxa"/>
            <w:vAlign w:val="bottom"/>
            <w:gridSpan w:val="1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ind w:left="2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5"/>
          </w:tcPr>
          <w:p>
            <w:pPr>
              <w:ind w:left="1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6"/>
          </w:tcPr>
          <w:p>
            <w:pPr>
              <w:ind w:left="10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5"/>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6"/>
              </w:rPr>
              <w:t>(Instr. 4)</w:t>
            </w:r>
          </w:p>
        </w:tc>
        <w:tc>
          <w:tcPr>
            <w:tcW w:w="540" w:type="dxa"/>
            <w:vAlign w:val="bottom"/>
          </w:tcPr>
          <w:p>
            <w:pPr>
              <w:spacing w:after="0"/>
              <w:rPr>
                <w:sz w:val="10"/>
                <w:szCs w:val="10"/>
                <w:color w:val="auto"/>
              </w:rPr>
            </w:pP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w w:val="97"/>
              </w:rPr>
              <w:t>Transaction(s)</w:t>
            </w: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60" w:type="dxa"/>
            <w:vAlign w:val="bottom"/>
          </w:tcPr>
          <w:p>
            <w:pPr>
              <w:jc w:val="right"/>
              <w:ind w:right="20"/>
              <w:spacing w:after="0" w:line="123"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8"/>
              </w:rPr>
              <w:t>(Instr. 3 and 4)</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4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5"/>
          </w:tcPr>
          <w:p>
            <w:pPr>
              <w:ind w:left="200"/>
              <w:spacing w:after="0"/>
              <w:rPr>
                <w:sz w:val="20"/>
                <w:szCs w:val="20"/>
                <w:color w:val="auto"/>
              </w:rPr>
            </w:pPr>
            <w:r>
              <w:rPr>
                <w:rFonts w:ascii="Arial" w:cs="Arial" w:eastAsia="Arial" w:hAnsi="Arial"/>
                <w:sz w:val="16"/>
                <w:szCs w:val="16"/>
                <w:color w:val="0000FF"/>
              </w:rPr>
              <w:t>09/23/2019</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8"/>
              <w:spacing w:after="0"/>
              <w:rPr>
                <w:sz w:val="20"/>
                <w:szCs w:val="20"/>
                <w:color w:val="auto"/>
              </w:rPr>
            </w:pPr>
            <w:r>
              <w:rPr>
                <w:rFonts w:ascii="Arial" w:cs="Arial" w:eastAsia="Arial" w:hAnsi="Arial"/>
                <w:sz w:val="24"/>
                <w:szCs w:val="24"/>
                <w:color w:val="0000FF"/>
                <w:w w:val="84"/>
                <w:vertAlign w:val="subscript"/>
              </w:rPr>
              <w:t>P</w:t>
            </w:r>
            <w:r>
              <w:rPr>
                <w:rFonts w:ascii="Arial" w:cs="Arial" w:eastAsia="Arial" w:hAnsi="Arial"/>
                <w:sz w:val="10"/>
                <w:szCs w:val="10"/>
                <w:color w:val="008000"/>
                <w:w w:val="84"/>
              </w:rPr>
              <w:t>(13)</w:t>
            </w:r>
          </w:p>
        </w:tc>
        <w:tc>
          <w:tcPr>
            <w:tcW w:w="740" w:type="dxa"/>
            <w:vAlign w:val="bottom"/>
            <w:tcBorders>
              <w:bottom w:val="single" w:sz="8" w:color="2C2C2C"/>
            </w:tcBorders>
          </w:tcPr>
          <w:p>
            <w:pPr>
              <w:jc w:val="center"/>
              <w:ind w:left="161"/>
              <w:spacing w:after="0"/>
              <w:rPr>
                <w:sz w:val="20"/>
                <w:szCs w:val="20"/>
                <w:color w:val="auto"/>
              </w:rPr>
            </w:pPr>
            <w:r>
              <w:rPr>
                <w:rFonts w:ascii="Arial" w:cs="Arial" w:eastAsia="Arial" w:hAnsi="Arial"/>
                <w:sz w:val="16"/>
                <w:szCs w:val="16"/>
                <w:color w:val="0000FF"/>
                <w:w w:val="89"/>
              </w:rPr>
              <w:t>199,500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0"/>
              <w:spacing w:after="0"/>
              <w:rPr>
                <w:sz w:val="20"/>
                <w:szCs w:val="20"/>
                <w:color w:val="auto"/>
              </w:rPr>
            </w:pPr>
            <w:r>
              <w:rPr>
                <w:rFonts w:ascii="Arial" w:cs="Arial" w:eastAsia="Arial" w:hAnsi="Arial"/>
                <w:sz w:val="16"/>
                <w:szCs w:val="16"/>
                <w:color w:val="0000FF"/>
              </w:rPr>
              <w:t>A</w:t>
            </w:r>
          </w:p>
        </w:tc>
        <w:tc>
          <w:tcPr>
            <w:tcW w:w="740" w:type="dxa"/>
            <w:vAlign w:val="bottom"/>
            <w:tcBorders>
              <w:bottom w:val="single" w:sz="8" w:color="2C2C2C"/>
            </w:tcBorders>
            <w:gridSpan w:val="2"/>
          </w:tcPr>
          <w:p>
            <w:pPr>
              <w:jc w:val="center"/>
              <w:ind w:left="2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62"/>
              <w:spacing w:after="0"/>
              <w:rPr>
                <w:sz w:val="20"/>
                <w:szCs w:val="20"/>
                <w:color w:val="auto"/>
              </w:rPr>
            </w:pPr>
            <w:r>
              <w:rPr>
                <w:rFonts w:ascii="Arial" w:cs="Arial" w:eastAsia="Arial" w:hAnsi="Arial"/>
                <w:sz w:val="16"/>
                <w:szCs w:val="16"/>
                <w:color w:val="0000FF"/>
                <w:w w:val="89"/>
              </w:rPr>
              <w:t>199,500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40"/>
              <w:spacing w:after="0" w:line="293"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(6)(3)(4)</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4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5"/>
          </w:tcPr>
          <w:p>
            <w:pPr>
              <w:ind w:left="200"/>
              <w:spacing w:after="0"/>
              <w:rPr>
                <w:sz w:val="20"/>
                <w:szCs w:val="20"/>
                <w:color w:val="auto"/>
              </w:rPr>
            </w:pPr>
            <w:r>
              <w:rPr>
                <w:rFonts w:ascii="Arial" w:cs="Arial" w:eastAsia="Arial" w:hAnsi="Arial"/>
                <w:sz w:val="16"/>
                <w:szCs w:val="16"/>
                <w:color w:val="0000FF"/>
              </w:rPr>
              <w:t>09/23/2019</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8"/>
              <w:spacing w:after="0"/>
              <w:rPr>
                <w:sz w:val="20"/>
                <w:szCs w:val="20"/>
                <w:color w:val="auto"/>
              </w:rPr>
            </w:pPr>
            <w:r>
              <w:rPr>
                <w:rFonts w:ascii="Arial" w:cs="Arial" w:eastAsia="Arial" w:hAnsi="Arial"/>
                <w:sz w:val="24"/>
                <w:szCs w:val="24"/>
                <w:color w:val="0000FF"/>
                <w:w w:val="84"/>
                <w:vertAlign w:val="subscript"/>
              </w:rPr>
              <w:t>P</w:t>
            </w:r>
            <w:r>
              <w:rPr>
                <w:rFonts w:ascii="Arial" w:cs="Arial" w:eastAsia="Arial" w:hAnsi="Arial"/>
                <w:sz w:val="10"/>
                <w:szCs w:val="10"/>
                <w:color w:val="008000"/>
                <w:w w:val="84"/>
              </w:rPr>
              <w:t>(13)</w:t>
            </w:r>
          </w:p>
        </w:tc>
        <w:tc>
          <w:tcPr>
            <w:tcW w:w="740" w:type="dxa"/>
            <w:vAlign w:val="bottom"/>
            <w:tcBorders>
              <w:bottom w:val="single" w:sz="8" w:color="2C2C2C"/>
            </w:tcBorders>
          </w:tcPr>
          <w:p>
            <w:pPr>
              <w:jc w:val="center"/>
              <w:ind w:left="161"/>
              <w:spacing w:after="0"/>
              <w:rPr>
                <w:sz w:val="20"/>
                <w:szCs w:val="20"/>
                <w:color w:val="auto"/>
              </w:rPr>
            </w:pPr>
            <w:r>
              <w:rPr>
                <w:rFonts w:ascii="Arial" w:cs="Arial" w:eastAsia="Arial" w:hAnsi="Arial"/>
                <w:sz w:val="16"/>
                <w:szCs w:val="16"/>
                <w:color w:val="0000FF"/>
                <w:w w:val="89"/>
              </w:rPr>
              <w:t>325,500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0"/>
              <w:spacing w:after="0"/>
              <w:rPr>
                <w:sz w:val="20"/>
                <w:szCs w:val="20"/>
                <w:color w:val="auto"/>
              </w:rPr>
            </w:pPr>
            <w:r>
              <w:rPr>
                <w:rFonts w:ascii="Arial" w:cs="Arial" w:eastAsia="Arial" w:hAnsi="Arial"/>
                <w:sz w:val="16"/>
                <w:szCs w:val="16"/>
                <w:color w:val="0000FF"/>
              </w:rPr>
              <w:t>A</w:t>
            </w:r>
          </w:p>
        </w:tc>
        <w:tc>
          <w:tcPr>
            <w:tcW w:w="740" w:type="dxa"/>
            <w:vAlign w:val="bottom"/>
            <w:tcBorders>
              <w:bottom w:val="single" w:sz="8" w:color="2C2C2C"/>
            </w:tcBorders>
            <w:gridSpan w:val="2"/>
          </w:tcPr>
          <w:p>
            <w:pPr>
              <w:jc w:val="center"/>
              <w:ind w:left="2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62"/>
              <w:spacing w:after="0"/>
              <w:rPr>
                <w:sz w:val="20"/>
                <w:szCs w:val="20"/>
                <w:color w:val="auto"/>
              </w:rPr>
            </w:pPr>
            <w:r>
              <w:rPr>
                <w:rFonts w:ascii="Arial" w:cs="Arial" w:eastAsia="Arial" w:hAnsi="Arial"/>
                <w:sz w:val="16"/>
                <w:szCs w:val="16"/>
                <w:color w:val="0000FF"/>
                <w:w w:val="89"/>
              </w:rPr>
              <w:t>325,500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40"/>
              <w:spacing w:after="0" w:line="293"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(7)(3)(4)</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5"/>
          </w:tcPr>
          <w:p>
            <w:pPr>
              <w:ind w:left="200"/>
              <w:spacing w:after="0"/>
              <w:rPr>
                <w:sz w:val="20"/>
                <w:szCs w:val="20"/>
                <w:color w:val="auto"/>
              </w:rPr>
            </w:pPr>
            <w:r>
              <w:rPr>
                <w:rFonts w:ascii="Arial" w:cs="Arial" w:eastAsia="Arial" w:hAnsi="Arial"/>
                <w:sz w:val="16"/>
                <w:szCs w:val="16"/>
                <w:color w:val="0000FF"/>
              </w:rPr>
              <w:t>09/23/2019</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8"/>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(1)</w:t>
            </w:r>
          </w:p>
        </w:tc>
        <w:tc>
          <w:tcPr>
            <w:tcW w:w="740" w:type="dxa"/>
            <w:vAlign w:val="bottom"/>
            <w:tcBorders>
              <w:bottom w:val="single" w:sz="8" w:color="2C2C2C"/>
            </w:tcBorders>
          </w:tcPr>
          <w:p>
            <w:pPr>
              <w:jc w:val="center"/>
              <w:ind w:left="161"/>
              <w:spacing w:after="0"/>
              <w:rPr>
                <w:sz w:val="20"/>
                <w:szCs w:val="20"/>
                <w:color w:val="auto"/>
              </w:rPr>
            </w:pPr>
            <w:r>
              <w:rPr>
                <w:rFonts w:ascii="Arial" w:cs="Arial" w:eastAsia="Arial" w:hAnsi="Arial"/>
                <w:sz w:val="16"/>
                <w:szCs w:val="16"/>
                <w:color w:val="0000FF"/>
                <w:w w:val="89"/>
              </w:rPr>
              <w:t>91,461</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2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259"/>
              <w:spacing w:after="0"/>
              <w:rPr>
                <w:sz w:val="20"/>
                <w:szCs w:val="20"/>
                <w:color w:val="auto"/>
              </w:rPr>
            </w:pPr>
            <w:r>
              <w:rPr>
                <w:rFonts w:ascii="Arial" w:cs="Arial" w:eastAsia="Arial" w:hAnsi="Arial"/>
                <w:sz w:val="16"/>
                <w:szCs w:val="16"/>
                <w:color w:val="0000FF"/>
                <w:w w:val="89"/>
              </w:rPr>
              <w:t>0</w:t>
            </w: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40"/>
              <w:spacing w:after="0" w:line="293"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(2)(3)(4)</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5"/>
          </w:tcPr>
          <w:p>
            <w:pPr>
              <w:ind w:left="200"/>
              <w:spacing w:after="0"/>
              <w:rPr>
                <w:sz w:val="20"/>
                <w:szCs w:val="20"/>
                <w:color w:val="auto"/>
              </w:rPr>
            </w:pPr>
            <w:r>
              <w:rPr>
                <w:rFonts w:ascii="Arial" w:cs="Arial" w:eastAsia="Arial" w:hAnsi="Arial"/>
                <w:sz w:val="16"/>
                <w:szCs w:val="16"/>
                <w:color w:val="0000FF"/>
              </w:rPr>
              <w:t>09/23/2019</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8"/>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(1)</w:t>
            </w:r>
          </w:p>
        </w:tc>
        <w:tc>
          <w:tcPr>
            <w:tcW w:w="740" w:type="dxa"/>
            <w:vAlign w:val="bottom"/>
            <w:tcBorders>
              <w:bottom w:val="single" w:sz="8" w:color="2C2C2C"/>
            </w:tcBorders>
          </w:tcPr>
          <w:p>
            <w:pPr>
              <w:jc w:val="center"/>
              <w:ind w:left="161"/>
              <w:spacing w:after="0"/>
              <w:rPr>
                <w:sz w:val="20"/>
                <w:szCs w:val="20"/>
                <w:color w:val="auto"/>
              </w:rPr>
            </w:pPr>
            <w:r>
              <w:rPr>
                <w:rFonts w:ascii="Arial" w:cs="Arial" w:eastAsia="Arial" w:hAnsi="Arial"/>
                <w:sz w:val="16"/>
                <w:szCs w:val="16"/>
                <w:color w:val="0000FF"/>
                <w:w w:val="89"/>
              </w:rPr>
              <w:t>97,725</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2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259"/>
              <w:spacing w:after="0"/>
              <w:rPr>
                <w:sz w:val="20"/>
                <w:szCs w:val="20"/>
                <w:color w:val="auto"/>
              </w:rPr>
            </w:pPr>
            <w:r>
              <w:rPr>
                <w:rFonts w:ascii="Arial" w:cs="Arial" w:eastAsia="Arial" w:hAnsi="Arial"/>
                <w:sz w:val="16"/>
                <w:szCs w:val="16"/>
                <w:color w:val="0000FF"/>
                <w:w w:val="89"/>
              </w:rPr>
              <w:t>0</w:t>
            </w: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40"/>
              <w:spacing w:after="0" w:line="293"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(5)(3)(4)</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5"/>
          </w:tcPr>
          <w:p>
            <w:pPr>
              <w:ind w:left="200"/>
              <w:spacing w:after="0"/>
              <w:rPr>
                <w:sz w:val="20"/>
                <w:szCs w:val="20"/>
                <w:color w:val="auto"/>
              </w:rPr>
            </w:pPr>
            <w:r>
              <w:rPr>
                <w:rFonts w:ascii="Arial" w:cs="Arial" w:eastAsia="Arial" w:hAnsi="Arial"/>
                <w:sz w:val="16"/>
                <w:szCs w:val="16"/>
                <w:color w:val="0000FF"/>
              </w:rPr>
              <w:t>09/23/2019</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8"/>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(1)</w:t>
            </w:r>
          </w:p>
        </w:tc>
        <w:tc>
          <w:tcPr>
            <w:tcW w:w="800" w:type="dxa"/>
            <w:vAlign w:val="bottom"/>
            <w:tcBorders>
              <w:bottom w:val="single" w:sz="8" w:color="2C2C2C"/>
            </w:tcBorders>
            <w:gridSpan w:val="2"/>
          </w:tcPr>
          <w:p>
            <w:pPr>
              <w:jc w:val="center"/>
              <w:ind w:left="101"/>
              <w:spacing w:after="0"/>
              <w:rPr>
                <w:sz w:val="20"/>
                <w:szCs w:val="20"/>
                <w:color w:val="auto"/>
              </w:rPr>
            </w:pPr>
            <w:r>
              <w:rPr>
                <w:rFonts w:ascii="Arial" w:cs="Arial" w:eastAsia="Arial" w:hAnsi="Arial"/>
                <w:sz w:val="16"/>
                <w:szCs w:val="16"/>
                <w:color w:val="0000FF"/>
                <w:w w:val="89"/>
              </w:rPr>
              <w:t>1,890,426</w:t>
            </w:r>
          </w:p>
        </w:tc>
        <w:tc>
          <w:tcPr>
            <w:tcW w:w="560" w:type="dxa"/>
            <w:vAlign w:val="bottom"/>
            <w:tcBorders>
              <w:bottom w:val="single" w:sz="8" w:color="2C2C2C"/>
            </w:tcBorders>
          </w:tcPr>
          <w:p>
            <w:pPr>
              <w:jc w:val="right"/>
              <w:ind w:right="6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2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259"/>
              <w:spacing w:after="0"/>
              <w:rPr>
                <w:sz w:val="20"/>
                <w:szCs w:val="20"/>
                <w:color w:val="auto"/>
              </w:rPr>
            </w:pPr>
            <w:r>
              <w:rPr>
                <w:rFonts w:ascii="Arial" w:cs="Arial" w:eastAsia="Arial" w:hAnsi="Arial"/>
                <w:sz w:val="16"/>
                <w:szCs w:val="16"/>
                <w:color w:val="0000FF"/>
                <w:w w:val="89"/>
              </w:rPr>
              <w:t>0</w:t>
            </w: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40"/>
              <w:spacing w:after="0" w:line="293"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(6)(3)(4)</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5"/>
          </w:tcPr>
          <w:p>
            <w:pPr>
              <w:ind w:left="200"/>
              <w:spacing w:after="0"/>
              <w:rPr>
                <w:sz w:val="20"/>
                <w:szCs w:val="20"/>
                <w:color w:val="auto"/>
              </w:rPr>
            </w:pPr>
            <w:r>
              <w:rPr>
                <w:rFonts w:ascii="Arial" w:cs="Arial" w:eastAsia="Arial" w:hAnsi="Arial"/>
                <w:sz w:val="16"/>
                <w:szCs w:val="16"/>
                <w:color w:val="0000FF"/>
              </w:rPr>
              <w:t>09/23/2019</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8"/>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(1)</w:t>
            </w:r>
          </w:p>
        </w:tc>
        <w:tc>
          <w:tcPr>
            <w:tcW w:w="800" w:type="dxa"/>
            <w:vAlign w:val="bottom"/>
            <w:tcBorders>
              <w:bottom w:val="single" w:sz="8" w:color="2C2C2C"/>
            </w:tcBorders>
            <w:gridSpan w:val="2"/>
          </w:tcPr>
          <w:p>
            <w:pPr>
              <w:jc w:val="center"/>
              <w:ind w:left="101"/>
              <w:spacing w:after="0"/>
              <w:rPr>
                <w:sz w:val="20"/>
                <w:szCs w:val="20"/>
                <w:color w:val="auto"/>
              </w:rPr>
            </w:pPr>
            <w:r>
              <w:rPr>
                <w:rFonts w:ascii="Arial" w:cs="Arial" w:eastAsia="Arial" w:hAnsi="Arial"/>
                <w:sz w:val="16"/>
                <w:szCs w:val="16"/>
                <w:color w:val="0000FF"/>
                <w:w w:val="89"/>
              </w:rPr>
              <w:t>3,084,381</w:t>
            </w:r>
          </w:p>
        </w:tc>
        <w:tc>
          <w:tcPr>
            <w:tcW w:w="560" w:type="dxa"/>
            <w:vAlign w:val="bottom"/>
            <w:tcBorders>
              <w:bottom w:val="single" w:sz="8" w:color="2C2C2C"/>
            </w:tcBorders>
          </w:tcPr>
          <w:p>
            <w:pPr>
              <w:jc w:val="right"/>
              <w:ind w:right="6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2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259"/>
              <w:spacing w:after="0"/>
              <w:rPr>
                <w:sz w:val="20"/>
                <w:szCs w:val="20"/>
                <w:color w:val="auto"/>
              </w:rPr>
            </w:pPr>
            <w:r>
              <w:rPr>
                <w:rFonts w:ascii="Arial" w:cs="Arial" w:eastAsia="Arial" w:hAnsi="Arial"/>
                <w:sz w:val="16"/>
                <w:szCs w:val="16"/>
                <w:color w:val="0000FF"/>
                <w:w w:val="89"/>
              </w:rPr>
              <w:t>0</w:t>
            </w: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40"/>
              <w:spacing w:after="0" w:line="293"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(7)(3)(4)</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820" w:type="dxa"/>
            <w:vAlign w:val="bottom"/>
            <w:tcBorders>
              <w:top w:val="single" w:sz="8" w:color="2C2C2C"/>
            </w:tcBorders>
            <w:gridSpan w:val="18"/>
          </w:tcPr>
          <w:p>
            <w:pPr>
              <w:ind w:left="4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gridSpan w:val="14"/>
          </w:tcPr>
          <w:p>
            <w:pPr>
              <w:ind w:left="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 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Conversion</w:t>
            </w:r>
          </w:p>
        </w:tc>
        <w:tc>
          <w:tcPr>
            <w:tcW w:w="11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Securities Acquired (A)</w:t>
            </w:r>
          </w:p>
        </w:tc>
        <w:tc>
          <w:tcPr>
            <w:tcW w:w="15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jc w:val="center"/>
              <w:ind w:right="2"/>
              <w:spacing w:after="0" w:line="123" w:lineRule="exact"/>
              <w:rPr>
                <w:sz w:val="20"/>
                <w:szCs w:val="20"/>
                <w:color w:val="auto"/>
              </w:rPr>
            </w:pPr>
            <w:r>
              <w:rPr>
                <w:rFonts w:ascii="Arial" w:cs="Arial" w:eastAsia="Arial" w:hAnsi="Arial"/>
                <w:sz w:val="11"/>
                <w:szCs w:val="11"/>
                <w:b w:val="1"/>
                <w:bCs w:val="1"/>
                <w:color w:val="auto"/>
                <w:w w:val="98"/>
              </w:rPr>
              <w:t>Derivative</w:t>
            </w:r>
          </w:p>
        </w:tc>
        <w:tc>
          <w:tcPr>
            <w:tcW w:w="6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or Disposed of (D)</w:t>
            </w:r>
          </w:p>
        </w:tc>
        <w:tc>
          <w:tcPr>
            <w:tcW w:w="15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3 and 4)</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Direct (D)</w:t>
            </w:r>
          </w:p>
        </w:tc>
        <w:tc>
          <w:tcPr>
            <w:tcW w:w="180" w:type="dxa"/>
            <w:vAlign w:val="bottom"/>
          </w:tcPr>
          <w:p>
            <w:pPr>
              <w:spacing w:after="0"/>
              <w:rPr>
                <w:sz w:val="10"/>
                <w:szCs w:val="10"/>
                <w:color w:val="auto"/>
              </w:rPr>
            </w:pP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Security</w:t>
            </w: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Following</w:t>
            </w:r>
          </w:p>
        </w:tc>
        <w:tc>
          <w:tcPr>
            <w:tcW w:w="280" w:type="dxa"/>
            <w:vAlign w:val="bottom"/>
          </w:tcPr>
          <w:p>
            <w:pPr>
              <w:spacing w:after="0"/>
              <w:rPr>
                <w:sz w:val="8"/>
                <w:szCs w:val="8"/>
                <w:color w:val="auto"/>
              </w:rPr>
            </w:pPr>
          </w:p>
        </w:tc>
        <w:tc>
          <w:tcPr>
            <w:tcW w:w="72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(I) (Instr. 4)</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1020" w:type="dxa"/>
            <w:vAlign w:val="bottom"/>
            <w:gridSpan w:val="2"/>
          </w:tcPr>
          <w:p>
            <w:pPr>
              <w:ind w:left="4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w w:val="92"/>
              </w:rPr>
              <w:t>(Instr. 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Seed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80"/>
              <w:spacing w:after="0" w:line="27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0"/>
                <w:szCs w:val="10"/>
                <w:color w:val="auto"/>
              </w:rPr>
            </w:pPr>
          </w:p>
        </w:tc>
        <w:tc>
          <w:tcPr>
            <w:tcW w:w="1020" w:type="dxa"/>
            <w:vAlign w:val="bottom"/>
            <w:gridSpan w:val="2"/>
            <w:vMerge w:val="restart"/>
          </w:tcPr>
          <w:p>
            <w:pPr>
              <w:jc w:val="center"/>
              <w:ind w:left="321"/>
              <w:spacing w:after="0"/>
              <w:rPr>
                <w:sz w:val="20"/>
                <w:szCs w:val="20"/>
                <w:color w:val="auto"/>
              </w:rPr>
            </w:pPr>
            <w:r>
              <w:rPr>
                <w:rFonts w:ascii="Arial" w:cs="Arial" w:eastAsia="Arial" w:hAnsi="Arial"/>
                <w:sz w:val="12"/>
                <w:szCs w:val="12"/>
                <w:color w:val="0000FF"/>
                <w:w w:val="92"/>
              </w:rPr>
              <w:t>150,852</w:t>
            </w: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150,852</w:t>
            </w:r>
          </w:p>
        </w:tc>
        <w:tc>
          <w:tcPr>
            <w:tcW w:w="6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vMerge w:val="restart"/>
          </w:tcPr>
          <w:p>
            <w:pPr>
              <w:ind w:left="60"/>
              <w:spacing w:after="0" w:line="270"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(10)(3)(4)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gridSpan w:val="2"/>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Seed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80"/>
              <w:spacing w:after="0" w:line="27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0"/>
                <w:szCs w:val="10"/>
                <w:color w:val="auto"/>
              </w:rPr>
            </w:pPr>
          </w:p>
        </w:tc>
        <w:tc>
          <w:tcPr>
            <w:tcW w:w="1020" w:type="dxa"/>
            <w:vAlign w:val="bottom"/>
            <w:gridSpan w:val="2"/>
            <w:vMerge w:val="restart"/>
          </w:tcPr>
          <w:p>
            <w:pPr>
              <w:jc w:val="center"/>
              <w:ind w:left="321"/>
              <w:spacing w:after="0"/>
              <w:rPr>
                <w:sz w:val="20"/>
                <w:szCs w:val="20"/>
                <w:color w:val="auto"/>
              </w:rPr>
            </w:pPr>
            <w:r>
              <w:rPr>
                <w:rFonts w:ascii="Arial" w:cs="Arial" w:eastAsia="Arial" w:hAnsi="Arial"/>
                <w:sz w:val="12"/>
                <w:szCs w:val="12"/>
                <w:color w:val="0000FF"/>
                <w:w w:val="92"/>
              </w:rPr>
              <w:t>118,092</w:t>
            </w: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2"/>
            <w:vMerge w:val="restart"/>
          </w:tcPr>
          <w:p>
            <w:pPr>
              <w:jc w:val="center"/>
              <w:ind w:left="45"/>
              <w:spacing w:after="0"/>
              <w:rPr>
                <w:sz w:val="20"/>
                <w:szCs w:val="20"/>
                <w:color w:val="auto"/>
              </w:rPr>
            </w:pPr>
            <w:r>
              <w:rPr>
                <w:rFonts w:ascii="Arial" w:cs="Arial" w:eastAsia="Arial" w:hAnsi="Arial"/>
                <w:sz w:val="16"/>
                <w:szCs w:val="16"/>
                <w:color w:val="0000FF"/>
                <w:w w:val="86"/>
              </w:rPr>
              <w:t>118,092</w:t>
            </w:r>
          </w:p>
        </w:tc>
        <w:tc>
          <w:tcPr>
            <w:tcW w:w="6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vMerge w:val="restart"/>
          </w:tcPr>
          <w:p>
            <w:pPr>
              <w:ind w:left="60"/>
              <w:spacing w:after="0" w:line="270"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(11)(3)(4)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gridSpan w:val="2"/>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Seed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80"/>
              <w:spacing w:after="0" w:line="27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0"/>
                <w:szCs w:val="10"/>
                <w:color w:val="auto"/>
              </w:rPr>
            </w:pPr>
          </w:p>
        </w:tc>
        <w:tc>
          <w:tcPr>
            <w:tcW w:w="1020" w:type="dxa"/>
            <w:vAlign w:val="bottom"/>
            <w:gridSpan w:val="2"/>
            <w:vMerge w:val="restart"/>
          </w:tcPr>
          <w:p>
            <w:pPr>
              <w:jc w:val="center"/>
              <w:ind w:left="321"/>
              <w:spacing w:after="0"/>
              <w:rPr>
                <w:sz w:val="20"/>
                <w:szCs w:val="20"/>
                <w:color w:val="auto"/>
              </w:rPr>
            </w:pPr>
            <w:r>
              <w:rPr>
                <w:rFonts w:ascii="Arial" w:cs="Arial" w:eastAsia="Arial" w:hAnsi="Arial"/>
                <w:sz w:val="12"/>
                <w:szCs w:val="12"/>
                <w:color w:val="0000FF"/>
                <w:w w:val="92"/>
              </w:rPr>
              <w:t>317,388</w:t>
            </w: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317,388</w:t>
            </w:r>
          </w:p>
        </w:tc>
        <w:tc>
          <w:tcPr>
            <w:tcW w:w="6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ind w:left="80"/>
              <w:spacing w:after="0" w:line="270" w:lineRule="exact"/>
              <w:rPr>
                <w:sz w:val="20"/>
                <w:szCs w:val="20"/>
                <w:color w:val="auto"/>
              </w:rPr>
            </w:pPr>
            <w:r>
              <w:rPr>
                <w:rFonts w:ascii="Arial" w:cs="Arial" w:eastAsia="Arial" w:hAnsi="Arial"/>
                <w:sz w:val="24"/>
                <w:szCs w:val="24"/>
                <w:color w:val="0000FF"/>
                <w:w w:val="91"/>
                <w:vertAlign w:val="subscript"/>
              </w:rPr>
              <w:t>D</w:t>
            </w:r>
            <w:r>
              <w:rPr>
                <w:rFonts w:ascii="Arial" w:cs="Arial" w:eastAsia="Arial" w:hAnsi="Arial"/>
                <w:sz w:val="10"/>
                <w:szCs w:val="10"/>
                <w:color w:val="008000"/>
                <w:w w:val="91"/>
              </w:rPr>
              <w:t>(2)(3)(4)</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gridSpan w:val="2"/>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Seed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80"/>
              <w:spacing w:after="0" w:line="27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0"/>
                <w:szCs w:val="10"/>
                <w:color w:val="auto"/>
              </w:rPr>
            </w:pPr>
          </w:p>
        </w:tc>
        <w:tc>
          <w:tcPr>
            <w:tcW w:w="1020" w:type="dxa"/>
            <w:vAlign w:val="bottom"/>
            <w:gridSpan w:val="2"/>
            <w:vMerge w:val="restart"/>
          </w:tcPr>
          <w:p>
            <w:pPr>
              <w:jc w:val="center"/>
              <w:ind w:left="321"/>
              <w:spacing w:after="0"/>
              <w:rPr>
                <w:sz w:val="20"/>
                <w:szCs w:val="20"/>
                <w:color w:val="auto"/>
              </w:rPr>
            </w:pPr>
            <w:r>
              <w:rPr>
                <w:rFonts w:ascii="Arial" w:cs="Arial" w:eastAsia="Arial" w:hAnsi="Arial"/>
                <w:sz w:val="12"/>
                <w:szCs w:val="12"/>
                <w:color w:val="0000FF"/>
                <w:w w:val="92"/>
              </w:rPr>
              <w:t>339,132</w:t>
            </w: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339,132</w:t>
            </w:r>
          </w:p>
        </w:tc>
        <w:tc>
          <w:tcPr>
            <w:tcW w:w="6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ind w:left="80"/>
              <w:spacing w:after="0" w:line="270" w:lineRule="exact"/>
              <w:rPr>
                <w:sz w:val="20"/>
                <w:szCs w:val="20"/>
                <w:color w:val="auto"/>
              </w:rPr>
            </w:pPr>
            <w:r>
              <w:rPr>
                <w:rFonts w:ascii="Arial" w:cs="Arial" w:eastAsia="Arial" w:hAnsi="Arial"/>
                <w:sz w:val="24"/>
                <w:szCs w:val="24"/>
                <w:color w:val="0000FF"/>
                <w:w w:val="91"/>
                <w:vertAlign w:val="subscript"/>
              </w:rPr>
              <w:t>D</w:t>
            </w:r>
            <w:r>
              <w:rPr>
                <w:rFonts w:ascii="Arial" w:cs="Arial" w:eastAsia="Arial" w:hAnsi="Arial"/>
                <w:sz w:val="10"/>
                <w:szCs w:val="10"/>
                <w:color w:val="008000"/>
                <w:w w:val="91"/>
              </w:rPr>
              <w:t>(5)(3)(4)</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gridSpan w:val="2"/>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67,032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(10)(3)(4)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92"/>
              </w:rPr>
              <w:t>67,032</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52,464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(11)(3)(4)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92"/>
              </w:rPr>
              <w:t>52,464</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71,688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(10)(3)(4)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92"/>
              </w:rPr>
              <w:t>71,688</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740" w:type="dxa"/>
            <w:vAlign w:val="bottom"/>
            <w:gridSpan w:val="2"/>
            <w:vMerge w:val="restart"/>
          </w:tcPr>
          <w:p>
            <w:pPr>
              <w:jc w:val="center"/>
              <w:ind w:left="45"/>
              <w:spacing w:after="0"/>
              <w:rPr>
                <w:sz w:val="20"/>
                <w:szCs w:val="20"/>
                <w:color w:val="auto"/>
              </w:rPr>
            </w:pPr>
            <w:r>
              <w:rPr>
                <w:rFonts w:ascii="Arial" w:cs="Arial" w:eastAsia="Arial" w:hAnsi="Arial"/>
                <w:sz w:val="16"/>
                <w:szCs w:val="16"/>
                <w:color w:val="0000FF"/>
                <w:w w:val="85"/>
              </w:rPr>
              <w:t>56,112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(11)(3)(4)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92"/>
              </w:rPr>
              <w:t>56,112</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8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11,043,852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(10)(3)(4)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89"/>
              </w:rPr>
              <w:t>11,043,852</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800" w:type="dxa"/>
            <w:vAlign w:val="bottom"/>
            <w:gridSpan w:val="3"/>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800" w:type="dxa"/>
            <w:vAlign w:val="bottom"/>
            <w:gridSpan w:val="3"/>
            <w:vMerge w:val="restart"/>
          </w:tcPr>
          <w:p>
            <w:pPr>
              <w:jc w:val="center"/>
              <w:ind w:left="5"/>
              <w:spacing w:after="0"/>
              <w:rPr>
                <w:sz w:val="20"/>
                <w:szCs w:val="20"/>
                <w:color w:val="auto"/>
              </w:rPr>
            </w:pPr>
            <w:r>
              <w:rPr>
                <w:rFonts w:ascii="Arial" w:cs="Arial" w:eastAsia="Arial" w:hAnsi="Arial"/>
                <w:sz w:val="16"/>
                <w:szCs w:val="16"/>
                <w:color w:val="0000FF"/>
                <w:w w:val="89"/>
              </w:rPr>
              <w:t>8,645,100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(11)(3)(4)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93"/>
              </w:rPr>
              <w:t>8,645,100</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800" w:type="dxa"/>
            <w:vAlign w:val="bottom"/>
            <w:gridSpan w:val="3"/>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(9)</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(9)</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(9)</w:t>
            </w:r>
          </w:p>
        </w:tc>
        <w:tc>
          <w:tcPr>
            <w:tcW w:w="60" w:type="dxa"/>
            <w:vAlign w:val="bottom"/>
          </w:tcPr>
          <w:p>
            <w:pPr>
              <w:spacing w:after="0"/>
              <w:rPr>
                <w:sz w:val="15"/>
                <w:szCs w:val="15"/>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2"/>
                <w:szCs w:val="12"/>
                <w:color w:val="0000FF"/>
                <w:w w:val="84"/>
              </w:rPr>
              <w:t>See</w:t>
            </w:r>
          </w:p>
        </w:tc>
        <w:tc>
          <w:tcPr>
            <w:tcW w:w="800" w:type="dxa"/>
            <w:vAlign w:val="bottom"/>
            <w:gridSpan w:val="3"/>
            <w:vMerge w:val="restart"/>
          </w:tcPr>
          <w:p>
            <w:pPr>
              <w:jc w:val="center"/>
              <w:ind w:left="5"/>
              <w:spacing w:after="0"/>
              <w:rPr>
                <w:sz w:val="20"/>
                <w:szCs w:val="20"/>
                <w:color w:val="auto"/>
              </w:rPr>
            </w:pPr>
            <w:r>
              <w:rPr>
                <w:rFonts w:ascii="Arial" w:cs="Arial" w:eastAsia="Arial" w:hAnsi="Arial"/>
                <w:sz w:val="16"/>
                <w:szCs w:val="16"/>
                <w:color w:val="0000FF"/>
                <w:w w:val="89"/>
              </w:rPr>
              <w:t>4,120,260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(12)(3)(4)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3"/>
                <w:szCs w:val="3"/>
                <w:color w:val="auto"/>
              </w:rPr>
            </w:pPr>
          </w:p>
        </w:tc>
        <w:tc>
          <w:tcPr>
            <w:tcW w:w="110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gridSpan w:val="2"/>
            <w:vMerge w:val="restart"/>
          </w:tcPr>
          <w:p>
            <w:pPr>
              <w:jc w:val="center"/>
              <w:ind w:left="341"/>
              <w:spacing w:after="0" w:line="120" w:lineRule="exact"/>
              <w:rPr>
                <w:sz w:val="20"/>
                <w:szCs w:val="20"/>
                <w:color w:val="auto"/>
              </w:rPr>
            </w:pPr>
            <w:r>
              <w:rPr>
                <w:rFonts w:ascii="Arial" w:cs="Arial" w:eastAsia="Arial" w:hAnsi="Arial"/>
                <w:sz w:val="12"/>
                <w:szCs w:val="12"/>
                <w:color w:val="0000FF"/>
                <w:w w:val="93"/>
              </w:rPr>
              <w:t>4,120,260</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760" w:type="dxa"/>
            <w:vAlign w:val="bottom"/>
            <w:gridSpan w:val="2"/>
            <w:vMerge w:val="restart"/>
          </w:tcPr>
          <w:p>
            <w:pPr>
              <w:jc w:val="center"/>
              <w:spacing w:after="0" w:line="120"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2"/>
              <w:spacing w:after="0" w:line="120" w:lineRule="exact"/>
              <w:rPr>
                <w:sz w:val="20"/>
                <w:szCs w:val="20"/>
                <w:color w:val="auto"/>
              </w:rPr>
            </w:pPr>
            <w:r>
              <w:rPr>
                <w:rFonts w:ascii="Arial" w:cs="Arial" w:eastAsia="Arial" w:hAnsi="Arial"/>
                <w:sz w:val="12"/>
                <w:szCs w:val="12"/>
                <w:color w:val="0000FF"/>
                <w:w w:val="89"/>
              </w:rPr>
              <w:t>0</w:t>
            </w: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5" w:lineRule="exact"/>
              <w:rPr>
                <w:sz w:val="20"/>
                <w:szCs w:val="20"/>
                <w:color w:val="auto"/>
              </w:rPr>
            </w:pPr>
            <w:r>
              <w:rPr>
                <w:rFonts w:ascii="Arial" w:cs="Arial" w:eastAsia="Arial" w:hAnsi="Arial"/>
                <w:sz w:val="8"/>
                <w:szCs w:val="8"/>
                <w:color w:val="008000"/>
              </w:rPr>
              <w:t>(9)</w:t>
            </w:r>
          </w:p>
        </w:tc>
        <w:tc>
          <w:tcPr>
            <w:tcW w:w="800" w:type="dxa"/>
            <w:vAlign w:val="bottom"/>
            <w:gridSpan w:val="3"/>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color w:val="0000FF"/>
              </w:rPr>
              <w:t>Footnote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700" w:type="dxa"/>
            <w:vAlign w:val="bottom"/>
            <w:vMerge w:val="restart"/>
          </w:tcPr>
          <w:p>
            <w:pPr>
              <w:jc w:val="right"/>
              <w:ind w:right="208"/>
              <w:spacing w:after="0"/>
              <w:rPr>
                <w:sz w:val="20"/>
                <w:szCs w:val="20"/>
                <w:color w:val="auto"/>
              </w:rPr>
            </w:pPr>
            <w:r>
              <w:rPr>
                <w:rFonts w:ascii="Arial" w:cs="Arial" w:eastAsia="Arial" w:hAnsi="Arial"/>
                <w:sz w:val="10"/>
                <w:szCs w:val="10"/>
                <w:color w:val="008000"/>
              </w:rPr>
              <w:t>(8)</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(1)(9)</w:t>
            </w:r>
          </w:p>
        </w:tc>
        <w:tc>
          <w:tcPr>
            <w:tcW w:w="900" w:type="dxa"/>
            <w:vAlign w:val="bottom"/>
            <w:gridSpan w:val="2"/>
            <w:vMerge w:val="restart"/>
          </w:tcPr>
          <w:p>
            <w:pPr>
              <w:ind w:left="100"/>
              <w:spacing w:after="0"/>
              <w:rPr>
                <w:sz w:val="20"/>
                <w:szCs w:val="20"/>
                <w:color w:val="auto"/>
              </w:rPr>
            </w:pPr>
            <w:r>
              <w:rPr>
                <w:rFonts w:ascii="Arial" w:cs="Arial" w:eastAsia="Arial" w:hAnsi="Arial"/>
                <w:sz w:val="12"/>
                <w:szCs w:val="12"/>
                <w:color w:val="0000FF"/>
              </w:rPr>
              <w:t>408,849</w:t>
            </w:r>
            <w:r>
              <w:rPr>
                <w:rFonts w:ascii="Arial" w:cs="Arial" w:eastAsia="Arial" w:hAnsi="Arial"/>
                <w:sz w:val="20"/>
                <w:szCs w:val="20"/>
                <w:color w:val="008000"/>
                <w:vertAlign w:val="superscript"/>
              </w:rPr>
              <w:t>(14)</w:t>
            </w:r>
          </w:p>
        </w:tc>
        <w:tc>
          <w:tcPr>
            <w:tcW w:w="480" w:type="dxa"/>
            <w:vAlign w:val="bottom"/>
          </w:tcPr>
          <w:p>
            <w:pPr>
              <w:spacing w:after="0"/>
              <w:rPr>
                <w:sz w:val="15"/>
                <w:szCs w:val="15"/>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(8)</w:t>
            </w:r>
          </w:p>
        </w:tc>
        <w:tc>
          <w:tcPr>
            <w:tcW w:w="60" w:type="dxa"/>
            <w:vAlign w:val="bottom"/>
          </w:tcPr>
          <w:p>
            <w:pPr>
              <w:spacing w:after="0"/>
              <w:rPr>
                <w:sz w:val="15"/>
                <w:szCs w:val="15"/>
                <w:color w:val="auto"/>
              </w:rPr>
            </w:pPr>
          </w:p>
        </w:tc>
        <w:tc>
          <w:tcPr>
            <w:tcW w:w="560" w:type="dxa"/>
            <w:vAlign w:val="bottom"/>
          </w:tcPr>
          <w:p>
            <w:pPr>
              <w:jc w:val="center"/>
              <w:ind w:right="40"/>
              <w:spacing w:after="0"/>
              <w:rPr>
                <w:sz w:val="20"/>
                <w:szCs w:val="20"/>
                <w:color w:val="auto"/>
              </w:rPr>
            </w:pPr>
            <w:r>
              <w:rPr>
                <w:rFonts w:ascii="Arial" w:cs="Arial" w:eastAsia="Arial" w:hAnsi="Arial"/>
                <w:sz w:val="12"/>
                <w:szCs w:val="12"/>
                <w:color w:val="0000FF"/>
                <w:w w:val="91"/>
              </w:rPr>
              <w:t>Class A</w:t>
            </w:r>
          </w:p>
        </w:tc>
        <w:tc>
          <w:tcPr>
            <w:tcW w:w="74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408,849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Arial" w:cs="Arial" w:eastAsia="Arial" w:hAnsi="Arial"/>
                <w:sz w:val="24"/>
                <w:szCs w:val="24"/>
                <w:color w:val="0000FF"/>
                <w:w w:val="91"/>
                <w:vertAlign w:val="subscript"/>
              </w:rPr>
              <w:t>D</w:t>
            </w:r>
            <w:r>
              <w:rPr>
                <w:rFonts w:ascii="Arial" w:cs="Arial" w:eastAsia="Arial" w:hAnsi="Arial"/>
                <w:sz w:val="10"/>
                <w:szCs w:val="10"/>
                <w:color w:val="008000"/>
                <w:w w:val="91"/>
              </w:rPr>
              <w:t>(2)(3)(4)</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color w:val="0000FF"/>
              </w:rPr>
              <w:t>Preferred</w:t>
            </w:r>
          </w:p>
        </w:tc>
        <w:tc>
          <w:tcPr>
            <w:tcW w:w="70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2"/>
                <w:szCs w:val="12"/>
                <w:color w:val="0000FF"/>
                <w:w w:val="93"/>
              </w:rPr>
              <w:t>09/23/2019</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40"/>
              <w:spacing w:after="0" w:line="135" w:lineRule="exact"/>
              <w:rPr>
                <w:sz w:val="20"/>
                <w:szCs w:val="20"/>
                <w:color w:val="auto"/>
              </w:rPr>
            </w:pPr>
            <w:r>
              <w:rPr>
                <w:rFonts w:ascii="Arial" w:cs="Arial" w:eastAsia="Arial" w:hAnsi="Arial"/>
                <w:sz w:val="12"/>
                <w:szCs w:val="12"/>
                <w:color w:val="0000FF"/>
                <w:w w:val="94"/>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600" w:type="dxa"/>
            <w:vAlign w:val="bottom"/>
            <w:gridSpan w:val="2"/>
          </w:tcPr>
          <w:p>
            <w:pPr>
              <w:jc w:val="center"/>
              <w:ind w:left="142"/>
              <w:spacing w:after="0" w:line="135" w:lineRule="exact"/>
              <w:rPr>
                <w:sz w:val="20"/>
                <w:szCs w:val="20"/>
                <w:color w:val="auto"/>
              </w:rPr>
            </w:pPr>
            <w:r>
              <w:rPr>
                <w:rFonts w:ascii="Arial" w:cs="Arial" w:eastAsia="Arial" w:hAnsi="Arial"/>
                <w:sz w:val="12"/>
                <w:szCs w:val="12"/>
                <w:color w:val="0000FF"/>
                <w:w w:val="92"/>
              </w:rPr>
              <w:t>408,849</w:t>
            </w:r>
          </w:p>
        </w:tc>
        <w:tc>
          <w:tcPr>
            <w:tcW w:w="2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60"/>
              <w:spacing w:after="0"/>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-5466080</wp:posOffset>
            </wp:positionV>
            <wp:extent cx="23495" cy="561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495" cy="5618480"/>
                    </a:xfrm>
                    <a:prstGeom prst="rect">
                      <a:avLst/>
                    </a:prstGeom>
                    <a:noFill/>
                  </pic:spPr>
                </pic:pic>
              </a:graphicData>
            </a:graphic>
          </wp:anchor>
        </w:drawing>
      </w:r>
    </w:p>
    <w:p>
      <w:pPr>
        <w:sectPr>
          <w:pgSz w:w="11900" w:h="16838" w:orient="portrait"/>
          <w:cols w:equalWidth="0" w:num="1">
            <w:col w:w="11520"/>
          </w:cols>
          <w:pgMar w:left="240" w:top="218"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32917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9170" cy="10515600"/>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40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 of Derivative</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4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Securities Acquired (A)</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5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14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or Disposed of (D)</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5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14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3 and 4)</w:t>
            </w:r>
          </w:p>
        </w:tc>
        <w:tc>
          <w:tcPr>
            <w:tcW w:w="88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Security</w:t>
            </w: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Following</w:t>
            </w:r>
          </w:p>
        </w:tc>
        <w:tc>
          <w:tcPr>
            <w:tcW w:w="7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(I) (Instr. 4)</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8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gridSpan w:val="3"/>
          </w:tcPr>
          <w:p>
            <w:pPr>
              <w:ind w:left="100"/>
              <w:spacing w:after="0"/>
              <w:rPr>
                <w:sz w:val="20"/>
                <w:szCs w:val="20"/>
                <w:color w:val="auto"/>
              </w:rPr>
            </w:pPr>
            <w:r>
              <w:rPr>
                <w:rFonts w:ascii="Arial" w:cs="Arial" w:eastAsia="Arial" w:hAnsi="Arial"/>
                <w:sz w:val="11"/>
                <w:szCs w:val="11"/>
                <w:b w:val="1"/>
                <w:bCs w:val="1"/>
                <w:color w:val="auto"/>
              </w:rPr>
              <w:t>(A)</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(1)(9)</w:t>
            </w: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3"/>
              </w:rPr>
              <w:t>436,857</w:t>
            </w:r>
            <w:r>
              <w:rPr>
                <w:rFonts w:ascii="Arial" w:cs="Arial" w:eastAsia="Arial" w:hAnsi="Arial"/>
                <w:sz w:val="20"/>
                <w:szCs w:val="20"/>
                <w:color w:val="008000"/>
                <w:w w:val="83"/>
                <w:vertAlign w:val="superscript"/>
              </w:rPr>
              <w:t>(15)</w:t>
            </w:r>
          </w:p>
        </w:tc>
        <w:tc>
          <w:tcPr>
            <w:tcW w:w="68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436,857</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4"/>
                <w:szCs w:val="24"/>
                <w:color w:val="0000FF"/>
                <w:w w:val="95"/>
                <w:vertAlign w:val="subscript"/>
              </w:rPr>
              <w:t>D</w:t>
            </w:r>
            <w:r>
              <w:rPr>
                <w:rFonts w:ascii="Arial" w:cs="Arial" w:eastAsia="Arial" w:hAnsi="Arial"/>
                <w:sz w:val="10"/>
                <w:szCs w:val="10"/>
                <w:color w:val="008000"/>
                <w:w w:val="95"/>
              </w:rPr>
              <w:t>(5)(3)(4)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11"/>
                <w:szCs w:val="11"/>
                <w:color w:val="auto"/>
              </w:rPr>
            </w:pPr>
          </w:p>
        </w:tc>
        <w:tc>
          <w:tcPr>
            <w:tcW w:w="1040" w:type="dxa"/>
            <w:vAlign w:val="bottom"/>
          </w:tcPr>
          <w:p>
            <w:pPr>
              <w:ind w:left="220"/>
              <w:spacing w:after="0" w:line="135" w:lineRule="exact"/>
              <w:rPr>
                <w:sz w:val="20"/>
                <w:szCs w:val="20"/>
                <w:color w:val="auto"/>
              </w:rPr>
            </w:pPr>
            <w:r>
              <w:rPr>
                <w:rFonts w:ascii="Arial" w:cs="Arial" w:eastAsia="Arial" w:hAnsi="Arial"/>
                <w:sz w:val="12"/>
                <w:szCs w:val="12"/>
                <w:color w:val="0000FF"/>
              </w:rPr>
              <w:t>09/23/2019</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00FF"/>
                <w:w w:val="92"/>
              </w:rPr>
              <w:t>436,857</w:t>
            </w: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1,890,426</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4"/>
                <w:szCs w:val="24"/>
                <w:color w:val="0000FF"/>
                <w:w w:val="95"/>
                <w:vertAlign w:val="subscript"/>
              </w:rPr>
              <w:t>D</w:t>
            </w:r>
            <w:r>
              <w:rPr>
                <w:rFonts w:ascii="Arial" w:cs="Arial" w:eastAsia="Arial" w:hAnsi="Arial"/>
                <w:sz w:val="10"/>
                <w:szCs w:val="10"/>
                <w:color w:val="008000"/>
                <w:w w:val="95"/>
              </w:rPr>
              <w:t>(6)(3)(4)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11"/>
                <w:szCs w:val="11"/>
                <w:color w:val="auto"/>
              </w:rPr>
            </w:pPr>
          </w:p>
        </w:tc>
        <w:tc>
          <w:tcPr>
            <w:tcW w:w="1040" w:type="dxa"/>
            <w:vAlign w:val="bottom"/>
          </w:tcPr>
          <w:p>
            <w:pPr>
              <w:ind w:left="220"/>
              <w:spacing w:after="0" w:line="135" w:lineRule="exact"/>
              <w:rPr>
                <w:sz w:val="20"/>
                <w:szCs w:val="20"/>
                <w:color w:val="auto"/>
              </w:rPr>
            </w:pPr>
            <w:r>
              <w:rPr>
                <w:rFonts w:ascii="Arial" w:cs="Arial" w:eastAsia="Arial" w:hAnsi="Arial"/>
                <w:sz w:val="12"/>
                <w:szCs w:val="12"/>
                <w:color w:val="0000FF"/>
              </w:rPr>
              <w:t>09/23/2019</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color w:val="0000FF"/>
                <w:w w:val="89"/>
              </w:rPr>
              <w:t>1,890,426</w:t>
            </w:r>
          </w:p>
        </w:tc>
        <w:tc>
          <w:tcPr>
            <w:tcW w:w="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00FF"/>
                <w:w w:val="89"/>
              </w:rPr>
              <w:t>1,890,426</w:t>
            </w: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3,084,381</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4"/>
                <w:szCs w:val="24"/>
                <w:color w:val="0000FF"/>
                <w:w w:val="95"/>
                <w:vertAlign w:val="subscript"/>
              </w:rPr>
              <w:t>D</w:t>
            </w:r>
            <w:r>
              <w:rPr>
                <w:rFonts w:ascii="Arial" w:cs="Arial" w:eastAsia="Arial" w:hAnsi="Arial"/>
                <w:sz w:val="10"/>
                <w:szCs w:val="10"/>
                <w:color w:val="008000"/>
                <w:w w:val="95"/>
              </w:rPr>
              <w:t>(7)(3)(4)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11"/>
                <w:szCs w:val="11"/>
                <w:color w:val="auto"/>
              </w:rPr>
            </w:pPr>
          </w:p>
        </w:tc>
        <w:tc>
          <w:tcPr>
            <w:tcW w:w="1040" w:type="dxa"/>
            <w:vAlign w:val="bottom"/>
          </w:tcPr>
          <w:p>
            <w:pPr>
              <w:ind w:left="220"/>
              <w:spacing w:after="0" w:line="135" w:lineRule="exact"/>
              <w:rPr>
                <w:sz w:val="20"/>
                <w:szCs w:val="20"/>
                <w:color w:val="auto"/>
              </w:rPr>
            </w:pPr>
            <w:r>
              <w:rPr>
                <w:rFonts w:ascii="Arial" w:cs="Arial" w:eastAsia="Arial" w:hAnsi="Arial"/>
                <w:sz w:val="12"/>
                <w:szCs w:val="12"/>
                <w:color w:val="0000FF"/>
              </w:rPr>
              <w:t>09/23/2019</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color w:val="0000FF"/>
                <w:w w:val="89"/>
              </w:rPr>
              <w:t>3,084,381</w:t>
            </w:r>
          </w:p>
        </w:tc>
        <w:tc>
          <w:tcPr>
            <w:tcW w:w="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00FF"/>
                <w:w w:val="89"/>
              </w:rPr>
              <w:t>3,084,381</w:t>
            </w: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7"/>
              </w:rPr>
              <w:t>11,333,424</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4"/>
                <w:szCs w:val="24"/>
                <w:color w:val="0000FF"/>
                <w:w w:val="92"/>
                <w:vertAlign w:val="subscript"/>
              </w:rPr>
              <w:t>D</w:t>
            </w:r>
            <w:r>
              <w:rPr>
                <w:rFonts w:ascii="Arial" w:cs="Arial" w:eastAsia="Arial" w:hAnsi="Arial"/>
                <w:sz w:val="10"/>
                <w:szCs w:val="10"/>
                <w:color w:val="008000"/>
                <w:w w:val="92"/>
              </w:rPr>
              <w:t>(10)(3)(4)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11"/>
                <w:szCs w:val="11"/>
                <w:color w:val="auto"/>
              </w:rPr>
            </w:pPr>
          </w:p>
        </w:tc>
        <w:tc>
          <w:tcPr>
            <w:tcW w:w="1040" w:type="dxa"/>
            <w:vAlign w:val="bottom"/>
          </w:tcPr>
          <w:p>
            <w:pPr>
              <w:ind w:left="220"/>
              <w:spacing w:after="0" w:line="135" w:lineRule="exact"/>
              <w:rPr>
                <w:sz w:val="20"/>
                <w:szCs w:val="20"/>
                <w:color w:val="auto"/>
              </w:rPr>
            </w:pPr>
            <w:r>
              <w:rPr>
                <w:rFonts w:ascii="Arial" w:cs="Arial" w:eastAsia="Arial" w:hAnsi="Arial"/>
                <w:sz w:val="12"/>
                <w:szCs w:val="12"/>
                <w:color w:val="0000FF"/>
              </w:rPr>
              <w:t>09/23/2019</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color w:val="0000FF"/>
                <w:w w:val="93"/>
              </w:rPr>
              <w:t>11,333,424</w:t>
            </w:r>
          </w:p>
        </w:tc>
        <w:tc>
          <w:tcPr>
            <w:tcW w:w="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00FF"/>
                <w:w w:val="93"/>
              </w:rPr>
              <w:t>11,333,424</w:t>
            </w: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8,871,768</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4"/>
                <w:szCs w:val="24"/>
                <w:color w:val="0000FF"/>
                <w:w w:val="92"/>
                <w:vertAlign w:val="subscript"/>
              </w:rPr>
              <w:t>D</w:t>
            </w:r>
            <w:r>
              <w:rPr>
                <w:rFonts w:ascii="Arial" w:cs="Arial" w:eastAsia="Arial" w:hAnsi="Arial"/>
                <w:sz w:val="10"/>
                <w:szCs w:val="10"/>
                <w:color w:val="008000"/>
                <w:w w:val="92"/>
              </w:rPr>
              <w:t>(11)(3)(4)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11"/>
                <w:szCs w:val="11"/>
                <w:color w:val="auto"/>
              </w:rPr>
            </w:pPr>
          </w:p>
        </w:tc>
        <w:tc>
          <w:tcPr>
            <w:tcW w:w="1040" w:type="dxa"/>
            <w:vAlign w:val="bottom"/>
          </w:tcPr>
          <w:p>
            <w:pPr>
              <w:ind w:left="220"/>
              <w:spacing w:after="0" w:line="135" w:lineRule="exact"/>
              <w:rPr>
                <w:sz w:val="20"/>
                <w:szCs w:val="20"/>
                <w:color w:val="auto"/>
              </w:rPr>
            </w:pPr>
            <w:r>
              <w:rPr>
                <w:rFonts w:ascii="Arial" w:cs="Arial" w:eastAsia="Arial" w:hAnsi="Arial"/>
                <w:sz w:val="12"/>
                <w:szCs w:val="12"/>
                <w:color w:val="0000FF"/>
              </w:rPr>
              <w:t>09/23/2019</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color w:val="0000FF"/>
                <w:w w:val="89"/>
              </w:rPr>
              <w:t>8,871,768</w:t>
            </w:r>
          </w:p>
        </w:tc>
        <w:tc>
          <w:tcPr>
            <w:tcW w:w="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00FF"/>
                <w:w w:val="89"/>
              </w:rPr>
              <w:t>8,871,768</w:t>
            </w: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4,120,260</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4"/>
                <w:szCs w:val="24"/>
                <w:color w:val="0000FF"/>
                <w:w w:val="92"/>
                <w:vertAlign w:val="subscript"/>
              </w:rPr>
              <w:t>D</w:t>
            </w:r>
            <w:r>
              <w:rPr>
                <w:rFonts w:ascii="Arial" w:cs="Arial" w:eastAsia="Arial" w:hAnsi="Arial"/>
                <w:sz w:val="10"/>
                <w:szCs w:val="10"/>
                <w:color w:val="008000"/>
                <w:w w:val="92"/>
              </w:rPr>
              <w:t>(12)(3)(4)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11"/>
                <w:szCs w:val="11"/>
                <w:color w:val="auto"/>
              </w:rPr>
            </w:pPr>
          </w:p>
        </w:tc>
        <w:tc>
          <w:tcPr>
            <w:tcW w:w="1040" w:type="dxa"/>
            <w:vAlign w:val="bottom"/>
          </w:tcPr>
          <w:p>
            <w:pPr>
              <w:ind w:left="220"/>
              <w:spacing w:after="0" w:line="135" w:lineRule="exact"/>
              <w:rPr>
                <w:sz w:val="20"/>
                <w:szCs w:val="20"/>
                <w:color w:val="auto"/>
              </w:rPr>
            </w:pPr>
            <w:r>
              <w:rPr>
                <w:rFonts w:ascii="Arial" w:cs="Arial" w:eastAsia="Arial" w:hAnsi="Arial"/>
                <w:sz w:val="12"/>
                <w:szCs w:val="12"/>
                <w:color w:val="0000FF"/>
              </w:rPr>
              <w:t>09/23/2019</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color w:val="0000FF"/>
                <w:w w:val="89"/>
              </w:rPr>
              <w:t>4,120,260</w:t>
            </w:r>
          </w:p>
        </w:tc>
        <w:tc>
          <w:tcPr>
            <w:tcW w:w="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00FF"/>
                <w:w w:val="89"/>
              </w:rPr>
              <w:t>4,120,260</w:t>
            </w: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44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spacing w:after="0" w:line="203" w:lineRule="exact"/>
              <w:rPr>
                <w:rFonts w:ascii="Arial" w:cs="Arial" w:eastAsia="Arial" w:hAnsi="Arial"/>
                <w:sz w:val="20"/>
                <w:szCs w:val="20"/>
                <w:color w:val="0000EE"/>
                <w:w w:val="91"/>
              </w:rPr>
            </w:pPr>
            <w:hyperlink r:id="rId12">
              <w:r>
                <w:rPr>
                  <w:rFonts w:ascii="Arial" w:cs="Arial" w:eastAsia="Arial" w:hAnsi="Arial"/>
                  <w:sz w:val="20"/>
                  <w:szCs w:val="20"/>
                  <w:color w:val="0000EE"/>
                  <w:w w:val="91"/>
                </w:rPr>
                <w:t>ICONIQ STRATEGIC PARTNERS II, L.P.</w:t>
              </w:r>
            </w:hyperlink>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C/O ICONIQ CAPITAL</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8"/>
          </w:tcPr>
          <w:p>
            <w:pPr>
              <w:spacing w:after="0"/>
              <w:rPr>
                <w:sz w:val="20"/>
                <w:szCs w:val="20"/>
                <w:color w:val="auto"/>
              </w:rPr>
            </w:pPr>
            <w:r>
              <w:rPr>
                <w:rFonts w:ascii="Arial" w:cs="Arial" w:eastAsia="Arial" w:hAnsi="Arial"/>
                <w:sz w:val="16"/>
                <w:szCs w:val="16"/>
                <w:color w:val="0000FF"/>
              </w:rPr>
              <w:t>394 PACIFIC AVENUE, 2ND FLOOR</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40" w:type="dxa"/>
            <w:vAlign w:val="bottom"/>
          </w:tcPr>
          <w:p>
            <w:pPr>
              <w:ind w:left="140"/>
              <w:spacing w:after="0"/>
              <w:rPr>
                <w:sz w:val="20"/>
                <w:szCs w:val="20"/>
                <w:color w:val="auto"/>
              </w:rPr>
            </w:pPr>
            <w:r>
              <w:rPr>
                <w:rFonts w:ascii="Arial" w:cs="Arial" w:eastAsia="Arial" w:hAnsi="Arial"/>
                <w:sz w:val="16"/>
                <w:szCs w:val="16"/>
                <w:color w:val="0000FF"/>
              </w:rPr>
              <w:t>CA</w:t>
            </w:r>
          </w:p>
        </w:tc>
        <w:tc>
          <w:tcPr>
            <w:tcW w:w="1000" w:type="dxa"/>
            <w:vAlign w:val="bottom"/>
            <w:gridSpan w:val="2"/>
          </w:tcPr>
          <w:p>
            <w:pPr>
              <w:ind w:left="580"/>
              <w:spacing w:after="0"/>
              <w:rPr>
                <w:sz w:val="20"/>
                <w:szCs w:val="20"/>
                <w:color w:val="auto"/>
              </w:rPr>
            </w:pPr>
            <w:r>
              <w:rPr>
                <w:rFonts w:ascii="Arial" w:cs="Arial" w:eastAsia="Arial" w:hAnsi="Arial"/>
                <w:sz w:val="16"/>
                <w:szCs w:val="16"/>
                <w:color w:val="0000FF"/>
                <w:w w:val="89"/>
              </w:rPr>
              <w:t>94111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(State)</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3"/>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spacing w:after="0" w:line="203" w:lineRule="exact"/>
              <w:rPr>
                <w:rFonts w:ascii="Arial" w:cs="Arial" w:eastAsia="Arial" w:hAnsi="Arial"/>
                <w:sz w:val="20"/>
                <w:szCs w:val="20"/>
                <w:color w:val="0000EE"/>
                <w:w w:val="99"/>
              </w:rPr>
            </w:pPr>
            <w:hyperlink r:id="rId16">
              <w:r>
                <w:rPr>
                  <w:rFonts w:ascii="Arial" w:cs="Arial" w:eastAsia="Arial" w:hAnsi="Arial"/>
                  <w:sz w:val="20"/>
                  <w:szCs w:val="20"/>
                  <w:color w:val="0000EE"/>
                  <w:w w:val="99"/>
                </w:rPr>
                <w:t>ICONIQ Strategic Partners III GP, L.P.</w:t>
              </w:r>
            </w:hyperlink>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C/O ICONIQ CAPITAL</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8"/>
          </w:tcPr>
          <w:p>
            <w:pPr>
              <w:spacing w:after="0"/>
              <w:rPr>
                <w:sz w:val="20"/>
                <w:szCs w:val="20"/>
                <w:color w:val="auto"/>
              </w:rPr>
            </w:pPr>
            <w:r>
              <w:rPr>
                <w:rFonts w:ascii="Arial" w:cs="Arial" w:eastAsia="Arial" w:hAnsi="Arial"/>
                <w:sz w:val="16"/>
                <w:szCs w:val="16"/>
                <w:color w:val="0000FF"/>
              </w:rPr>
              <w:t>394 PACIFIC AVENUE, 2ND FLOOR</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40" w:type="dxa"/>
            <w:vAlign w:val="bottom"/>
          </w:tcPr>
          <w:p>
            <w:pPr>
              <w:ind w:left="140"/>
              <w:spacing w:after="0"/>
              <w:rPr>
                <w:sz w:val="20"/>
                <w:szCs w:val="20"/>
                <w:color w:val="auto"/>
              </w:rPr>
            </w:pPr>
            <w:r>
              <w:rPr>
                <w:rFonts w:ascii="Arial" w:cs="Arial" w:eastAsia="Arial" w:hAnsi="Arial"/>
                <w:sz w:val="16"/>
                <w:szCs w:val="16"/>
                <w:color w:val="0000FF"/>
              </w:rPr>
              <w:t>CA</w:t>
            </w:r>
          </w:p>
        </w:tc>
        <w:tc>
          <w:tcPr>
            <w:tcW w:w="1000" w:type="dxa"/>
            <w:vAlign w:val="bottom"/>
            <w:gridSpan w:val="2"/>
          </w:tcPr>
          <w:p>
            <w:pPr>
              <w:ind w:left="580"/>
              <w:spacing w:after="0"/>
              <w:rPr>
                <w:sz w:val="20"/>
                <w:szCs w:val="20"/>
                <w:color w:val="auto"/>
              </w:rPr>
            </w:pPr>
            <w:r>
              <w:rPr>
                <w:rFonts w:ascii="Arial" w:cs="Arial" w:eastAsia="Arial" w:hAnsi="Arial"/>
                <w:sz w:val="16"/>
                <w:szCs w:val="16"/>
                <w:color w:val="0000FF"/>
                <w:w w:val="89"/>
              </w:rPr>
              <w:t>94111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(State)</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spacing w:after="0" w:line="203" w:lineRule="exact"/>
              <w:rPr>
                <w:rFonts w:ascii="Arial" w:cs="Arial" w:eastAsia="Arial" w:hAnsi="Arial"/>
                <w:sz w:val="20"/>
                <w:szCs w:val="20"/>
                <w:color w:val="0000EE"/>
                <w:w w:val="91"/>
              </w:rPr>
            </w:pPr>
            <w:hyperlink r:id="rId17">
              <w:r>
                <w:rPr>
                  <w:rFonts w:ascii="Arial" w:cs="Arial" w:eastAsia="Arial" w:hAnsi="Arial"/>
                  <w:sz w:val="20"/>
                  <w:szCs w:val="20"/>
                  <w:color w:val="0000EE"/>
                  <w:w w:val="91"/>
                </w:rPr>
                <w:t>ICONIQ Strategic Partners III TT GP, Ltd.</w:t>
              </w:r>
            </w:hyperlink>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C/O ICONIQ CAPITAL</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8"/>
          </w:tcPr>
          <w:p>
            <w:pPr>
              <w:spacing w:after="0"/>
              <w:rPr>
                <w:sz w:val="20"/>
                <w:szCs w:val="20"/>
                <w:color w:val="auto"/>
              </w:rPr>
            </w:pPr>
            <w:r>
              <w:rPr>
                <w:rFonts w:ascii="Arial" w:cs="Arial" w:eastAsia="Arial" w:hAnsi="Arial"/>
                <w:sz w:val="16"/>
                <w:szCs w:val="16"/>
                <w:color w:val="0000FF"/>
              </w:rPr>
              <w:t>394 PACIFIC AVENUE, 2ND FLOOR</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40" w:type="dxa"/>
            <w:vAlign w:val="bottom"/>
          </w:tcPr>
          <w:p>
            <w:pPr>
              <w:ind w:left="140"/>
              <w:spacing w:after="0"/>
              <w:rPr>
                <w:sz w:val="20"/>
                <w:szCs w:val="20"/>
                <w:color w:val="auto"/>
              </w:rPr>
            </w:pPr>
            <w:r>
              <w:rPr>
                <w:rFonts w:ascii="Arial" w:cs="Arial" w:eastAsia="Arial" w:hAnsi="Arial"/>
                <w:sz w:val="16"/>
                <w:szCs w:val="16"/>
                <w:color w:val="0000FF"/>
              </w:rPr>
              <w:t>CA</w:t>
            </w:r>
          </w:p>
        </w:tc>
        <w:tc>
          <w:tcPr>
            <w:tcW w:w="1000" w:type="dxa"/>
            <w:vAlign w:val="bottom"/>
            <w:gridSpan w:val="2"/>
          </w:tcPr>
          <w:p>
            <w:pPr>
              <w:ind w:left="580"/>
              <w:spacing w:after="0"/>
              <w:rPr>
                <w:sz w:val="20"/>
                <w:szCs w:val="20"/>
                <w:color w:val="auto"/>
              </w:rPr>
            </w:pPr>
            <w:r>
              <w:rPr>
                <w:rFonts w:ascii="Arial" w:cs="Arial" w:eastAsia="Arial" w:hAnsi="Arial"/>
                <w:sz w:val="16"/>
                <w:szCs w:val="16"/>
                <w:color w:val="0000FF"/>
                <w:w w:val="89"/>
              </w:rPr>
              <w:t>94111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(State)</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spacing w:after="0" w:line="203" w:lineRule="exact"/>
              <w:rPr>
                <w:rFonts w:ascii="Arial" w:cs="Arial" w:eastAsia="Arial" w:hAnsi="Arial"/>
                <w:sz w:val="20"/>
                <w:szCs w:val="20"/>
                <w:color w:val="0000EE"/>
                <w:w w:val="98"/>
              </w:rPr>
            </w:pPr>
            <w:hyperlink r:id="rId18">
              <w:r>
                <w:rPr>
                  <w:rFonts w:ascii="Arial" w:cs="Arial" w:eastAsia="Arial" w:hAnsi="Arial"/>
                  <w:sz w:val="20"/>
                  <w:szCs w:val="20"/>
                  <w:color w:val="0000EE"/>
                  <w:w w:val="98"/>
                </w:rPr>
                <w:t>ICONIQ Strategic Partners IV GP, L.P.</w:t>
              </w:r>
            </w:hyperlink>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C/O ICONIQ CAPITAL</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8"/>
          </w:tcPr>
          <w:p>
            <w:pPr>
              <w:spacing w:after="0"/>
              <w:rPr>
                <w:sz w:val="20"/>
                <w:szCs w:val="20"/>
                <w:color w:val="auto"/>
              </w:rPr>
            </w:pPr>
            <w:r>
              <w:rPr>
                <w:rFonts w:ascii="Arial" w:cs="Arial" w:eastAsia="Arial" w:hAnsi="Arial"/>
                <w:sz w:val="16"/>
                <w:szCs w:val="16"/>
                <w:color w:val="0000FF"/>
              </w:rPr>
              <w:t>394 PACIFIC AVENUE, 2ND FLOOR</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40" w:type="dxa"/>
            <w:vAlign w:val="bottom"/>
          </w:tcPr>
          <w:p>
            <w:pPr>
              <w:ind w:left="140"/>
              <w:spacing w:after="0"/>
              <w:rPr>
                <w:sz w:val="20"/>
                <w:szCs w:val="20"/>
                <w:color w:val="auto"/>
              </w:rPr>
            </w:pPr>
            <w:r>
              <w:rPr>
                <w:rFonts w:ascii="Arial" w:cs="Arial" w:eastAsia="Arial" w:hAnsi="Arial"/>
                <w:sz w:val="16"/>
                <w:szCs w:val="16"/>
                <w:color w:val="0000FF"/>
              </w:rPr>
              <w:t>CA</w:t>
            </w:r>
          </w:p>
        </w:tc>
        <w:tc>
          <w:tcPr>
            <w:tcW w:w="1000" w:type="dxa"/>
            <w:vAlign w:val="bottom"/>
            <w:gridSpan w:val="2"/>
          </w:tcPr>
          <w:p>
            <w:pPr>
              <w:ind w:left="580"/>
              <w:spacing w:after="0"/>
              <w:rPr>
                <w:sz w:val="20"/>
                <w:szCs w:val="20"/>
                <w:color w:val="auto"/>
              </w:rPr>
            </w:pPr>
            <w:r>
              <w:rPr>
                <w:rFonts w:ascii="Arial" w:cs="Arial" w:eastAsia="Arial" w:hAnsi="Arial"/>
                <w:sz w:val="16"/>
                <w:szCs w:val="16"/>
                <w:color w:val="0000FF"/>
                <w:w w:val="89"/>
              </w:rPr>
              <w:t>94111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(State)</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spacing w:after="0" w:line="203" w:lineRule="exact"/>
              <w:rPr>
                <w:rFonts w:ascii="Arial" w:cs="Arial" w:eastAsia="Arial" w:hAnsi="Arial"/>
                <w:sz w:val="20"/>
                <w:szCs w:val="20"/>
                <w:color w:val="0000EE"/>
                <w:w w:val="91"/>
              </w:rPr>
            </w:pPr>
            <w:hyperlink r:id="rId19">
              <w:r>
                <w:rPr>
                  <w:rFonts w:ascii="Arial" w:cs="Arial" w:eastAsia="Arial" w:hAnsi="Arial"/>
                  <w:sz w:val="20"/>
                  <w:szCs w:val="20"/>
                  <w:color w:val="0000EE"/>
                  <w:w w:val="91"/>
                </w:rPr>
                <w:t>ICONIQ Strategic Partners IV TT GP, Ltd.</w:t>
              </w:r>
            </w:hyperlink>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4"/>
          </w:tcPr>
          <w:p>
            <w:pPr>
              <w:ind w:left="5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520"/>
          </w:cols>
          <w:pgMar w:left="240" w:top="184" w:right="139" w:bottom="0" w:gutter="0" w:footer="0" w:header="0"/>
        </w:sectPr>
      </w:pPr>
    </w:p>
    <w:p>
      <w:pPr>
        <w:ind w:left="100"/>
        <w:spacing w:after="0"/>
        <w:rPr>
          <w:sz w:val="20"/>
          <w:szCs w:val="20"/>
          <w:color w:val="auto"/>
        </w:rPr>
      </w:pPr>
      <w:r>
        <w:rPr>
          <w:rFonts w:ascii="Arial" w:cs="Arial" w:eastAsia="Arial" w:hAnsi="Arial"/>
          <w:sz w:val="15"/>
          <w:szCs w:val="15"/>
          <w:color w:val="0000FF"/>
        </w:rPr>
        <w:t>C/O ICONIQ CAPITAL</w:t>
      </w:r>
    </w:p>
    <w:p>
      <w:pPr>
        <w:sectPr>
          <w:pgSz w:w="11900" w:h="16838" w:orient="portrait"/>
          <w:cols w:equalWidth="0" w:num="1">
            <w:col w:w="11520"/>
          </w:cols>
          <w:pgMar w:left="240" w:top="184" w:right="139"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6"/>
          <w:szCs w:val="16"/>
          <w:color w:val="0000FF"/>
        </w:rPr>
        <w:t>394 PACIFIC AVENUE, 2ND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-110490</wp:posOffset>
            </wp:positionV>
            <wp:extent cx="2927350" cy="4159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927350" cy="415988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8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0000FF"/>
              </w:rPr>
              <w:t>SAN FRANCISCO</w:t>
            </w:r>
          </w:p>
        </w:tc>
        <w:tc>
          <w:tcPr>
            <w:tcW w:w="136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640" w:type="dxa"/>
            <w:vAlign w:val="bottom"/>
          </w:tcPr>
          <w:p>
            <w:pPr>
              <w:ind w:left="220"/>
              <w:spacing w:after="0"/>
              <w:rPr>
                <w:sz w:val="20"/>
                <w:szCs w:val="20"/>
                <w:color w:val="auto"/>
              </w:rPr>
            </w:pPr>
            <w:r>
              <w:rPr>
                <w:rFonts w:ascii="Arial" w:cs="Arial" w:eastAsia="Arial" w:hAnsi="Arial"/>
                <w:sz w:val="16"/>
                <w:szCs w:val="16"/>
                <w:color w:val="0000FF"/>
              </w:rPr>
              <w:t>94111</w:t>
            </w:r>
          </w:p>
        </w:tc>
        <w:tc>
          <w:tcPr>
            <w:tcW w:w="10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8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1360" w:type="dxa"/>
            <w:vAlign w:val="bottom"/>
            <w:gridSpan w:val="3"/>
          </w:tcPr>
          <w:p>
            <w:pPr>
              <w:spacing w:after="0" w:line="203" w:lineRule="exact"/>
              <w:rPr>
                <w:rFonts w:ascii="Arial" w:cs="Arial" w:eastAsia="Arial" w:hAnsi="Arial"/>
                <w:sz w:val="20"/>
                <w:szCs w:val="20"/>
                <w:color w:val="0000EE"/>
              </w:rPr>
            </w:pPr>
            <w:hyperlink r:id="rId21">
              <w:r>
                <w:rPr>
                  <w:rFonts w:ascii="Arial" w:cs="Arial" w:eastAsia="Arial" w:hAnsi="Arial"/>
                  <w:sz w:val="20"/>
                  <w:szCs w:val="20"/>
                  <w:color w:val="0000EE"/>
                </w:rPr>
                <w:t>Makan Divesh</w:t>
              </w:r>
            </w:hyperlink>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1"/>
        </w:trPr>
        <w:tc>
          <w:tcPr>
            <w:tcW w:w="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720" w:type="dxa"/>
            <w:vAlign w:val="bottom"/>
            <w:gridSpan w:val="5"/>
          </w:tcPr>
          <w:p>
            <w:pPr>
              <w:spacing w:after="0"/>
              <w:rPr>
                <w:sz w:val="20"/>
                <w:szCs w:val="20"/>
                <w:color w:val="auto"/>
              </w:rPr>
            </w:pPr>
            <w:r>
              <w:rPr>
                <w:rFonts w:ascii="Arial" w:cs="Arial" w:eastAsia="Arial" w:hAnsi="Arial"/>
                <w:sz w:val="16"/>
                <w:szCs w:val="16"/>
                <w:color w:val="0000FF"/>
              </w:rPr>
              <w:t>C/O ICONIQ CAPITAL</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5"/>
        </w:trPr>
        <w:tc>
          <w:tcPr>
            <w:tcW w:w="80" w:type="dxa"/>
            <w:vAlign w:val="bottom"/>
          </w:tcPr>
          <w:p>
            <w:pPr>
              <w:spacing w:after="0"/>
              <w:rPr>
                <w:sz w:val="21"/>
                <w:szCs w:val="21"/>
                <w:color w:val="auto"/>
              </w:rPr>
            </w:pPr>
          </w:p>
        </w:tc>
        <w:tc>
          <w:tcPr>
            <w:tcW w:w="2720" w:type="dxa"/>
            <w:vAlign w:val="bottom"/>
            <w:gridSpan w:val="5"/>
          </w:tcPr>
          <w:p>
            <w:pPr>
              <w:spacing w:after="0"/>
              <w:rPr>
                <w:sz w:val="20"/>
                <w:szCs w:val="20"/>
                <w:color w:val="auto"/>
              </w:rPr>
            </w:pPr>
            <w:r>
              <w:rPr>
                <w:rFonts w:ascii="Arial" w:cs="Arial" w:eastAsia="Arial" w:hAnsi="Arial"/>
                <w:sz w:val="16"/>
                <w:szCs w:val="16"/>
                <w:color w:val="0000FF"/>
              </w:rPr>
              <w:t>394 PACIFIC AVENUE, 2ND FLOOR</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0"/>
        </w:trPr>
        <w:tc>
          <w:tcPr>
            <w:tcW w:w="100" w:type="dxa"/>
            <w:vAlign w:val="bottom"/>
            <w:gridSpan w:val="2"/>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4"/>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0000FF"/>
              </w:rPr>
              <w:t>SAN FRANCISCO</w:t>
            </w:r>
          </w:p>
        </w:tc>
        <w:tc>
          <w:tcPr>
            <w:tcW w:w="136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640" w:type="dxa"/>
            <w:vAlign w:val="bottom"/>
          </w:tcPr>
          <w:p>
            <w:pPr>
              <w:ind w:left="220"/>
              <w:spacing w:after="0"/>
              <w:rPr>
                <w:sz w:val="20"/>
                <w:szCs w:val="20"/>
                <w:color w:val="auto"/>
              </w:rPr>
            </w:pPr>
            <w:r>
              <w:rPr>
                <w:rFonts w:ascii="Arial" w:cs="Arial" w:eastAsia="Arial" w:hAnsi="Arial"/>
                <w:sz w:val="16"/>
                <w:szCs w:val="16"/>
                <w:color w:val="0000FF"/>
              </w:rPr>
              <w:t>94111</w:t>
            </w:r>
          </w:p>
        </w:tc>
        <w:tc>
          <w:tcPr>
            <w:tcW w:w="10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9"/>
        </w:trPr>
        <w:tc>
          <w:tcPr>
            <w:tcW w:w="1240" w:type="dxa"/>
            <w:vAlign w:val="bottom"/>
            <w:tcBorders>
              <w:bottom w:val="single" w:sz="8" w:color="2C2C2C"/>
            </w:tcBorders>
            <w:gridSpan w:val="3"/>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8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2720" w:type="dxa"/>
            <w:vAlign w:val="bottom"/>
            <w:gridSpan w:val="5"/>
          </w:tcPr>
          <w:p>
            <w:pPr>
              <w:spacing w:after="0" w:line="203" w:lineRule="exact"/>
              <w:rPr>
                <w:rFonts w:ascii="Arial" w:cs="Arial" w:eastAsia="Arial" w:hAnsi="Arial"/>
                <w:sz w:val="20"/>
                <w:szCs w:val="20"/>
                <w:color w:val="0000EE"/>
              </w:rPr>
            </w:pPr>
            <w:hyperlink r:id="rId22">
              <w:r>
                <w:rPr>
                  <w:rFonts w:ascii="Arial" w:cs="Arial" w:eastAsia="Arial" w:hAnsi="Arial"/>
                  <w:sz w:val="20"/>
                  <w:szCs w:val="20"/>
                  <w:color w:val="0000EE"/>
                </w:rPr>
                <w:t>Griffith William J.G.</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1"/>
        </w:trPr>
        <w:tc>
          <w:tcPr>
            <w:tcW w:w="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720" w:type="dxa"/>
            <w:vAlign w:val="bottom"/>
            <w:gridSpan w:val="5"/>
          </w:tcPr>
          <w:p>
            <w:pPr>
              <w:spacing w:after="0"/>
              <w:rPr>
                <w:sz w:val="20"/>
                <w:szCs w:val="20"/>
                <w:color w:val="auto"/>
              </w:rPr>
            </w:pPr>
            <w:r>
              <w:rPr>
                <w:rFonts w:ascii="Arial" w:cs="Arial" w:eastAsia="Arial" w:hAnsi="Arial"/>
                <w:sz w:val="16"/>
                <w:szCs w:val="16"/>
                <w:color w:val="0000FF"/>
              </w:rPr>
              <w:t>C/O ICONIQ CAPITAL</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5"/>
        </w:trPr>
        <w:tc>
          <w:tcPr>
            <w:tcW w:w="80" w:type="dxa"/>
            <w:vAlign w:val="bottom"/>
          </w:tcPr>
          <w:p>
            <w:pPr>
              <w:spacing w:after="0"/>
              <w:rPr>
                <w:sz w:val="21"/>
                <w:szCs w:val="21"/>
                <w:color w:val="auto"/>
              </w:rPr>
            </w:pPr>
          </w:p>
        </w:tc>
        <w:tc>
          <w:tcPr>
            <w:tcW w:w="2720" w:type="dxa"/>
            <w:vAlign w:val="bottom"/>
            <w:gridSpan w:val="5"/>
          </w:tcPr>
          <w:p>
            <w:pPr>
              <w:spacing w:after="0"/>
              <w:rPr>
                <w:sz w:val="20"/>
                <w:szCs w:val="20"/>
                <w:color w:val="auto"/>
              </w:rPr>
            </w:pPr>
            <w:r>
              <w:rPr>
                <w:rFonts w:ascii="Arial" w:cs="Arial" w:eastAsia="Arial" w:hAnsi="Arial"/>
                <w:sz w:val="16"/>
                <w:szCs w:val="16"/>
                <w:color w:val="0000FF"/>
              </w:rPr>
              <w:t>394 PACIFIC AVENUE, 2ND FLOOR</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0"/>
        </w:trPr>
        <w:tc>
          <w:tcPr>
            <w:tcW w:w="100" w:type="dxa"/>
            <w:vAlign w:val="bottom"/>
            <w:gridSpan w:val="2"/>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4"/>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0000FF"/>
              </w:rPr>
              <w:t>SAN FRANCISCO</w:t>
            </w:r>
          </w:p>
        </w:tc>
        <w:tc>
          <w:tcPr>
            <w:tcW w:w="136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640" w:type="dxa"/>
            <w:vAlign w:val="bottom"/>
          </w:tcPr>
          <w:p>
            <w:pPr>
              <w:ind w:left="220"/>
              <w:spacing w:after="0"/>
              <w:rPr>
                <w:sz w:val="20"/>
                <w:szCs w:val="20"/>
                <w:color w:val="auto"/>
              </w:rPr>
            </w:pPr>
            <w:r>
              <w:rPr>
                <w:rFonts w:ascii="Arial" w:cs="Arial" w:eastAsia="Arial" w:hAnsi="Arial"/>
                <w:sz w:val="16"/>
                <w:szCs w:val="16"/>
                <w:color w:val="0000FF"/>
              </w:rPr>
              <w:t>94111</w:t>
            </w:r>
          </w:p>
        </w:tc>
        <w:tc>
          <w:tcPr>
            <w:tcW w:w="10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Immediately prior to the closing of the Issuer's initial public offering, each share of Common Stock was reclassified into one share of Class B Common Stock in an exempt transaction pursuant to Rule 16b-7.</w:t>
      </w:r>
    </w:p>
    <w:p>
      <w:pPr>
        <w:spacing w:after="0" w:line="45"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III, L.P. ("ICONIQ III").</w:t>
      </w:r>
    </w:p>
    <w:p>
      <w:pPr>
        <w:spacing w:after="0" w:line="45" w:lineRule="exact"/>
        <w:rPr>
          <w:rFonts w:ascii="Arial" w:cs="Arial" w:eastAsia="Arial" w:hAnsi="Arial"/>
          <w:sz w:val="12"/>
          <w:szCs w:val="12"/>
          <w:color w:val="008000"/>
        </w:rPr>
      </w:pPr>
    </w:p>
    <w:p>
      <w:pPr>
        <w:ind w:left="20" w:hanging="5"/>
        <w:spacing w:after="0" w:line="24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Iconiq Strategic Partners GP II, L.P. ("ICONIQ GP II") is the sole general partner of each of ICONIQ II, ICONIQ II-B and ICONIQ II Co-Invest. ICONIQ Strategic Partners II TT GP, Ltd. ("ICONIQ Parent GP II") is the sole general partner of ICONIQ GP II. Iconiq Strategic Partners GP III, L.P. ("ICONIQ GP III") is the sole general partner of each of ICONIQ III and ICONIQ III-B. ICONIQ Strategic Partners III TT GP, Ltd. ("ICONIQ Parent GP III") is the sole general partner of ICONIQ GP III. Iconiq Strategic Partners GP IV, L.P. ("ICONIQ GP IV") is the sole general partner of each of ICONIQ IV and ICONIQ IV-B. ICONIQ Strategic Partners IV TT GP, Ltd. ("ICONIQ Parent GP IV") is the sole general partner of ICONIQ GP IV. Divesh Makan ("Makan") and William J.G. Griffith ("Griffith") are the sole equity holders and directors of ICONIQ Parent GP II, ICONIQ Parent GP III and ICONIQ Parent GP IV.</w:t>
      </w:r>
    </w:p>
    <w:p>
      <w:pPr>
        <w:spacing w:after="0" w:line="30" w:lineRule="exact"/>
        <w:rPr>
          <w:rFonts w:ascii="Arial" w:cs="Arial" w:eastAsia="Arial" w:hAnsi="Arial"/>
          <w:sz w:val="12"/>
          <w:szCs w:val="12"/>
          <w:color w:val="008000"/>
        </w:rPr>
      </w:pPr>
    </w:p>
    <w:p>
      <w:pPr>
        <w:ind w:left="20" w:right="400" w:hanging="5"/>
        <w:spacing w:after="0" w:line="302" w:lineRule="auto"/>
        <w:tabs>
          <w:tab w:leader="none" w:pos="14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disclaims beneficial ownership of the securities reported herein for purposes of Section 16 of the Securities Exchange Act of 1934, as amended (the "Exchange Act"), except to the extent of his or its pecuniary interest therein, if any. This report shall not be deemed an admission that the Reporting Person is a beneficial owner of such securities for the purpose of Section 16 of the Exchange Act, or for any other purpose.</w:t>
      </w: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III-B, L.P. ("ICONIQ III-B").</w:t>
      </w:r>
    </w:p>
    <w:p>
      <w:pPr>
        <w:spacing w:after="0" w:line="45"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IV, LP ("ICONIQ IV").</w:t>
      </w:r>
    </w:p>
    <w:p>
      <w:pPr>
        <w:spacing w:after="0" w:line="45"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IV-B, LP ("ICONIQ IV-B").</w:t>
      </w:r>
    </w:p>
    <w:p>
      <w:pPr>
        <w:spacing w:after="0" w:line="45" w:lineRule="exact"/>
        <w:rPr>
          <w:rFonts w:ascii="Arial" w:cs="Arial" w:eastAsia="Arial" w:hAnsi="Arial"/>
          <w:sz w:val="12"/>
          <w:szCs w:val="12"/>
          <w:color w:val="008000"/>
        </w:rPr>
      </w:pPr>
    </w:p>
    <w:p>
      <w:pPr>
        <w:ind w:left="20" w:right="280" w:hanging="5"/>
        <w:spacing w:after="0" w:line="249"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earlier of: (i) any transfer, whether or not for value, except for certain "Permitted Transfers" as defined in the Issuer's amended and restated certificate of incorporation, and (ii) the tenth anniversary of the Issuer's initial public offering of its Class A Common Stock.</w:t>
      </w:r>
    </w:p>
    <w:p>
      <w:pPr>
        <w:spacing w:after="0" w:line="23" w:lineRule="exact"/>
        <w:rPr>
          <w:rFonts w:ascii="Arial" w:cs="Arial" w:eastAsia="Arial" w:hAnsi="Arial"/>
          <w:sz w:val="12"/>
          <w:szCs w:val="12"/>
          <w:color w:val="008000"/>
        </w:rPr>
      </w:pPr>
    </w:p>
    <w:p>
      <w:pPr>
        <w:ind w:left="20" w:right="220" w:hanging="5"/>
        <w:spacing w:after="0" w:line="264"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All shares of Preferred Stock automatically converted into Common Stock on a 1:1 basis and were reclassified into shares of Class B Common Stock on a 1:1 basis immediately prior to the closing of the Issuer's initial public offering.</w:t>
      </w:r>
    </w:p>
    <w:p>
      <w:pPr>
        <w:spacing w:after="0" w:line="14" w:lineRule="exact"/>
        <w:rPr>
          <w:rFonts w:ascii="Arial" w:cs="Arial" w:eastAsia="Arial" w:hAnsi="Arial"/>
          <w:sz w:val="12"/>
          <w:szCs w:val="12"/>
          <w:color w:val="008000"/>
        </w:rPr>
      </w:pPr>
    </w:p>
    <w:p>
      <w:pPr>
        <w:ind w:left="200" w:hanging="185"/>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II, LP ("ICONIQ II").</w:t>
      </w:r>
    </w:p>
    <w:p>
      <w:pPr>
        <w:spacing w:after="0" w:line="45" w:lineRule="exact"/>
        <w:rPr>
          <w:rFonts w:ascii="Arial" w:cs="Arial" w:eastAsia="Arial" w:hAnsi="Arial"/>
          <w:sz w:val="12"/>
          <w:szCs w:val="12"/>
          <w:color w:val="008000"/>
        </w:rPr>
      </w:pPr>
    </w:p>
    <w:p>
      <w:pPr>
        <w:ind w:left="200" w:hanging="185"/>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II-B, LP ("ICONIQ II-B").</w:t>
      </w:r>
    </w:p>
    <w:p>
      <w:pPr>
        <w:spacing w:after="0" w:line="45" w:lineRule="exact"/>
        <w:rPr>
          <w:rFonts w:ascii="Arial" w:cs="Arial" w:eastAsia="Arial" w:hAnsi="Arial"/>
          <w:sz w:val="12"/>
          <w:szCs w:val="12"/>
          <w:color w:val="008000"/>
        </w:rPr>
      </w:pPr>
    </w:p>
    <w:p>
      <w:pPr>
        <w:ind w:left="200" w:hanging="185"/>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ICONIQ Strategic Partners II Co-Invest, L.P., DD Series ("ICONIQ II Co-Invest").</w:t>
      </w:r>
    </w:p>
    <w:p>
      <w:pPr>
        <w:spacing w:after="0" w:line="45" w:lineRule="exact"/>
        <w:rPr>
          <w:rFonts w:ascii="Arial" w:cs="Arial" w:eastAsia="Arial" w:hAnsi="Arial"/>
          <w:sz w:val="12"/>
          <w:szCs w:val="12"/>
          <w:color w:val="008000"/>
        </w:rPr>
      </w:pPr>
    </w:p>
    <w:p>
      <w:pPr>
        <w:ind w:left="200" w:hanging="185"/>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purchased from the underwriters at the closing of the Issuer's initial public offering.</w:t>
      </w:r>
    </w:p>
    <w:p>
      <w:pPr>
        <w:spacing w:after="0" w:line="45" w:lineRule="exact"/>
        <w:rPr>
          <w:rFonts w:ascii="Arial" w:cs="Arial" w:eastAsia="Arial" w:hAnsi="Arial"/>
          <w:sz w:val="12"/>
          <w:szCs w:val="12"/>
          <w:color w:val="008000"/>
        </w:rPr>
      </w:pPr>
    </w:p>
    <w:p>
      <w:pPr>
        <w:ind w:left="20" w:right="280" w:hanging="5"/>
        <w:spacing w:after="0" w:line="264" w:lineRule="auto"/>
        <w:tabs>
          <w:tab w:leader="none" w:pos="20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91,461 shares of Common Stock that were reclassified into Class B Common Stock and 317,388 shares of Series Seed Preferred Stock that converted into Common Stock and then were reclassified into Class B Common Stock.</w:t>
      </w:r>
    </w:p>
    <w:p>
      <w:pPr>
        <w:spacing w:after="0" w:line="14" w:lineRule="exact"/>
        <w:rPr>
          <w:rFonts w:ascii="Arial" w:cs="Arial" w:eastAsia="Arial" w:hAnsi="Arial"/>
          <w:sz w:val="12"/>
          <w:szCs w:val="12"/>
          <w:color w:val="008000"/>
        </w:rPr>
      </w:pPr>
    </w:p>
    <w:p>
      <w:pPr>
        <w:ind w:left="20" w:right="280" w:hanging="5"/>
        <w:spacing w:after="0" w:line="264" w:lineRule="auto"/>
        <w:tabs>
          <w:tab w:leader="none" w:pos="20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97,725 shares of Common Stock that were reclassified into Class B Common Stock and 339,132 shares of Series Seed Preferred Stock that converted into Common Stock and then were reclassified into Class B Common Stock.</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20" w:right="160"/>
        <w:spacing w:after="0" w:line="264" w:lineRule="auto"/>
        <w:rPr>
          <w:sz w:val="20"/>
          <w:szCs w:val="20"/>
          <w:color w:val="auto"/>
        </w:rPr>
      </w:pPr>
      <w:r>
        <w:rPr>
          <w:rFonts w:ascii="Arial" w:cs="Arial" w:eastAsia="Arial" w:hAnsi="Arial"/>
          <w:sz w:val="12"/>
          <w:szCs w:val="12"/>
          <w:color w:val="008000"/>
        </w:rPr>
        <w:t>This Form 4 is the second of two Form 4's being filed relating to the same event. The Form 4 has been split into two filings because there are more than 10 Reporting Persons in total, and the SEC's EDGAR filing system limits a single Form 4 to a maximum of 10 Reporting Persons. Each Form 4 will be filed by Designated Filer ICONIQ Strategic Partners II, L.P.</w:t>
      </w:r>
    </w:p>
    <w:p>
      <w:pPr>
        <w:sectPr>
          <w:pgSz w:w="11900" w:h="16838" w:orient="portrait"/>
          <w:cols w:equalWidth="0" w:num="1">
            <w:col w:w="11340"/>
          </w:cols>
          <w:pgMar w:left="260" w:top="131" w:right="299" w:bottom="0" w:gutter="0" w:footer="0" w:header="0"/>
        </w:sectPr>
      </w:pPr>
    </w:p>
    <w:p>
      <w:pPr>
        <w:spacing w:after="0" w:line="40" w:lineRule="exact"/>
        <w:rPr>
          <w:sz w:val="20"/>
          <w:szCs w:val="20"/>
          <w:color w:val="auto"/>
        </w:rPr>
      </w:pPr>
    </w:p>
    <w:p>
      <w:pPr>
        <w:ind w:left="6840"/>
        <w:spacing w:after="0"/>
        <w:rPr>
          <w:sz w:val="20"/>
          <w:szCs w:val="20"/>
          <w:color w:val="auto"/>
        </w:rPr>
      </w:pPr>
      <w:r>
        <w:rPr>
          <w:rFonts w:ascii="Arial" w:cs="Arial" w:eastAsia="Arial" w:hAnsi="Arial"/>
          <w:sz w:val="14"/>
          <w:szCs w:val="14"/>
          <w:color w:val="0000FF"/>
        </w:rPr>
        <w:t>ICONIQ Strategic Partners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4445</wp:posOffset>
            </wp:positionV>
            <wp:extent cx="13906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90650" cy="7620"/>
                    </a:xfrm>
                    <a:prstGeom prst="rect">
                      <a:avLst/>
                    </a:prstGeom>
                    <a:noFill/>
                  </pic:spPr>
                </pic:pic>
              </a:graphicData>
            </a:graphic>
          </wp:anchor>
        </w:drawing>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4"/>
          <w:szCs w:val="14"/>
          <w:color w:val="0000FF"/>
        </w:rPr>
        <w:t>L.P., a Cayman Islands exempted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455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limited partnership By: ICONIQ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3176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Strategic Partners III TT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760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76045"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 Cayman Islands exempted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1372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company,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442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Kevin Foster Title: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2655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President /s/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0477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33"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ICONIQ Strategic Partners III 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-1905</wp:posOffset>
            </wp:positionV>
            <wp:extent cx="13703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70330" cy="7620"/>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GP, Ltd., a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1042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exempted company By: Kevin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23317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33170"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Foster 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950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95095"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6464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33" w:lineRule="exact"/>
        <w:rPr>
          <w:sz w:val="20"/>
          <w:szCs w:val="20"/>
          <w:color w:val="auto"/>
        </w:rPr>
      </w:pPr>
    </w:p>
    <w:p>
      <w:pPr>
        <w:ind w:left="6840"/>
        <w:spacing w:after="0"/>
        <w:rPr>
          <w:sz w:val="20"/>
          <w:szCs w:val="20"/>
          <w:color w:val="auto"/>
        </w:rPr>
      </w:pPr>
      <w:r>
        <w:rPr>
          <w:rFonts w:ascii="Arial" w:cs="Arial" w:eastAsia="Arial" w:hAnsi="Arial"/>
          <w:sz w:val="14"/>
          <w:szCs w:val="14"/>
          <w:color w:val="0000FF"/>
        </w:rPr>
        <w:t>ICONIQ Strategic Partners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4445</wp:posOffset>
            </wp:positionV>
            <wp:extent cx="13963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4"/>
          <w:szCs w:val="14"/>
          <w:color w:val="0000FF"/>
        </w:rPr>
        <w:t>L.P., a Cayman Islands exempted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455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limited partnership By: ICONIQ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3176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Strategic Partners IV TT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817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81760"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 Cayman Islands exempted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1372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company,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3442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Kevin Foster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2465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Signatory /s/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0648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064895" cy="7620"/>
                    </a:xfrm>
                    <a:prstGeom prst="rect">
                      <a:avLst/>
                    </a:prstGeom>
                    <a:noFill/>
                  </pic:spPr>
                </pic:pic>
              </a:graphicData>
            </a:graphic>
          </wp:anchor>
        </w:drawing>
      </w:r>
    </w:p>
    <w:p>
      <w:pPr>
        <w:spacing w:after="0" w:line="33"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ICONIQ Strategic Partners IV 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-1905</wp:posOffset>
            </wp:positionV>
            <wp:extent cx="13760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76045" cy="7620"/>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GP, Ltd., a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1042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exempted company By: Kevin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12331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331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10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10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10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10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ectPr>
          <w:pgSz w:w="11900" w:h="16838" w:orient="portrait"/>
          <w:cols w:equalWidth="0" w:num="2">
            <w:col w:w="9040" w:space="100"/>
            <w:col w:w="2200"/>
          </w:cols>
          <w:pgMar w:left="260" w:top="131" w:right="299" w:bottom="0" w:gutter="0" w:footer="0" w:header="0"/>
          <w:type w:val="continuous"/>
        </w:sectPr>
      </w:pPr>
    </w:p>
    <w:bookmarkStart w:id="3" w:name="page4"/>
    <w:bookmarkEnd w:id="3"/>
    <w:p>
      <w:pPr>
        <w:ind w:left="6825"/>
        <w:spacing w:after="0"/>
        <w:rPr>
          <w:sz w:val="20"/>
          <w:szCs w:val="20"/>
          <w:color w:val="auto"/>
        </w:rPr>
      </w:pPr>
      <w:r>
        <w:rPr>
          <w:rFonts w:ascii="Arial" w:cs="Arial" w:eastAsia="Arial" w:hAnsi="Arial"/>
          <w:sz w:val="14"/>
          <w:szCs w:val="14"/>
          <w:color w:val="0000FF"/>
        </w:rPr>
        <w:t>Foster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4445</wp:posOffset>
            </wp:positionV>
            <wp:extent cx="13925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392555" cy="7620"/>
                    </a:xfrm>
                    <a:prstGeom prst="rect">
                      <a:avLst/>
                    </a:prstGeom>
                    <a:noFill/>
                  </pic:spPr>
                </pic:pic>
              </a:graphicData>
            </a:graphic>
          </wp:anchor>
        </w:drawing>
      </w:r>
    </w:p>
    <w:p>
      <w:pPr>
        <w:spacing w:after="0" w:line="23" w:lineRule="exact"/>
        <w:rPr>
          <w:sz w:val="20"/>
          <w:szCs w:val="20"/>
          <w:color w:val="auto"/>
        </w:rPr>
      </w:pPr>
    </w:p>
    <w:p>
      <w:pPr>
        <w:ind w:left="6825"/>
        <w:spacing w:after="0"/>
        <w:rPr>
          <w:sz w:val="20"/>
          <w:szCs w:val="20"/>
          <w:color w:val="auto"/>
        </w:rPr>
      </w:pPr>
      <w:r>
        <w:rPr>
          <w:rFonts w:ascii="Arial" w:cs="Arial" w:eastAsia="Arial" w:hAnsi="Arial"/>
          <w:sz w:val="16"/>
          <w:szCs w:val="16"/>
          <w:color w:val="0000FF"/>
        </w:rPr>
        <w:t>/s/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6464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33" w:lineRule="exact"/>
        <w:rPr>
          <w:sz w:val="20"/>
          <w:szCs w:val="20"/>
          <w:color w:val="auto"/>
        </w:rPr>
      </w:pPr>
    </w:p>
    <w:p>
      <w:pPr>
        <w:ind w:left="6825"/>
        <w:spacing w:after="0"/>
        <w:rPr>
          <w:sz w:val="20"/>
          <w:szCs w:val="20"/>
          <w:color w:val="auto"/>
        </w:rPr>
      </w:pPr>
      <w:r>
        <w:rPr>
          <w:rFonts w:ascii="Arial" w:cs="Arial" w:eastAsia="Arial" w:hAnsi="Arial"/>
          <w:sz w:val="16"/>
          <w:szCs w:val="16"/>
          <w:color w:val="0000FF"/>
        </w:rPr>
        <w:t>Divesh Makan /s/ Divesk Maka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-9525</wp:posOffset>
            </wp:positionV>
            <wp:extent cx="12807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41" w:lineRule="exact"/>
        <w:rPr>
          <w:sz w:val="20"/>
          <w:szCs w:val="20"/>
          <w:color w:val="auto"/>
        </w:rPr>
      </w:pPr>
    </w:p>
    <w:p>
      <w:pPr>
        <w:ind w:left="6825"/>
        <w:spacing w:after="0"/>
        <w:rPr>
          <w:sz w:val="20"/>
          <w:szCs w:val="20"/>
          <w:color w:val="auto"/>
        </w:rPr>
      </w:pPr>
      <w:r>
        <w:rPr>
          <w:rFonts w:ascii="Arial" w:cs="Arial" w:eastAsia="Arial" w:hAnsi="Arial"/>
          <w:sz w:val="16"/>
          <w:szCs w:val="16"/>
          <w:color w:val="0000FF"/>
        </w:rPr>
        <w:t>William J.G. Griffith /s/ 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-9525</wp:posOffset>
            </wp:positionV>
            <wp:extent cx="13214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ind w:left="6825"/>
        <w:spacing w:after="0"/>
        <w:rPr>
          <w:sz w:val="20"/>
          <w:szCs w:val="20"/>
          <w:color w:val="auto"/>
        </w:rPr>
      </w:pPr>
      <w:r>
        <w:rPr>
          <w:rFonts w:ascii="Arial" w:cs="Arial" w:eastAsia="Arial" w:hAnsi="Arial"/>
          <w:sz w:val="16"/>
          <w:szCs w:val="16"/>
          <w:color w:val="0000FF"/>
        </w:rPr>
        <w:t>J.G.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4953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495300" cy="7620"/>
                    </a:xfrm>
                    <a:prstGeom prst="rect">
                      <a:avLst/>
                    </a:prstGeom>
                    <a:noFill/>
                  </pic:spPr>
                </pic:pic>
              </a:graphicData>
            </a:graphic>
          </wp:anchor>
        </w:drawing>
      </w:r>
    </w:p>
    <w:p>
      <w:pPr>
        <w:spacing w:after="0" w:line="41" w:lineRule="exact"/>
        <w:rPr>
          <w:sz w:val="20"/>
          <w:szCs w:val="20"/>
          <w:color w:val="auto"/>
        </w:rPr>
      </w:pPr>
    </w:p>
    <w:p>
      <w:pPr>
        <w:ind w:left="6825"/>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10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10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6" w:lineRule="exact"/>
        <w:rPr>
          <w:sz w:val="20"/>
          <w:szCs w:val="20"/>
          <w:color w:val="auto"/>
        </w:rPr>
      </w:pPr>
    </w:p>
    <w:p>
      <w:pPr>
        <w:sectPr>
          <w:pgSz w:w="11900" w:h="16838" w:orient="portrait"/>
          <w:cols w:equalWidth="0" w:num="2">
            <w:col w:w="9025" w:space="100"/>
            <w:col w:w="1059"/>
          </w:cols>
          <w:pgMar w:left="275" w:top="131" w:right="1440" w:bottom="1440" w:gutter="0" w:footer="0" w:header="0"/>
        </w:sect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119" w:hanging="5"/>
        <w:spacing w:after="0" w:line="317"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4"/>
      </w:cols>
      <w:pgMar w:left="275"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12" Type="http://schemas.openxmlformats.org/officeDocument/2006/relationships/hyperlink" Target="http://www.sec.gov/cgi-bin/browse-edgar?action=getcompany&amp;CIK=0001619710" TargetMode="External"/><Relationship Id="rId13" Type="http://schemas.openxmlformats.org/officeDocument/2006/relationships/hyperlink" Target="http://www.sec.gov/cgi-bin/browse-edgar?action=getcompany&amp;CIK=0001561550" TargetMode="External"/><Relationship Id="rId16" Type="http://schemas.openxmlformats.org/officeDocument/2006/relationships/hyperlink" Target="http://www.sec.gov/cgi-bin/browse-edgar?action=getcompany&amp;CIK=0001766963" TargetMode="External"/><Relationship Id="rId17" Type="http://schemas.openxmlformats.org/officeDocument/2006/relationships/hyperlink" Target="http://www.sec.gov/cgi-bin/browse-edgar?action=getcompany&amp;CIK=0001788796" TargetMode="External"/><Relationship Id="rId18" Type="http://schemas.openxmlformats.org/officeDocument/2006/relationships/hyperlink" Target="http://www.sec.gov/cgi-bin/browse-edgar?action=getcompany&amp;CIK=0001785120" TargetMode="External"/><Relationship Id="rId19" Type="http://schemas.openxmlformats.org/officeDocument/2006/relationships/hyperlink" Target="http://www.sec.gov/cgi-bin/browse-edgar?action=getcompany&amp;CIK=0001788795" TargetMode="External"/><Relationship Id="rId21" Type="http://schemas.openxmlformats.org/officeDocument/2006/relationships/hyperlink" Target="http://www.sec.gov/cgi-bin/browse-edgar?action=getcompany&amp;CIK=0001688143" TargetMode="External"/><Relationship Id="rId22" Type="http://schemas.openxmlformats.org/officeDocument/2006/relationships/hyperlink" Target="http://www.sec.gov/cgi-bin/browse-edgar?action=getcompany&amp;CIK=00016881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2019-12-23T16:05:33Z</dcterms:created>
  <dcterms:modified xsi:type="dcterms:W3CDTF">2019-12-23T16:05:33Z</dcterms:modified>
</cp:coreProperties>
</file>