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8"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October 26, 2022, there were 292,049,852 shares of the registrant’s Class A common stock and 25,509,986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16"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19"/>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0"/>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2022 and 2021</w:t>
            </w:r>
          </w:p>
        </w:tc>
        <w:tc>
          <w:tcPr>
            <w:tcW w:w="460" w:type="dxa"/>
            <w:vAlign w:val="bottom"/>
            <w:gridSpan w:val="2"/>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 September 30, 2022 and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2022 and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2022 and 2021</w:t>
            </w:r>
          </w:p>
        </w:tc>
        <w:tc>
          <w:tcPr>
            <w:tcW w:w="118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7"/>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tcPr>
          <w:p>
            <w:pPr>
              <w:spacing w:after="0"/>
              <w:rPr>
                <w:sz w:val="21"/>
                <w:szCs w:val="21"/>
                <w:color w:val="auto"/>
              </w:rPr>
            </w:pPr>
          </w:p>
        </w:tc>
        <w:tc>
          <w:tcPr>
            <w:tcW w:w="476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2"/>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macroeconomic events such as the COVID-19 pandemic on our business, results of operations and financial condition.</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20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270,973</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1,283,473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$5,430 and $2,997 as of</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24,443</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2,176,569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1,870,948</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61,355</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r>
      <w:tr>
        <w:trPr>
          <w:trHeight w:val="264"/>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2,797,603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2,380,794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371,985</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528,696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735,482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1,339,591</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September 30, 2022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2021; 292,014,760 and 263,339,585 shares issued and outstanding as of September 30, 2022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September 30, 2022</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2021; 25,509,986 and 50,025,852 shares issued and outstanding as of September 30, 2022 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1,197,136</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(152,106)</w:t>
            </w: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1,041,203</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2,797,603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2,380,794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887" w:right="339" w:bottom="889"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889"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374,276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979,782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315,990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310,247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314,753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loss per share:</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55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4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available-for-sale marketable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5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(30,389)</w:t>
            </w: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center"/>
              <w:ind w:left="127"/>
              <w:spacing w:after="0"/>
              <w:rPr>
                <w:sz w:val="20"/>
                <w:szCs w:val="20"/>
                <w:color w:val="auto"/>
              </w:rPr>
            </w:pPr>
            <w:r>
              <w:rPr>
                <w:rFonts w:ascii="Times New Roman" w:cs="Times New Roman" w:eastAsia="Times New Roman" w:hAnsi="Times New Roman"/>
                <w:sz w:val="13"/>
                <w:szCs w:val="13"/>
                <w:b w:val="1"/>
                <w:bCs w:val="1"/>
                <w:color w:val="auto"/>
                <w:w w:val="97"/>
              </w:rPr>
              <w:t>Class A and Class B</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center"/>
              <w:ind w:left="107"/>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jc w:val="center"/>
              <w:ind w:right="4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4"/>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9"/>
                <w:szCs w:val="9"/>
                <w:color w:val="auto"/>
              </w:rPr>
            </w:pPr>
          </w:p>
        </w:tc>
        <w:tc>
          <w:tcPr>
            <w:tcW w:w="1120" w:type="dxa"/>
            <w:vAlign w:val="bottom"/>
            <w:vMerge w:val="restart"/>
          </w:tcPr>
          <w:p>
            <w:pPr>
              <w:jc w:val="center"/>
              <w:ind w:right="123"/>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9"/>
        </w:trPr>
        <w:tc>
          <w:tcPr>
            <w:tcW w:w="2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316,415,782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3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1,380,873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1,215,120</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415,291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5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693,673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105,282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105,282</w:t>
            </w:r>
          </w:p>
        </w:tc>
        <w:tc>
          <w:tcPr>
            <w:tcW w:w="0" w:type="dxa"/>
            <w:vAlign w:val="bottom"/>
          </w:tcPr>
          <w:p>
            <w:pPr>
              <w:spacing w:after="0"/>
              <w:rPr>
                <w:sz w:val="1"/>
                <w:szCs w:val="1"/>
                <w:color w:val="auto"/>
              </w:rPr>
            </w:pPr>
          </w:p>
        </w:tc>
      </w:tr>
      <w:tr>
        <w:trPr>
          <w:trHeight w:val="212"/>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0" w:type="dxa"/>
            <w:vAlign w:val="bottom"/>
          </w:tcPr>
          <w:p>
            <w:pPr>
              <w:spacing w:after="0"/>
              <w:rPr>
                <w:sz w:val="1"/>
                <w:szCs w:val="1"/>
                <w:color w:val="auto"/>
              </w:rPr>
            </w:pPr>
          </w:p>
        </w:tc>
      </w:tr>
      <w:tr>
        <w:trPr>
          <w:trHeight w:val="23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BALANCE—September 30, 2022</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317,524,746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CCEEFF"/>
          </w:tcPr>
          <w:p>
            <w:pPr>
              <w:jc w:val="right"/>
              <w:ind w:right="83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1,487,992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1,289,439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4"/>
            <w:vMerge w:val="restart"/>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9"/>
              </w:rPr>
              <w:t>Comprehensive Income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9"/>
                <w:szCs w:val="9"/>
                <w:color w:val="auto"/>
              </w:rPr>
            </w:pPr>
          </w:p>
        </w:tc>
        <w:tc>
          <w:tcPr>
            <w:tcW w:w="1120" w:type="dxa"/>
            <w:vAlign w:val="bottom"/>
            <w:vMerge w:val="restart"/>
          </w:tcPr>
          <w:p>
            <w:pPr>
              <w:jc w:val="center"/>
              <w:ind w:right="103"/>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2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309,841,134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1,065,835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832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912,879</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1,715,963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4,459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4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344,362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46,545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46,545</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accumulated other</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0" w:type="dxa"/>
            <w:vAlign w:val="bottom"/>
          </w:tcPr>
          <w:p>
            <w:pPr>
              <w:spacing w:after="0"/>
              <w:rPr>
                <w:sz w:val="1"/>
                <w:szCs w:val="1"/>
                <w:color w:val="auto"/>
              </w:rPr>
            </w:pPr>
          </w:p>
        </w:tc>
      </w:tr>
      <w:tr>
        <w:trPr>
          <w:trHeight w:val="24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BALANCE—September 30, 2021</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311,901,459</w:t>
            </w:r>
          </w:p>
        </w:tc>
        <w:tc>
          <w:tcPr>
            <w:tcW w:w="20" w:type="dxa"/>
            <w:vAlign w:val="bottom"/>
          </w:tcPr>
          <w:p>
            <w:pPr>
              <w:spacing w:after="0"/>
              <w:rPr>
                <w:sz w:val="20"/>
                <w:szCs w:val="20"/>
                <w:color w:val="auto"/>
              </w:rPr>
            </w:pPr>
          </w:p>
        </w:tc>
        <w:tc>
          <w:tcPr>
            <w:tcW w:w="1000" w:type="dxa"/>
            <w:vAlign w:val="bottom"/>
            <w:gridSpan w:val="2"/>
          </w:tcPr>
          <w:p>
            <w:pPr>
              <w:jc w:val="right"/>
              <w:ind w:right="75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20"/>
                <w:szCs w:val="20"/>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1,116,872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w:t>
            </w:r>
          </w:p>
        </w:tc>
        <w:tc>
          <w:tcPr>
            <w:tcW w:w="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(159,275)</w:t>
            </w:r>
          </w:p>
        </w:tc>
        <w:tc>
          <w:tcPr>
            <w:tcW w:w="120" w:type="dxa"/>
            <w:vAlign w:val="bottom"/>
          </w:tcPr>
          <w:p>
            <w:pPr>
              <w:spacing w:after="0"/>
              <w:rPr>
                <w:sz w:val="20"/>
                <w:szCs w:val="20"/>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957,412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center"/>
              <w:ind w:left="127"/>
              <w:spacing w:after="0"/>
              <w:rPr>
                <w:sz w:val="20"/>
                <w:szCs w:val="20"/>
                <w:color w:val="auto"/>
              </w:rPr>
            </w:pPr>
            <w:r>
              <w:rPr>
                <w:rFonts w:ascii="Times New Roman" w:cs="Times New Roman" w:eastAsia="Times New Roman" w:hAnsi="Times New Roman"/>
                <w:sz w:val="13"/>
                <w:szCs w:val="13"/>
                <w:b w:val="1"/>
                <w:bCs w:val="1"/>
                <w:color w:val="auto"/>
                <w:w w:val="97"/>
              </w:rPr>
              <w:t>Class A and Class 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center"/>
              <w:ind w:left="107"/>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jc w:val="center"/>
              <w:ind w:right="4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4"/>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9"/>
                <w:szCs w:val="9"/>
                <w:color w:val="auto"/>
              </w:rPr>
            </w:pPr>
          </w:p>
        </w:tc>
        <w:tc>
          <w:tcPr>
            <w:tcW w:w="1120" w:type="dxa"/>
            <w:vAlign w:val="bottom"/>
            <w:vMerge w:val="restart"/>
          </w:tcPr>
          <w:p>
            <w:pPr>
              <w:jc w:val="center"/>
              <w:ind w:right="103"/>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313,365,437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3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1,197,136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1,041,203</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2,089,044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8,253</w:t>
            </w:r>
          </w:p>
        </w:tc>
        <w:tc>
          <w:tcPr>
            <w:tcW w:w="0" w:type="dxa"/>
            <w:vAlign w:val="bottom"/>
          </w:tcPr>
          <w:p>
            <w:pPr>
              <w:spacing w:after="0"/>
              <w:rPr>
                <w:sz w:val="1"/>
                <w:szCs w:val="1"/>
                <w:color w:val="auto"/>
              </w:rPr>
            </w:pPr>
          </w:p>
        </w:tc>
      </w:tr>
      <w:tr>
        <w:trPr>
          <w:trHeight w:val="25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1,732,731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146,515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261,405</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(21,494)</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(21,126)</w:t>
            </w: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BALANCE—September 30, 2022</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317,524,746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gridSpan w:val="2"/>
          </w:tcPr>
          <w:p>
            <w:pPr>
              <w:jc w:val="right"/>
              <w:ind w:right="83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1,487,992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1,289,439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 w:name="page8"/>
    <w:bookmarkEnd w:id="7"/>
    <w:tbl>
      <w:tblPr>
        <w:tblLayout w:type="fixed"/>
        <w:tblInd w:w="2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70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2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80" w:type="dxa"/>
            <w:vAlign w:val="bottom"/>
          </w:tcPr>
          <w:p>
            <w:pPr>
              <w:spacing w:after="0"/>
              <w:rPr>
                <w:sz w:val="15"/>
                <w:szCs w:val="15"/>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r>
      <w:tr>
        <w:trPr>
          <w:trHeight w:val="29"/>
        </w:trPr>
        <w:tc>
          <w:tcPr>
            <w:tcW w:w="28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7"/>
        </w:trPr>
        <w:tc>
          <w:tcPr>
            <w:tcW w:w="2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BALANCE—December 31, 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305,880,063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Effect of adoption of ASU 2020-06</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r>
      <w:tr>
        <w:trPr>
          <w:trHeight w:val="224"/>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BALANCE—January 1, 2021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305,880,063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9"/>
                <w:szCs w:val="19"/>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4"/>
        </w:trPr>
        <w:tc>
          <w:tcPr>
            <w:tcW w:w="2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4,246,592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1,133,572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501,583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5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r>
      <w:tr>
        <w:trPr>
          <w:trHeight w:val="243"/>
        </w:trPr>
        <w:tc>
          <w:tcPr>
            <w:tcW w:w="2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BALANCE—September 30, 2021</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311,901,459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2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jc w:val="center"/>
              <w:ind w:right="423"/>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48"/>
        </w:trPr>
        <w:tc>
          <w:tcPr>
            <w:tcW w:w="1060" w:type="dxa"/>
            <w:vAlign w:val="bottom"/>
          </w:tcPr>
          <w:p>
            <w:pPr>
              <w:jc w:val="center"/>
              <w:ind w:right="423"/>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8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89"/>
        </w:trPr>
        <w:tc>
          <w:tcPr>
            <w:tcW w:w="1060" w:type="dxa"/>
            <w:vAlign w:val="bottom"/>
          </w:tcPr>
          <w:p>
            <w:pPr>
              <w:jc w:val="center"/>
              <w:ind w:right="383"/>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6"/>
                <w:szCs w:val="16"/>
                <w:color w:val="auto"/>
              </w:rPr>
            </w:pPr>
          </w:p>
        </w:tc>
        <w:tc>
          <w:tcPr>
            <w:tcW w:w="1120" w:type="dxa"/>
            <w:vAlign w:val="bottom"/>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237"/>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1,103,305</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957,432</w:t>
            </w:r>
          </w:p>
        </w:tc>
      </w:tr>
      <w:tr>
        <w:trPr>
          <w:trHeight w:val="242"/>
        </w:trPr>
        <w:tc>
          <w:tcPr>
            <w:tcW w:w="10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(173,070)</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(156,268)</w:t>
            </w:r>
          </w:p>
        </w:tc>
      </w:tr>
      <w:tr>
        <w:trPr>
          <w:trHeight w:val="224"/>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930,235</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(131,361)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801,164</w:t>
            </w:r>
          </w:p>
        </w:tc>
      </w:tr>
      <w:tr>
        <w:trPr>
          <w:trHeight w:val="459"/>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r>
      <w:tr>
        <w:trPr>
          <w:trHeight w:val="230"/>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43"/>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6"/>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51,501</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51,501</w:t>
            </w:r>
          </w:p>
        </w:tc>
      </w:tr>
      <w:tr>
        <w:trPr>
          <w:trHeight w:val="446"/>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9,794</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w:t>
            </w:r>
          </w:p>
        </w:tc>
      </w:tr>
      <w:tr>
        <w:trPr>
          <w:trHeight w:val="256"/>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114,133</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114,133</w:t>
            </w:r>
          </w:p>
        </w:tc>
      </w:tr>
      <w:tr>
        <w:trPr>
          <w:trHeight w:val="432"/>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56"/>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(27,914)</w:t>
            </w:r>
          </w:p>
        </w:tc>
      </w:tr>
      <w:tr>
        <w:trPr>
          <w:trHeight w:val="237"/>
        </w:trPr>
        <w:tc>
          <w:tcPr>
            <w:tcW w:w="10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1,116,872</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(159,275)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957,412</w:t>
            </w:r>
          </w:p>
        </w:tc>
      </w:tr>
      <w:tr>
        <w:trPr>
          <w:trHeight w:val="27"/>
        </w:trPr>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-33655</wp:posOffset>
            </wp:positionV>
            <wp:extent cx="831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-7620</wp:posOffset>
            </wp:positionV>
            <wp:extent cx="831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-196850</wp:posOffset>
            </wp:positionV>
            <wp:extent cx="831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260"/>
            <w:col w:w="5200"/>
          </w:cols>
          <w:pgMar w:left="320" w:top="1145" w:right="339" w:bottom="144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8" w:name="page9"/>
    <w:bookmarkEnd w:id="8"/>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9"/>
        </w:trPr>
        <w:tc>
          <w:tcPr>
            <w:tcW w:w="8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9"/>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(21,126)</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(27,914)</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16,062</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Amortization of discounts or premiums on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11,829</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Amortization of issuance costs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2,510</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12,557</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107,371</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Non-cash lease expense</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12,605</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Allowance for credit losses on accounts receivable</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receivable, net</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(83,738)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(61,880)</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Deferred contract costs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(27,610)</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12,432</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19,226</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Deferred revenue</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101,398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94,865</w:t>
            </w:r>
          </w:p>
        </w:tc>
      </w:tr>
      <w:tr>
        <w:trPr>
          <w:trHeight w:val="167"/>
        </w:trPr>
        <w:tc>
          <w:tcPr>
            <w:tcW w:w="836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303,966</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170,752</w:t>
            </w:r>
          </w:p>
        </w:tc>
      </w:tr>
      <w:tr>
        <w:trPr>
          <w:trHeight w:val="29"/>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8"/>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(1,067,732)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(897,412)</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857,193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935,692</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61,132</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(7,551)</w:t>
            </w: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(19,364)</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paid for acquisition of businesses; net of cash acquired</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(200,202)</w:t>
            </w:r>
          </w:p>
        </w:tc>
      </w:tr>
      <w:tr>
        <w:trPr>
          <w:trHeight w:val="30"/>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(127,705)</w:t>
            </w:r>
          </w:p>
        </w:tc>
      </w:tr>
      <w:tr>
        <w:trPr>
          <w:trHeight w:val="88"/>
        </w:trPr>
        <w:tc>
          <w:tcPr>
            <w:tcW w:w="83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182"/>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10,651</w:t>
            </w: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9,794</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Employee payroll taxes paid related to net share settlement under the employee stock purchase plan</w:t>
            </w:r>
          </w:p>
        </w:tc>
        <w:tc>
          <w:tcPr>
            <w:tcW w:w="2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Repayments of convertible senior notes</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36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21,821</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20,200</w:t>
            </w:r>
          </w:p>
        </w:tc>
      </w:tr>
      <w:tr>
        <w:trPr>
          <w:trHeight w:val="30"/>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2"/>
        </w:trPr>
        <w:tc>
          <w:tcPr>
            <w:tcW w:w="8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w:t>
            </w: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49"/>
        </w:trPr>
        <w:tc>
          <w:tcPr>
            <w:tcW w:w="8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bl>
    <w:p>
      <w:pPr>
        <w:spacing w:after="0" w:line="9" w:lineRule="exact"/>
        <w:rPr>
          <w:sz w:val="20"/>
          <w:szCs w:val="20"/>
          <w:color w:val="auto"/>
        </w:rPr>
      </w:pPr>
    </w:p>
    <w:p>
      <w:pPr>
        <w:sectPr>
          <w:pgSz w:w="11900" w:h="16838" w:orient="portrait"/>
          <w:cols w:equalWidth="0" w:num="1">
            <w:col w:w="11080"/>
          </w:cols>
          <w:pgMar w:left="320" w:top="374" w:right="499" w:bottom="1440" w:gutter="0" w:footer="0" w:header="0"/>
        </w:sectPr>
      </w:pPr>
    </w:p>
    <w:p>
      <w:pPr>
        <w:jc w:val="both"/>
        <w:ind w:left="20" w:right="3380"/>
        <w:spacing w:after="0" w:line="410" w:lineRule="auto"/>
        <w:rPr>
          <w:sz w:val="20"/>
          <w:szCs w:val="20"/>
          <w:color w:val="auto"/>
        </w:rPr>
      </w:pPr>
      <w:r>
        <w:rPr>
          <w:rFonts w:ascii="Times New Roman" w:cs="Times New Roman" w:eastAsia="Times New Roman" w:hAnsi="Times New Roman"/>
          <w:sz w:val="12"/>
          <w:szCs w:val="12"/>
          <w:color w:val="auto"/>
        </w:rPr>
        <w:t>NET INCREASE IN CASH, CASH EQUIVALENTS AND RESTRICTED CASH CASH, CASH EQUIVALENTS AND RESTRICTED CASH—Beginning of period CASH, CASH EQUIVALENTS AND RESTRICTED CASH—End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02945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02945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61,827</w:t>
            </w:r>
          </w:p>
        </w:tc>
      </w:tr>
      <w:tr>
        <w:trPr>
          <w:trHeight w:val="203"/>
        </w:trPr>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274,463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228,711</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297,834</w:t>
            </w:r>
          </w:p>
        </w:tc>
        <w:tc>
          <w:tcPr>
            <w:tcW w:w="10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290,538</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2">
            <w:col w:w="7640" w:space="720"/>
            <w:col w:w="2720"/>
          </w:cols>
          <w:pgMar w:left="320" w:top="374" w:right="49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1,082</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r>
      <w:tr>
        <w:trPr>
          <w:trHeight w:val="108"/>
        </w:trPr>
        <w:tc>
          <w:tcPr>
            <w:tcW w:w="69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9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property and equipment purchases</w:t>
            </w:r>
          </w:p>
        </w:tc>
        <w:tc>
          <w:tcPr>
            <w:tcW w:w="194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1,662</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10,760</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6,762</w:t>
            </w: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194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Issuance of restricted shares of common stock for the acquisition of businesses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7,608</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51,501</w:t>
            </w: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Acquisition holdback</w:t>
            </w:r>
          </w:p>
        </w:tc>
        <w:tc>
          <w:tcPr>
            <w:tcW w:w="194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5,473</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64"/>
        </w:trPr>
        <w:tc>
          <w:tcPr>
            <w:tcW w:w="69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r>
    </w:tbl>
    <w:p>
      <w:pPr>
        <w:spacing w:after="0" w:line="7" w:lineRule="exact"/>
        <w:rPr>
          <w:sz w:val="20"/>
          <w:szCs w:val="20"/>
          <w:color w:val="auto"/>
        </w:rPr>
      </w:pPr>
    </w:p>
    <w:p>
      <w:pPr>
        <w:ind w:left="20" w:right="420"/>
        <w:spacing w:after="0" w:line="265" w:lineRule="auto"/>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WITHIN THE CONDENSED CONSOLIDATED BALANCE SHEETS TO THE AMOUNTS SHOWN IN THE STATEMENTS OF CASH FLOWS ABOVE: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294,815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286,966</w:t>
            </w:r>
          </w:p>
        </w:tc>
      </w:tr>
      <w:tr>
        <w:trPr>
          <w:trHeight w:val="173"/>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w:t>
            </w:r>
          </w:p>
        </w:tc>
      </w:tr>
      <w:tr>
        <w:trPr>
          <w:trHeight w:val="30"/>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297,834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290,538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374" w:right="499" w:bottom="1440" w:gutter="0" w:footer="0" w:header="0"/>
          <w:type w:val="continuous"/>
        </w:sectPr>
      </w:pPr>
    </w:p>
    <w:p>
      <w:pPr>
        <w:spacing w:after="0" w:line="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4"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Datadog, Inc. (“Datadog” or the “Company”) was incorporated in the State of Delaware on June 4, 2010. The Company is the monitoring and security platform for cloud applications.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2022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2021, as filed with the SEC on February 25, 2022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No. 2021-08"), which intends to improve the accounting for acquired revenue contracts with customers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by addressing diversity in practice and inconsistency related to recognition of an acquired contract liability and payment terms and their effect on subsequent revenue recognized by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acquirer. It is effective for interim and annual periods beginning after December 15, 2022, with early adoption permitted. The Company early adopted ASU No. 2021-08 on January 1, 2022 on a prospective basis with no material impact on the Company's condensed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September 30, 2022 and December 31, 2021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898,044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885,362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260,157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133,380</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48"/>
        </w:trPr>
        <w:tc>
          <w:tcPr>
            <w:tcW w:w="5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1,471,448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1,034,573</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1,032,052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1,283,473</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2022, the fair values of available-for-sale marketable securities, by remaining contractual maturity, were as follows (in thousands):</w:t>
      </w:r>
    </w:p>
    <w:p>
      <w:pPr>
        <w:spacing w:after="0" w:line="85"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1,427,583</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43,865</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1,471,448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September 30, 2022 and December 31, 2021,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September 30, 2022</w:t>
            </w: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251,471</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251,471</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885,362</w:t>
            </w: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260,157</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171,960</w:t>
            </w: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133,380</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w:t>
            </w: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251,471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1,475,564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1,727,035</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2021</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1,032,052</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1,525,044</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U.S. government agency securities, and U.S. and non-U.S.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86,189</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130,338</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(55,186)</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$7.2 million and $19.4 million for the three and nine months ended September 30, 2022, respectively. Depreciation and amortization expense was approximately $4.7 million and $13.1 million for the three and nine months ended September 30,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Company entered into two purchase agreements for acquisitions of businesses, both of which transactions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$5.6 million and goodwill in the amount of $44.4 million based on the respective estimated fair values. The resulting goodwill from both acquisitions is not deductible for income tax purposes. Pro forma results of operations from these acquisitions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October and December 2021, the Company entered into two purchase agreements for the acquisitions of businesses, both of which transactions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$4.3 million and goodwill in the amount of $36.6 million based on the respective estimated fair values. The resulting goodwill from both acquisitions is not deductible for income tax purposes. Pro forma results of operations from these acquisitions have not been presented because they were not material to the consolidated results of operations.</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April 2021, the Company entered into a Stock Purchase Agreement pursuant to which the Company acquired all of the issued and outstanding shares of a SaaS based security platform company. The consideration was approximately $219.4 million, comprising cash and Class A common stock. The 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accordingly, the total fair value of the purchase consideration was allocated to the tangible and intangible assets acquired and liabilities assumed based on their estimated fair values on the acquisition date. The total preliminary purchase price allocated to intangible assets and goodwill was $12.0 million and $204.3 million, respectively. The resulting goodwill is not deductible for income tax purposes. Intangible assets consisted of developed technology in the amount of $8.7 million and customer relationships in the amount of $3.3 million. The useful life for developed technology and customer relationships are three and four years, respectively. Additionally, there was a one-time severance charge of $1.3 million recorded on the acquisition date. Goodwill resulted primarily from the expectation of enhancing the Company's current application security tools. Pro forma results of operations for this acquisition have not been presented because they were not material to the condensed consolidated results of operations.</w:t>
      </w:r>
    </w:p>
    <w:p>
      <w:pPr>
        <w:spacing w:after="0" w:line="1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Stock Purchase Agreement pursuant to which the Company acquired all of the issued and outstanding shares of a target company with the purchase price paid in cash and Class A common stock.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was allocated to intangible assets in the amount of $1.7 million and goodwill in the amount of $34.3 million based on the respective estimated fair values. Goodwill resulted primarily from the expectation of enhancing the Company's current observability tools. The resulting goodwill is not deductible for income tax purposes. Pro forma results of operations for this acquisition have not been presented because they were not material to the condensed consolidated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approximately $2.1 million and $1.5 million for the three months ended September 30, 2022 and 2021, respectively, and $5.4 million and $3.0 million for the nine months ended September 30, 2022 and 2021,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2022,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292,176</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Acquisitions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332,649</w:t>
            </w:r>
          </w:p>
        </w:tc>
        <w:tc>
          <w:tcPr>
            <w:tcW w:w="0" w:type="dxa"/>
            <w:vAlign w:val="bottom"/>
          </w:tcPr>
          <w:p>
            <w:pPr>
              <w:spacing w:after="0"/>
              <w:rPr>
                <w:sz w:val="1"/>
                <w:szCs w:val="1"/>
                <w:color w:val="auto"/>
              </w:rPr>
            </w:pPr>
          </w:p>
        </w:tc>
      </w:tr>
      <w:tr>
        <w:trPr>
          <w:trHeight w:val="21"/>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w:t>
      </w:r>
    </w:p>
    <w:p>
      <w:pPr>
        <w:sectPr>
          <w:pgSz w:w="11900" w:h="16838" w:orient="portrait"/>
          <w:cols w:equalWidth="0" w:num="1">
            <w:col w:w="11240"/>
          </w:cols>
          <w:pgMar w:left="320" w:top="1105"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0.125% per year, payable semiannually in arrears on June 15 and December 15 of each year, beginning on December 15, 2020. The 2025 Notes will mature on June 15, 2025, unless earlier converted, redeemed or repurchased.</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September 30, 2022. Therefore the 2025 Notes are not convertible, in whole or in part, at the option of the holders between October 1, 2022 through December 31, 2022. Whether the 2025 Notes will be convertible following such period will depend on the continued satisfaction of this condition or another conversion condition in the future.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As of September 30, 2022, the Company has received an immaterial amount of conversion notices from the holders and the 2025 Notes were classified as long-term debt on the Company's condensed consolidated balance sheet.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No. 2020-06”)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940" w:type="dxa"/>
            <w:vAlign w:val="bottom"/>
            <w:shd w:val="clear" w:color="auto" w:fill="CCEEFF"/>
          </w:tcPr>
          <w:p>
            <w:pPr>
              <w:jc w:val="center"/>
              <w:ind w:right="569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747,500</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(12,018)</w:t>
            </w:r>
          </w:p>
        </w:tc>
      </w:tr>
      <w:tr>
        <w:trPr>
          <w:trHeight w:val="223"/>
        </w:trPr>
        <w:tc>
          <w:tcPr>
            <w:tcW w:w="7940" w:type="dxa"/>
            <w:vAlign w:val="bottom"/>
          </w:tcPr>
          <w:p>
            <w:pPr>
              <w:jc w:val="center"/>
              <w:ind w:right="565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735,482</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2022, the total estimated fair value of the 2025 Notes was approximately $892.8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95"/>
        </w:trPr>
        <w:tc>
          <w:tcPr>
            <w:tcW w:w="4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5"/>
        </w:trPr>
        <w:tc>
          <w:tcPr>
            <w:tcW w:w="44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48"/>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nine months ended September 30, 2022,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beginning on January 1, 2022, the Company began making matching contributions to the 401(k) plan. For the three and nine months ended September 30, 2022, the Company incurred expense of $1.6 million and $4.3 million, respectively, for matching contributions. The Company did not make any matching contributions to the 401(k) plan for the three and nine months ended September 30, 2021.</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2022 and 2033. Certain lease agreements contain an option for the Company to renew a lease for a term of up to five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20" w:type="dxa"/>
            <w:vAlign w:val="bottom"/>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5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1"/>
                <w:szCs w:val="21"/>
                <w:color w:val="auto"/>
                <w:vertAlign w:val="superscript"/>
              </w:rPr>
              <w:t>(1)</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6,438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17,703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2,789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right="220" w:hanging="332"/>
        <w:spacing w:after="0" w:line="302" w:lineRule="auto"/>
        <w:tabs>
          <w:tab w:leader="none" w:pos="33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$5.5 million and $4.5 million for the three months ended September 30, 2022 and 2021, respectively, and $15.2 million and $12.6 million for the nine months ended September 30, 2022 and 2021, respectively.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20" w:type="dxa"/>
            <w:vAlign w:val="bottom"/>
            <w:tcBorders>
              <w:bottom w:val="single" w:sz="8" w:color="CFF0FC"/>
            </w:tcBorders>
          </w:tcPr>
          <w:p>
            <w:pPr>
              <w:spacing w:after="0"/>
              <w:rPr>
                <w:sz w:val="17"/>
                <w:szCs w:val="17"/>
                <w:color w:val="auto"/>
              </w:rPr>
            </w:pPr>
          </w:p>
        </w:tc>
        <w:tc>
          <w:tcPr>
            <w:tcW w:w="326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14,878</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r>
      <w:tr>
        <w:trPr>
          <w:trHeight w:val="859"/>
        </w:trPr>
        <w:tc>
          <w:tcPr>
            <w:tcW w:w="5220" w:type="dxa"/>
            <w:vAlign w:val="bottom"/>
          </w:tcPr>
          <w:p>
            <w:pPr>
              <w:spacing w:after="0"/>
              <w:rPr>
                <w:sz w:val="24"/>
                <w:szCs w:val="24"/>
                <w:color w:val="auto"/>
              </w:rPr>
            </w:pPr>
          </w:p>
        </w:tc>
        <w:tc>
          <w:tcPr>
            <w:tcW w:w="32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9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2027 and beyond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61,111</w:t>
            </w: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126,502</w:t>
            </w:r>
          </w:p>
        </w:tc>
      </w:tr>
      <w:tr>
        <w:trPr>
          <w:trHeight w:val="229"/>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(27,817)</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98,685</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various operating leases that had not yet commenced, which are excluded from the table above. The operating leases will commence between fiscal year 2022 and 2025 with total undiscounted future payments of $140.6 million and a weighted-average lease term of 8.9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760" w:type="dxa"/>
            <w:vAlign w:val="bottom"/>
            <w:tcBorders>
              <w:bottom w:val="single" w:sz="8" w:color="CFF0FC"/>
            </w:tcBorders>
          </w:tcPr>
          <w:p>
            <w:pPr>
              <w:spacing w:after="0"/>
              <w:rPr>
                <w:sz w:val="16"/>
                <w:szCs w:val="16"/>
                <w:color w:val="auto"/>
              </w:rPr>
            </w:pPr>
          </w:p>
        </w:tc>
        <w:tc>
          <w:tcPr>
            <w:tcW w:w="14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503,356</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123,857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199,230</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702,586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Revenue recognized during the three months ended September 30, 2022 and 2021, which was included in the deferred revenue balances at the beginning of each such period, was $200.4 million and $131.6 million, respectively. Revenue recognized during the nine months ended September 30, 2022 and 2021 that was included in the deferred revenue balances at the beginning of each such period was $344.4 million and $192.4 million, respectively.</w:t>
      </w:r>
    </w:p>
    <w:p>
      <w:pPr>
        <w:spacing w:after="0" w:line="15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2022 and December 31, 2021, the aggregate transaction price allocated to remaining performance obligations was $941.0 million and $815.0 million, respectively. There is uncertainty in the timing of revenues associated with the Company’s drawdown contracts, as future revenue can often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vary significantly from past revenue. However, the Company expects to recognize substantially all of the remaining performance obligations over the next 24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nine months ended September 30, 2022 and 2021, the Company charged $1.5 million and $1.2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2022 and December 31, 2021, unbilled accounts receivable of approximately $63.1 million and $44.2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$80.0 million and $65.3 million as of September 30, 2022 and December 31, 2021, respectively. Amortization expense was $7.3 million and $4.7 million for the three months ended September 30, 2022 and 2021, respectively, and was $19.9 million and $12.6 million for the nine months ended September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122,356 shares and 24,515,866 shares of Class B common stock were converted into Class A common stock, respectively.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authorized 2,000,000,000 shares of Class A common stock and 310,000,000 shares of Class B common stock, each at a par value per share of $0.00001, of which 292,014,760 shares of Class A common stock and 25,509,986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September 30, 2022, there were 19,127,195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awards, restricted stock units (“RSUs”) and performance stock units ("PSUs") and other awards, each equity award valued or based on the Company’s Class A common stock, to employees, directors, consultants and advisors of the Company. As of September 30, 2022,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64,768,179 shares available for grant under the 2019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21,372,561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3,735,819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(2,089,044)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288"/>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outstanding—September 30, 2022</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19,155,877</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1,638,803</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Exercisable—September 30, 2022</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17,395,549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1,500,215</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28,682 shares of Class A common stock and 19,127,195 shares of Class B common stock issuable upon the exercise of options outstanding. As of December 31, 2021, there were 31,671 shares of Class A common stock and 21,340,890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awards not yet recognized was approximately $14.7 million and $31.6 million as of September 30, 2022 and December 31, 2021, respectively. The weighted-average period over which this compensation cost related to unvested employee awards will be recognized is 0.8 years and 1.3 years as of September 30, 2022 and December 31, 2021,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options granted during the nine months ended September 30, 2022 and 2021. The Company received approximately $8.3 million and $10.7 million in cash proceeds from options exercised during the nine months ended September 30, 2022 and 2021, respectively. The intrinsic value of options exercised during the nine months ended September 30, 2022 and 2021 was approximately $258.4 million and $434.1 million, respectively. The aggregate fair value of options vested during the nine months ended September 30, 2022 and 2021 was $18.7 million and $21.5 million, respectively.</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no liability recorded related to early exercises of options as of September 30, 2022. As of December 31, 2021, the Company had recorded liabilities related to early exercises of options for 31,500 shares of Class B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Awards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8,081,269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(1,732,731)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and outstanding—September 30, 2022</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11,655,591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granted a total of 994,356 restricted shares of Class A common stock in connection with acquisitions during the period from November 2019 to June 2022, which are subject to service-based vesting conditions over approximately four years from the respective grant dates.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0" w:name="page21"/>
    <w:bookmarkEnd w:id="2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PSUs and restricted shares of common stock not yet recognized was approximately $1,167.9 million and $773.6 million as of September 30, 2022 and December 31, 2021, respectively. The weighted-average period over which this compensation cost related to unvested RSUs, PSUs and restricted shares will be recognized is 3.0 years and 3.1 years as of September 30, 2022 and December 31,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 which became effective on the date of the final prospectus for the IPO.</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$2.8 million and $7.5 million of stock-based compensation expense related to the ESPP during the three and nine months ended September 30, 2022, respectively. As of September 30, 2022, $12.5 million has been withheld on behalf of employees for a future purchase under the ESPP due to the timing of payroll deductions. During the nine months ended September 30, 2022, the Company issued 146,515 shares of Class A common stock under the ESPP. As of September 30, 2022, 14,976,951 shares of Class A common stock remain available for grant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considered probable that the performance condition will be satisfied and account for forfeitures as they occur.</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4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4840" w:type="dxa"/>
            <w:vAlign w:val="bottom"/>
            <w:tcBorders>
              <w:bottom w:val="single" w:sz="8" w:color="CFF0FC"/>
            </w:tcBorders>
          </w:tcPr>
          <w:p>
            <w:pPr>
              <w:spacing w:after="0"/>
              <w:rPr>
                <w:sz w:val="3"/>
                <w:szCs w:val="3"/>
                <w:color w:val="auto"/>
              </w:rPr>
            </w:pPr>
          </w:p>
        </w:tc>
        <w:tc>
          <w:tcPr>
            <w:tcW w:w="8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4"/>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64,947</w:t>
            </w:r>
          </w:p>
        </w:tc>
      </w:tr>
      <w:tr>
        <w:trPr>
          <w:trHeight w:val="27"/>
        </w:trPr>
        <w:tc>
          <w:tcPr>
            <w:tcW w:w="4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23,355</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r>
      <w:tr>
        <w:trPr>
          <w:trHeight w:val="27"/>
        </w:trPr>
        <w:tc>
          <w:tcPr>
            <w:tcW w:w="484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4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8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101,362</w:t>
            </w:r>
          </w:p>
        </w:tc>
        <w:tc>
          <w:tcPr>
            <w:tcW w:w="1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250,645</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107,371</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8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r>
      <w:tr>
        <w:trPr>
          <w:trHeight w:val="27"/>
        </w:trPr>
        <w:tc>
          <w:tcPr>
            <w:tcW w:w="484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105,282</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46,545</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261,405</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114,133</w:t>
            </w: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24"/>
        </w:trPr>
        <w:tc>
          <w:tcPr>
            <w:tcW w:w="48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1"/>
        </w:trPr>
        <w:tc>
          <w:tcPr>
            <w:tcW w:w="56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6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4,830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15,970</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56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5,040</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16,105</w:t>
            </w: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has an effective tax rate of (12.7)% and (15.0)% for the three months ended September 30, 2022 and 2021, respectively, and (72.9)% and (3.6)% for the nine months ended September 30, 2022 and 2021. The Company has incurred U.S. operating losses and has minimal profits in its foreign jurisdictions during the quarter.</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deemed</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immaterial for each of the nine months ended September 30, 2022 and 2021. The Company’s policy is to recognize interest and penalties related to uncertain tax positions in income tax expense. The Company is subject to U.S. federal tax authority, U.S. state tax authority and foreign tax authority examinations.</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tax years beginning on or after January 1, 2022, the Tax Cuts and Jobs Act of 2017 eliminates the option to deduct research and development expenditures, as defined under IRC Section 174, in the year incurred. Instead, taxpayers are required to amortize such expenditures over five years if incurred in the U.S. and over fifteen years if incurred in a foreign jurisdiction. For the nine months ended September 30, 2022, the Company conformed to this change in tax law.</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("the Act") was signed into law. The Act includes a 15.0% corporate alternative minimum tax on the adjusted financial statement income of applicable corporations and a 1.0% excise tax on all corporate stock buybacks of public companies for tax years beginning after December 31, 2022. For the nine months ended September 30, 2022, the impact of the tax provisions of the Act were not material to the Company's provision for income taxes. The Company will continue to monitor any changes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loss per common share is presented in conformity with the two-class method required for participating securities. Basic and diluted net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per share of Class A common stock, the undistributed earnings are equal to net loss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Basic net loss per share:</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Weighted-average shares used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calculating net loss per share, basic</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73,146</w:t>
            </w: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loss per share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Allocation of distributed net loss for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 computation</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Reallocation of undistributed net loss as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 result of conversion of Class B to</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A shares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Allocation of undistributed loss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Number of shares used in basic calculation</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73,146</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effect of diluted</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Conversion of Class B to Class A</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shares outstanding</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4"/>
                <w:szCs w:val="14"/>
                <w:color w:val="auto"/>
              </w:rPr>
              <w:t>Number of shares used in diluted</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calculation</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33,398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73,146</w:t>
            </w:r>
          </w:p>
        </w:tc>
        <w:tc>
          <w:tcPr>
            <w:tcW w:w="0" w:type="dxa"/>
            <w:vAlign w:val="bottom"/>
          </w:tcPr>
          <w:p>
            <w:pPr>
              <w:spacing w:after="0"/>
              <w:rPr>
                <w:sz w:val="1"/>
                <w:szCs w:val="1"/>
                <w:color w:val="auto"/>
              </w:rPr>
            </w:pPr>
          </w:p>
        </w:tc>
      </w:tr>
      <w:tr>
        <w:trPr>
          <w:trHeight w:val="21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760" w:type="dxa"/>
            <w:vAlign w:val="bottom"/>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37"/>
        </w:trPr>
        <w:tc>
          <w:tcPr>
            <w:tcW w:w="84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13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29,556</w:t>
            </w:r>
          </w:p>
        </w:tc>
      </w:tr>
      <w:tr>
        <w:trPr>
          <w:trHeight w:val="27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and restricted shares of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2021, or the Annual Report. This discussion, particularly information with respect to our future results of operations or financial condition, business strategy, plans and objectives of management for future operations and the potential impact that macroeconomic events such as the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monitoring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2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2022, we had $297.8 million in cash, cash equivalents and restricted cash and $1.5 billion in marketable securities. We generated revenue of $436.5 million and $270.5 million in the three months ended September 30, 2022 and 2021, respectively, representing year-over-year growth of 61%. For the nine months ended September 30, 2022 and 2021, our revenue was $1,205.7 million and $702.6 million, respectively, representing year-over-year growth of 72%. Substantially all of our revenue is subscription software sales. Our net loss was $(26.0) million and $(5.5) million for the three months ended September 30, 2022 and 2021, respectively, and $(21.1) million and $(27.9) million for the nine months ended September 30, 2022 and 2021, respectively. We generated operating cash flow of $304.0 million and $170.8 million in the nine months ended September 30, 2022 and 2021, respectively. Our free cash flow was $257.2 million and $143.8 million in the nine months ended September 30, 2022 and 2021, respectively. See the section titled “—Liquidity and Capital Resources—Non-GAAP Free Cash Flow” for additional information.</w:t>
      </w: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the COVID-19 pandemic, rising inflation, the U.S. Federal Reserve raising interest rates and the Russian invasion of Ukraine have led to economic uncertainty. Historically, during periods of economic uncertainty and downturns, businesses may slow spending on information technology, which may impact our business and our customers’ businesses. In recent quarters, we have seen slower usage growth from some existing customers, which may be related to the uncertain macroeconomic environment.</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Throughout the COVID-19 pandemic to the extent possible, we conducted business as usual, with necessary or advisable modifications to employee travel and employee work locations and canceling or holding virtually Datadog marketing events. Since the end of the quarter ended March 31, 2022, we have continued to increase our office activity, such as in-person meetings, events, and travel in compliance with applicable government orders and guidelines. As we continue to increase office activity globally, increase travel, participate in and hold more in-person meetings and events, continue hiring and increase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capital expenditures for additional office space, our costs and expenses may increase and our margins may decrease in future quarters.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2022, we had approximately 22,200 customers spanning organizations of a broad range of sizes and industries, compared to approximately 17,500 as of September 30, 2021.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43"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September 30, 2022, we had approximately 2,600 customers with annual run-rate revenue, or ARR, of $100,000 or more, representing 85% of our ARR, up from 1,800 customers as of September 30, 2021, representing 82%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We updated the definition of MRR as of the quarter ended September 30, 2021 to capture usage from subscriptions with committed contractual amounts and applied this change</w:t>
      </w:r>
    </w:p>
    <w:p>
      <w:pPr>
        <w:spacing w:after="0" w:line="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retrospectively.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September 30, 2022 and 2021,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2020</w:t>
      </w:r>
      <w:r>
        <w:rPr>
          <w:rFonts w:ascii="Arial" w:cs="Arial" w:eastAsia="Arial" w:hAnsi="Arial"/>
          <w:sz w:val="18"/>
          <w:szCs w:val="18"/>
          <w:color w:val="333333"/>
        </w:rPr>
        <w:t>.</w:t>
      </w:r>
      <w:r>
        <w:rPr>
          <w:rFonts w:ascii="Times New Roman" w:cs="Times New Roman" w:eastAsia="Times New Roman" w:hAnsi="Times New Roman"/>
          <w:sz w:val="18"/>
          <w:szCs w:val="18"/>
          <w:color w:val="auto"/>
        </w:rPr>
        <w:t xml:space="preserve"> As of September 30, 2022, approximately 80% of our customers were using more than one product, up from approximately 77% a year earlier. We believe these metrics indicate strong momentum in the uptake of our newer platform products.</w:t>
      </w:r>
    </w:p>
    <w:p>
      <w:pPr>
        <w:spacing w:after="0" w:line="19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28% of total revenue in each of the nine months ended September 30, 2022 and 2021. In addition, we have made and plan to continue to make significant investments to expand geographically, particularly in the Europe, Middle East, and Africa and Asia-Pacific regions.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2025 Notes (as defined below) and amortization of premiums on our marketable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00" w:type="dxa"/>
            <w:vAlign w:val="bottom"/>
            <w:gridSpan w:val="4"/>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436,533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1,205,701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702,586</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167,096</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535,490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533,695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286,720</w:t>
            </w:r>
          </w:p>
        </w:tc>
        <w:tc>
          <w:tcPr>
            <w:tcW w:w="0" w:type="dxa"/>
            <w:vAlign w:val="bottom"/>
          </w:tcPr>
          <w:p>
            <w:pPr>
              <w:spacing w:after="0"/>
              <w:rPr>
                <w:sz w:val="1"/>
                <w:szCs w:val="1"/>
                <w:color w:val="auto"/>
              </w:rPr>
            </w:pPr>
          </w:p>
        </w:tc>
      </w:tr>
      <w:tr>
        <w:trPr>
          <w:trHeight w:val="27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210,592</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65,789</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374,276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212,051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979,782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563,101</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(26,954)</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3"/>
                <w:szCs w:val="23"/>
                <w:color w:val="auto"/>
              </w:rPr>
            </w:pPr>
          </w:p>
        </w:tc>
        <w:tc>
          <w:tcPr>
            <w:tcW w:w="2300" w:type="dxa"/>
            <w:vAlign w:val="bottom"/>
            <w:gridSpan w:val="4"/>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101,362</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43,995</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250,645</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107,371</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0"/>
        </w:trPr>
        <w:tc>
          <w:tcPr>
            <w:tcW w:w="452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1,900</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1,311</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2,108</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1,540</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1,799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1,275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2,711</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3,380</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8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2"/>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56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66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6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843</w:t>
            </w:r>
          </w:p>
        </w:tc>
        <w:tc>
          <w:tcPr>
            <w:tcW w:w="9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2,525</w:t>
            </w:r>
          </w:p>
        </w:tc>
        <w:tc>
          <w:tcPr>
            <w:tcW w:w="5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7"/>
        </w:trPr>
        <w:tc>
          <w:tcPr>
            <w:tcW w:w="56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r>
      <w:tr>
        <w:trPr>
          <w:trHeight w:val="190"/>
        </w:trPr>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37"/>
        </w:trPr>
        <w:tc>
          <w:tcPr>
            <w:tcW w:w="4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590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4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gridSpan w:val="6"/>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0"/>
        </w:trPr>
        <w:tc>
          <w:tcPr>
            <w:tcW w:w="4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860" w:type="dxa"/>
            <w:vAlign w:val="bottom"/>
          </w:tcPr>
          <w:p>
            <w:pPr>
              <w:spacing w:after="0"/>
              <w:rPr>
                <w:sz w:val="21"/>
                <w:szCs w:val="21"/>
                <w:color w:val="auto"/>
              </w:rPr>
            </w:pPr>
          </w:p>
        </w:tc>
      </w:tr>
      <w:tr>
        <w:trPr>
          <w:trHeight w:val="250"/>
        </w:trPr>
        <w:tc>
          <w:tcPr>
            <w:tcW w:w="5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94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494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94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(4)%</w:t>
            </w:r>
          </w:p>
        </w:tc>
      </w:tr>
      <w:tr>
        <w:trPr>
          <w:trHeight w:val="21"/>
        </w:trPr>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436,533</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270,488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166,045</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$166.0 million, or 61%, for the three months ended September 30, 2022 compared to the three months ended September 30, 2021.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rPr>
              <w:t>93,599</w:t>
            </w:r>
          </w:p>
        </w:tc>
        <w:tc>
          <w:tcPr>
            <w:tcW w:w="54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63,332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30,267</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$30.3 million, or 48%, for the three months ended September 30, 2022 compared to the three months ended September 30, 2021. This increase was primarily due to an increase of $21.0 million in third-party cloud infrastructure hosting and software costs, an increase of $5.5 million in personnel expenses as a result of increased headcount, and an increase of $2.0 million in depreciation and amortization expense.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by 2% for the three months ended September 30, 2022 compared to the three months ended September 30, 2021, primarily as a result of increased revenue and cost savings from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205,388</w:t>
            </w:r>
          </w:p>
        </w:tc>
        <w:tc>
          <w:tcPr>
            <w:tcW w:w="54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112,675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92,713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$92.7 million, or 82%, for the three months ended September 30, 2022 compared to the three months ended September 30, 2021. This increase was primarily due to an increase of $78.2 million in personnel costs for our engineering, product and design teams as a result of increased headcount, an increase of $9.8 million in cloud infrastructure-related investments, and an increase of $3.9 million in allocated overhead costs as a result of an increase in overall costs necessary to support the growth of the business and related infrastructure.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9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129,493</w:t>
            </w:r>
          </w:p>
        </w:tc>
        <w:tc>
          <w:tcPr>
            <w:tcW w:w="52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75,827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30 %</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$53.7 million, or 71%, for the three months ended September 30, 2022 compared to the three months ended September 30, 2021. This increase was primarily due to an increase of $42.5 million in</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personnel costs for our sales and marketing organization as a result of increased headcount and increased variable compensation for our sales personnel, an increase of $4.3 million in allocated overhead costs as a result of an increase in overall costs necessary to support the growth of the business and related infrastructure, and an increase of $5.9 million in advertising, sales, marketing, and promotional activities.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39,395</w:t>
            </w:r>
          </w:p>
        </w:tc>
        <w:tc>
          <w:tcPr>
            <w:tcW w:w="54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23,549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$15.8 million, or 67%, for the three months ended September 30, 2022 compared to the three months ended September 30, 2021. This increase was primarily due to an increase of $12.8 million in personnel costs as a result of increased headcount, an increase of $1.3 million related to bad debt expense, and an increase of $1.2 million in other costs and allocated overhead costs as a result of an increase in overall costs necessary to support the growth of the business and related infrastructure.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8,283</w:t>
            </w:r>
          </w:p>
        </w:tc>
        <w:tc>
          <w:tcPr>
            <w:tcW w:w="940" w:type="dxa"/>
            <w:vAlign w:val="bottom"/>
            <w:tcBorders>
              <w:bottom w:val="single" w:sz="8" w:color="CFF0FC"/>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2 %</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net increased by $8.2 million, or 6,371%, for the three months ended September 30, 2022 compared to the three months ended September 30, 2021. This increase was primarily driven by an increase of $4.3 million in interest income, mainly due to income earned from investments in marketable securities, an increase of $2.7 million in other income mainly due to fluctuations related to foreign currency exchange rates, and a decrease of $1.2 million in amortization of premiums on our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1,205,701</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702,586</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503,115</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$503.1 million, or 72%, in the nine months ended September 30, 2022 compared to the nine months ended September 30, 2021.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249,986</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167,096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82,890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1" w:name="page32"/>
    <w:bookmarkEnd w:id="31"/>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increased by $82.9 million, or 50%, in the nine months ended September 30, 2022 compared to the nine months ended September 30, 2021. This increase was primarily due to an increase of $61.6 million in third-party cloud infrastructure hosting and software costs, an increase of $10.9 million in personnel expenses as a result of increased headcount, an increase of $5.5 million of depreciation and amortization, and an increase of $3.9 million of credit card processing fees.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3% for the nine months ended September 30, 2022 compared to the nine months ended September 30, 2021, primarily as a result of increased revenue and cost savings from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533,695</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286,720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246,975</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$247.0 million, or 86%, in the nine months ended September 30, 2022 compared to the nine months ended September 30, 2021. This increase was primarily due to an increase of $201.3 million in personnel costs for our engineering, product and design teams as a result of increased headcount, an increase of $31.8 million in cloud infrastructure-related investments, and an increase of $10.9 million in allocated overhead costs as a result of an increase in overall costs necessary to support the growth of the business and related infrastructure.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2"/>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5"/>
        </w:trPr>
        <w:tc>
          <w:tcPr>
            <w:tcW w:w="5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5"/>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345,929</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210,592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135,337</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$135.3 million, or 64%, in the nine months ended September 30, 2022 compared to the nine months ended September 30, 2021. This increase was primarily due to an increase of $112.0 million in personnel costs for our sales and marketing organization as a result of increased headcount and increased variable compensation for our sales personnel, an increase of $10.7 million in allocated overhead costs as a result of an increase in overall costs necessary to support the growth of the business and related infrastructure, and an increase of $9.1 million in advertising, sales, marketing and promotional activities.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100,158</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65,789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34,369</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$34.4 million, or 52%, in the nine months ended September 30, 2022 compared to the nine months ended September 30, 2021. This increase was primarily due to an increase of $28.6 million in personnel expenses as a result of increased headcount, an increase of $2.8 million related to other costs and allocated overhead costs to support the growing business, and an increase of $2.7 million related to bad debt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11,851</w:t>
            </w:r>
          </w:p>
        </w:tc>
        <w:tc>
          <w:tcPr>
            <w:tcW w:w="940" w:type="dxa"/>
            <w:vAlign w:val="bottom"/>
            <w:tcBorders>
              <w:bottom w:val="single" w:sz="8" w:color="CFF0FC"/>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1 %</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net increased by $11.2 million, or 1704%, in the nine months ended September 30, 2022 compared to the nine months ended September 30, 2021. This increase was primarily driven by an increase of $5.4 million in interest income, mainly due to income earned from investments in marketable securities, an increase of $3.9 million in other income mainly due to fluctuations related to foreign currency exchange rates, and a decrease of $1.9 million in amortization of premiums on our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nine months ended September 30, 2022 and 2021, and have historically supplemented working capital requirements through net proceeds from the sale of debt and equity securities. When assessing sources of liquidity, we also include cash and cash equivalents of $294.8 million and marketable securities of $1.5 billion as of September 30, 2022. We believe that our existing cash and cash equivalents, marketable securities and cash flow from operations will be sufficient to support our cash requirements for the next 12 months and beyond.</w:t>
      </w:r>
    </w:p>
    <w:p>
      <w:pPr>
        <w:spacing w:after="0" w:line="195" w:lineRule="exact"/>
        <w:rPr>
          <w:sz w:val="20"/>
          <w:szCs w:val="20"/>
          <w:color w:val="auto"/>
        </w:rPr>
      </w:pPr>
    </w:p>
    <w:p>
      <w:pPr>
        <w:jc w:val="both"/>
        <w:ind w:firstLine="486"/>
        <w:spacing w:after="0" w:line="229" w:lineRule="auto"/>
        <w:rPr>
          <w:sz w:val="20"/>
          <w:szCs w:val="20"/>
          <w:color w:val="auto"/>
        </w:rPr>
      </w:pPr>
      <w:r>
        <w:rPr>
          <w:rFonts w:ascii="Times New Roman" w:cs="Times New Roman" w:eastAsia="Times New Roman" w:hAnsi="Times New Roman"/>
          <w:sz w:val="18"/>
          <w:szCs w:val="18"/>
          <w:color w:val="auto"/>
        </w:rPr>
        <w:t xml:space="preserve">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 In July 2022, the Company entered into an agreement to extend its New York headquarters lease and lease new floors within the same building.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w:t>
      </w:r>
    </w:p>
    <w:p>
      <w:pPr>
        <w:spacing w:after="0" w:line="202"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During the nine months ended September 30, 2022,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24"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303,966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(295,550)</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21,821</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2022 increased $133.2 million compared to the nine months ended September 30, 2021, primarily driven by an increase in non-cash charges of $161.1 million and an increase in deferred revenue of $6.5 million. The increase in non-cash charges related primarily to an increase of $143.3 million in stock-based compensation as we continued to increase headcount to support the growth of the business. The increase in deferred revenue resulted primarily from increased billings for subscriptions. The increase in cash provided by operating activities was offset by an increase in accounts receivable of $21.9 million due to increases in sales, a decrease in accounts payable of $9.9 million, and an increase in prepaid expenses and other current assets of $10.3 million.</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3" w:name="page34"/>
    <w:bookmarkEnd w:id="33"/>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increased $167.8 million compared to the nine months ended September 30, 2022, primarily driven by an increase in the investment in marketable securities of $170.3 million, a decrease in proceeds from maturities of marketable securities of $78.5 million, a decrease in proceeds from the sale of marketable securities of $59.0 million, and an increase in purchases of property and equipment of $17.7 million. The increase in cash used in investing activities was offset by a decrease in cash paid for the acquisition of businesses net of cash acquired of $159.9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increased $1.6 million compared to the nine months ended September 30, 2021, primarily due to an increase in proceeds from the issuance of Class A common stock under the ESPP of $3.8 million and offset by a decrease in proceeds from the exercise of stock options of $2.4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w:t>
      </w:r>
    </w:p>
    <w:p>
      <w:pPr>
        <w:spacing w:after="0" w:line="6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9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303,966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170,752</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(25,207)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(21,592)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257,167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143,837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30, 2022, we had $255.6 million in cash equivalents and $1.5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commercial paper, U.S. government treasury securities, certificates of deposit, U.S. government agency securities, and U.S. and non-U.S. government treasury securities</w:t>
      </w:r>
      <w:r>
        <w:rPr>
          <w:rFonts w:ascii="Times New Roman" w:cs="Times New Roman" w:eastAsia="Times New Roman" w:hAnsi="Times New Roman"/>
          <w:sz w:val="18"/>
          <w:szCs w:val="18"/>
          <w:color w:val="333333"/>
        </w:rPr>
        <w:t>. In addition, we had</w:t>
      </w:r>
      <w:r>
        <w:rPr>
          <w:rFonts w:ascii="Times New Roman" w:cs="Times New Roman" w:eastAsia="Times New Roman" w:hAnsi="Times New Roman"/>
          <w:sz w:val="18"/>
          <w:szCs w:val="18"/>
          <w:color w:val="auto"/>
        </w:rPr>
        <w:t xml:space="preserve"> $3.0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 a fluctuation in interest rates, which may affect our interest income and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market value of our investments. </w:t>
      </w:r>
      <w:r>
        <w:rPr>
          <w:rFonts w:ascii="Times New Roman" w:cs="Times New Roman" w:eastAsia="Times New Roman" w:hAnsi="Times New Roman"/>
          <w:sz w:val="18"/>
          <w:szCs w:val="18"/>
          <w:color w:val="000000"/>
        </w:rPr>
        <w:t>As of September 30, 2022, a hypothetical 10% relative change in interest rates would not have a material impact on our</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condensed consolidated financial statements.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2022.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any related economic downturn could negatively impact our business,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The war in Ukraine and the related political and economic responses imposed on Russia such as sanctions, may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whom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$1,205.7 million and $702.6 million for the nine months ended September 30, 2022 and 2021, respectively, and $1,028.8 million and $603.5 million for the years ended December 31, 2021 and 2020,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5"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generated net losses in each year since our inception, including net losses of $20.7 million and $24.5 million for the years ended December 31, 2021 and 2020, respectively. As of September 30, 2022, we had an accumulated deficit of $173.2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future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were founded in June 2010. As a result of our limited operating history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the war in Ukraine and related sanctions and the general inflationary and economic environment, or reductions in our customers’ spending on IT solutions or their spending levels generally. In addition, the factors impacting our ability to sell additional subscriptions and products to our customers may be exacerbated by the COVID-19 pandemic, the war in Ukraine and related sanctions and the general inflationary and economic environment.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2"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0" w:name="page41"/>
    <w:bookmarkEnd w:id="40"/>
    <w:p>
      <w:pPr>
        <w:jc w:val="both"/>
        <w:spacing w:after="0" w:line="242" w:lineRule="auto"/>
        <w:rPr>
          <w:sz w:val="20"/>
          <w:szCs w:val="20"/>
          <w:color w:val="auto"/>
        </w:rPr>
      </w:pPr>
      <w:r>
        <w:rPr>
          <w:rFonts w:ascii="Times New Roman" w:cs="Times New Roman" w:eastAsia="Times New Roman" w:hAnsi="Times New Roman"/>
          <w:sz w:val="18"/>
          <w:szCs w:val="18"/>
          <w:color w:val="auto"/>
        </w:rPr>
        <w:t>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207"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 We may use third-party service providers and sub-processors to help us deliver services to our customers. These vendors may store or process personal information on our behalf.</w:t>
      </w:r>
    </w:p>
    <w:p>
      <w:pPr>
        <w:spacing w:after="0" w:line="17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which may pose additional data security risks (including, for example, an increase in phishing and spam emails we began experiencing during 2020).</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9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our security measures or those of our third-party service providers could fail and result in unauthorized access to or disclosure, modification, misuse, loss or destruction of such data.</w:t>
      </w:r>
    </w:p>
    <w:p>
      <w:pPr>
        <w:spacing w:after="0" w:line="189"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2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18"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COVID-19 pandemic and war in Ukraine;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example, the COVID-19 pandemic resulted in widespread unemployment, economic slowdown and extreme volatility in the capital markets. The ongoing military conflict between Russia and Ukraine has also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and any related economic downturn could negatively impact our business, financial condition and results of operations.</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COVID-19 pandemic has and may continue to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including the emergence and spread of new variant strains of COVID-19, many state, local and foreign governments put in place, and others in the future may put in place, quarantines, executive orders, shelter-in-place orders, occupancy limits, vaccination mandates and similar government orders and restrictions in order to control the spread of the disease. Such orders or restrictions, or the perception that such orders or restrictions could occur or reoccur,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in March 2020, we took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Towards the end of the quarter ended March 31, 2022, we increased our office activity, such as in-person meetings and events, and we have also resumed travel in compliance with applicable government orders and guidelines. However, many of our employees continue to work remotely and in-person meetings have not fully returned to levels before the pandemic.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205"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COVID-19 adversely affected workforces, economies and financial markets globally, leading to an economic downturn, a reduction or an inability for our customers, partners, suppliers or vendors or other parties with whom we do business to meet their contractual obligations, and for a period of time, a reduction in customer spending on our solutions, and such conditions may reoccur. While it is not possible at this time to predict the duration and extent of the impact that COVID-19 could have on worldwide economic activity and our business in particular, the spread of COVID-19, especially in light of the emergence of new variant strains of COVID-19, and the measures taken by governments, businesses and other organizations in response to COVID-19, as well as the uncertainty around the duration of business disruptions, and rates of vaccination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7"/>
          <w:szCs w:val="17"/>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 awards, it may adversely affect our ability to recruit and retain key employees. If we fail to attract new personnel or fail to retain and motivate our current personnel, our business and future growth prospects would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the COVID-19 pandemic and remote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Industry Risks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600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of confidentiality and appropriate use of personal information, confidential information, and other proprietary information that we, our third-party service providers or other partners process.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210"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w:t>
      </w:r>
    </w:p>
    <w:p>
      <w:pPr>
        <w:spacing w:after="0" w:line="195"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In addition, certain jurisdictions have enacted data localization laws and cross-border personal data transfer laws. For example, absent appropriate safeguards or other circumstances, the EU GDPR generally prohibits the transfer of personal information outside the European Economic Area, or the EEA. In June 2021, the European Commission released a set of Standard Contractual Clauses, or “SCCs,” that can lawfully be used for personal information transfers from Europe to the United States or most other countries. The SCCs require parties that rely upon that legal mechanism to comply with additional obligations, such as conducting transfer impact assessments and implementing additional security and privacy measures, which increases the difficulty of selling to European customers and may lead to longer sales cycles. While we have taken steps to mitigate the impact on us with respect to transfers of data, such as implementing SCCs, the efficacy and longevity of these transfer mechanisms remains uncertain. Moreover, due to potential legal challenges, there exists some uncertainty as to whether the SCCs will remain a valid transfer mechanism of personal data out of the EEA. In addition, laws in Switzerland and the United Kingdom similarly restrict transfers of personal data outside of those jurisdictions to countries such as the United States that</w:t>
      </w:r>
    </w:p>
    <w:p>
      <w:pPr>
        <w:spacing w:after="0" w:line="224" w:lineRule="auto"/>
        <w:rPr>
          <w:sz w:val="20"/>
          <w:szCs w:val="20"/>
          <w:color w:val="auto"/>
        </w:rPr>
      </w:pPr>
      <w:r>
        <w:rPr>
          <w:rFonts w:ascii="Times New Roman" w:cs="Times New Roman" w:eastAsia="Times New Roman" w:hAnsi="Times New Roman"/>
          <w:sz w:val="18"/>
          <w:szCs w:val="18"/>
          <w:color w:val="auto"/>
        </w:rPr>
        <w:t>do not provide an adequate level of personal data protection.</w:t>
      </w: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Recently, for example, Brazil enacted the General Data Protection Law, New Zealand enacted the New Zealand Privacy Act, China enacted its Personal Information Protection Law, and Canada introduced the Digital Charter Implementation Act.</w:t>
      </w:r>
    </w:p>
    <w:p>
      <w:pPr>
        <w:spacing w:after="0" w:line="3"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difficultly of establishing a lawful basis for personal information transfers out of Europe or other jurisdictions, or requiring us to increase our data processing capabilities in Europe or elsewhere at significant expense.</w:t>
      </w:r>
    </w:p>
    <w:p>
      <w:pPr>
        <w:spacing w:after="0" w:line="213"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It is anticipated that the ePrivacy Regulation will replace the current national laws that implement the ePrivacy Directive that governs electronic</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Outside of Europe, other laws are further regulating targeted advertising, making certain online advertising activities more difficult and subject to additional scrutiny.</w:t>
      </w:r>
    </w:p>
    <w:p>
      <w:pPr>
        <w:spacing w:after="0" w:line="189"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20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For example, each of Colorado, Utah, Virginia and Connecticut have recently passed similar consumer privacy legislation, all of which differ from the CPRA and become effective in 2023.</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2021, we had NOL carryforwards for federal and state income tax purposes of approximately $505.4 million and $342.1 million, respectively, which may be available to offset taxable income in the future, and which expire in various years beginning in 2031 for federal purposes and 2028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taxable years beginning after December 31, 2020,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8"/>
          <w:szCs w:val="18"/>
          <w:color w:val="auto"/>
        </w:rPr>
        <w:t>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the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developments could adversely affect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5" w:name="page56"/>
    <w:bookmarkEnd w:id="55"/>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4" w:lineRule="exact"/>
        <w:rPr>
          <w:sz w:val="20"/>
          <w:szCs w:val="20"/>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28% for each of the nine months ended September 30, 2022 and 2021.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2022, approximately 39%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58" w:name="page59"/>
    <w:bookmarkEnd w:id="58"/>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and the war in Ukraine and related sanctions,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September 30, 2022, our outstanding shares of Class B common stock represented approximately 47% of the voting power of our outstanding capital stock. As a result, the holders of our Class B common stock, which includes certain of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9" w:name="page60"/>
    <w:bookmarkEnd w:id="5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Further, as of September 30, 2022,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significant legal, accounting, insurance, and other expenses as a public company, which we expect to further increase.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they could deter potential acquirers of our company, thereby reducing the likelihood that holders of our Class A common stock would receive a premium for their shares of our Class A common stock in an acquisition.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as it was during the quarter ended March 31, 2022,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00" w:right="7360" w:hanging="492"/>
        <w:spacing w:after="0" w:line="500" w:lineRule="auto"/>
        <w:tabs>
          <w:tab w:leader="none" w:pos="33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500" w:right="8140" w:hanging="492"/>
        <w:spacing w:after="0" w:line="500" w:lineRule="auto"/>
        <w:tabs>
          <w:tab w:leader="none" w:pos="25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3" w:name="page64"/>
    <w:bookmarkEnd w:id="63"/>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Certificate of</w:t>
              </w:r>
            </w:hyperlink>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279"/>
              <w:spacing w:after="0" w:line="196" w:lineRule="exact"/>
              <w:rPr>
                <w:sz w:val="20"/>
                <w:szCs w:val="20"/>
                <w:color w:val="auto"/>
              </w:rPr>
            </w:pPr>
            <w:r>
              <w:rPr>
                <w:rFonts w:ascii="Times New Roman" w:cs="Times New Roman" w:eastAsia="Times New Roman" w:hAnsi="Times New Roman"/>
                <w:sz w:val="18"/>
                <w:szCs w:val="18"/>
                <w:color w:val="auto"/>
              </w:rPr>
              <w:t>001-39051</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Incorporation of Datadog, Inc.</w:t>
              </w:r>
            </w:hyperlink>
          </w:p>
        </w:tc>
        <w:tc>
          <w:tcPr>
            <w:tcW w:w="10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Amended and Restated Bylaws of Datadog, Inc.</w:t>
              </w:r>
            </w:hyperlink>
          </w:p>
        </w:tc>
        <w:tc>
          <w:tcPr>
            <w:tcW w:w="2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5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333-233428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23, 2019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103" w:right="3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2022;</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2022;</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September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September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0" Type="http://schemas.openxmlformats.org/officeDocument/2006/relationships/hyperlink" Target="https://www.sec.gov/Archives/edgar/data/0001561550/000119312519252279/d803834dex31.htm" TargetMode="External"/><Relationship Id="rId91" Type="http://schemas.openxmlformats.org/officeDocument/2006/relationships/hyperlink" Target="https://www.sec.gov/Archives/edgar/data/000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2022-11-04T08:03:56Z</dcterms:created>
  <dcterms:modified xsi:type="dcterms:W3CDTF">2022-11-04T08:03:56Z</dcterms:modified>
</cp:coreProperties>
</file>