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83185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4020" w:right="2100" w:hanging="4012"/>
        <w:spacing w:after="0" w:line="321" w:lineRule="auto"/>
        <w:tabs>
          <w:tab w:leader="none" w:pos="5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9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5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00" w:type="dxa"/>
            <w:vAlign w:val="bottom"/>
            <w:tcBorders>
              <w:bottom w:val="single" w:sz="8" w:color="auto"/>
            </w:tcBorders>
          </w:tcPr>
          <w:p>
            <w:pPr>
              <w:spacing w:after="0"/>
              <w:rPr>
                <w:sz w:val="17"/>
                <w:szCs w:val="17"/>
                <w:color w:val="auto"/>
              </w:rPr>
            </w:pPr>
          </w:p>
        </w:tc>
      </w:tr>
      <w:tr>
        <w:trPr>
          <w:trHeight w:val="304"/>
        </w:trPr>
        <w:tc>
          <w:tcPr>
            <w:tcW w:w="3600" w:type="dxa"/>
            <w:vAlign w:val="bottom"/>
            <w:gridSpan w:val="4"/>
          </w:tcPr>
          <w:p>
            <w:pPr>
              <w:ind w:left="360"/>
              <w:spacing w:after="0"/>
              <w:rPr>
                <w:sz w:val="20"/>
                <w:szCs w:val="20"/>
                <w:color w:val="auto"/>
              </w:rPr>
            </w:pPr>
            <w:r>
              <w:rPr>
                <w:rFonts w:ascii="Arial" w:cs="Arial" w:eastAsia="Arial" w:hAnsi="Arial"/>
                <w:sz w:val="18"/>
                <w:szCs w:val="18"/>
                <w:b w:val="1"/>
                <w:bCs w:val="1"/>
                <w:color w:val="auto"/>
              </w:rPr>
              <w:t>Commission File Number: 001-39051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435"/>
        </w:trPr>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80" w:type="dxa"/>
            <w:vAlign w:val="bottom"/>
            <w:gridSpan w:val="3"/>
          </w:tcPr>
          <w:p>
            <w:pPr>
              <w:jc w:val="center"/>
              <w:ind w:right="1120"/>
              <w:spacing w:after="0"/>
              <w:rPr>
                <w:sz w:val="20"/>
                <w:szCs w:val="20"/>
                <w:color w:val="auto"/>
              </w:rPr>
            </w:pPr>
            <w:r>
              <w:rPr>
                <w:rFonts w:ascii="Arial" w:cs="Arial" w:eastAsia="Arial" w:hAnsi="Arial"/>
                <w:sz w:val="36"/>
                <w:szCs w:val="36"/>
                <w:b w:val="1"/>
                <w:bCs w:val="1"/>
                <w:color w:val="auto"/>
                <w:w w:val="91"/>
              </w:rPr>
              <w:t>Datadog, Inc.</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960" w:type="dxa"/>
            <w:vAlign w:val="bottom"/>
            <w:gridSpan w:val="2"/>
            <w:vMerge w:val="restart"/>
          </w:tcPr>
          <w:p>
            <w:pPr>
              <w:jc w:val="center"/>
              <w:ind w:left="1623"/>
              <w:spacing w:after="0"/>
              <w:rPr>
                <w:sz w:val="20"/>
                <w:szCs w:val="20"/>
                <w:color w:val="auto"/>
              </w:rPr>
            </w:pPr>
            <w:r>
              <w:rPr>
                <w:rFonts w:ascii="Arial" w:cs="Arial" w:eastAsia="Arial" w:hAnsi="Arial"/>
                <w:sz w:val="18"/>
                <w:szCs w:val="18"/>
                <w:b w:val="1"/>
                <w:bCs w:val="1"/>
                <w:color w:val="auto"/>
                <w:w w:val="93"/>
              </w:rPr>
              <w:t>Delaware</w:t>
            </w:r>
          </w:p>
        </w:tc>
        <w:tc>
          <w:tcPr>
            <w:tcW w:w="620" w:type="dxa"/>
            <w:vAlign w:val="bottom"/>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60" w:type="dxa"/>
            <w:vAlign w:val="bottom"/>
            <w:vMerge w:val="restart"/>
          </w:tcPr>
          <w:p>
            <w:pPr>
              <w:jc w:val="right"/>
              <w:ind w:right="2327"/>
              <w:spacing w:after="0"/>
              <w:rPr>
                <w:sz w:val="20"/>
                <w:szCs w:val="20"/>
                <w:color w:val="auto"/>
              </w:rPr>
            </w:pPr>
            <w:r>
              <w:rPr>
                <w:rFonts w:ascii="Arial" w:cs="Arial" w:eastAsia="Arial" w:hAnsi="Arial"/>
                <w:sz w:val="18"/>
                <w:szCs w:val="18"/>
                <w:b w:val="1"/>
                <w:bCs w:val="1"/>
                <w:color w:val="auto"/>
              </w:rPr>
              <w:t>27-2825503</w:t>
            </w:r>
          </w:p>
        </w:tc>
        <w:tc>
          <w:tcPr>
            <w:tcW w:w="0" w:type="dxa"/>
            <w:vAlign w:val="bottom"/>
          </w:tcPr>
          <w:p>
            <w:pPr>
              <w:spacing w:after="0"/>
              <w:rPr>
                <w:sz w:val="1"/>
                <w:szCs w:val="1"/>
                <w:color w:val="auto"/>
              </w:rPr>
            </w:pPr>
          </w:p>
        </w:tc>
      </w:tr>
      <w:tr>
        <w:trPr>
          <w:trHeight w:val="272"/>
        </w:trPr>
        <w:tc>
          <w:tcPr>
            <w:tcW w:w="3960" w:type="dxa"/>
            <w:vAlign w:val="bottom"/>
            <w:gridSpan w:val="2"/>
            <w:vMerge w:val="continue"/>
          </w:tcPr>
          <w:p>
            <w:pPr>
              <w:spacing w:after="0"/>
              <w:rPr>
                <w:sz w:val="23"/>
                <w:szCs w:val="23"/>
                <w:color w:val="auto"/>
              </w:rPr>
            </w:pPr>
          </w:p>
        </w:tc>
        <w:tc>
          <w:tcPr>
            <w:tcW w:w="6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960" w:type="dxa"/>
            <w:vAlign w:val="bottom"/>
            <w:gridSpan w:val="2"/>
          </w:tcPr>
          <w:p>
            <w:pPr>
              <w:jc w:val="center"/>
              <w:ind w:left="162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6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60" w:type="dxa"/>
            <w:vAlign w:val="bottom"/>
          </w:tcPr>
          <w:p>
            <w:pPr>
              <w:jc w:val="center"/>
              <w:ind w:right="2127"/>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3960" w:type="dxa"/>
            <w:vAlign w:val="bottom"/>
            <w:gridSpan w:val="2"/>
          </w:tcPr>
          <w:p>
            <w:pPr>
              <w:jc w:val="center"/>
              <w:ind w:left="1623"/>
              <w:spacing w:after="0"/>
              <w:rPr>
                <w:sz w:val="20"/>
                <w:szCs w:val="20"/>
                <w:color w:val="auto"/>
              </w:rPr>
            </w:pPr>
            <w:r>
              <w:rPr>
                <w:rFonts w:ascii="Arial" w:cs="Arial" w:eastAsia="Arial" w:hAnsi="Arial"/>
                <w:sz w:val="13"/>
                <w:szCs w:val="13"/>
                <w:b w:val="1"/>
                <w:bCs w:val="1"/>
                <w:color w:val="auto"/>
                <w:w w:val="89"/>
              </w:rPr>
              <w:t>incorporation or organization)</w:t>
            </w:r>
          </w:p>
        </w:tc>
        <w:tc>
          <w:tcPr>
            <w:tcW w:w="6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60" w:type="dxa"/>
            <w:vAlign w:val="bottom"/>
          </w:tcPr>
          <w:p>
            <w:pPr>
              <w:jc w:val="center"/>
              <w:ind w:right="2127"/>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308"/>
        </w:trPr>
        <w:tc>
          <w:tcPr>
            <w:tcW w:w="3960" w:type="dxa"/>
            <w:vAlign w:val="bottom"/>
            <w:gridSpan w:val="2"/>
          </w:tcPr>
          <w:p>
            <w:pPr>
              <w:jc w:val="center"/>
              <w:ind w:left="1623"/>
              <w:spacing w:after="0"/>
              <w:rPr>
                <w:sz w:val="20"/>
                <w:szCs w:val="20"/>
                <w:color w:val="auto"/>
              </w:rPr>
            </w:pPr>
            <w:r>
              <w:rPr>
                <w:rFonts w:ascii="Arial" w:cs="Arial" w:eastAsia="Arial" w:hAnsi="Arial"/>
                <w:sz w:val="18"/>
                <w:szCs w:val="18"/>
                <w:b w:val="1"/>
                <w:bCs w:val="1"/>
                <w:color w:val="auto"/>
                <w:w w:val="89"/>
              </w:rPr>
              <w:t>620 8th Avenue, 45th Floor</w:t>
            </w:r>
          </w:p>
        </w:tc>
        <w:tc>
          <w:tcPr>
            <w:tcW w:w="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jc w:val="center"/>
              <w:ind w:left="1623"/>
              <w:spacing w:after="0"/>
              <w:rPr>
                <w:sz w:val="20"/>
                <w:szCs w:val="20"/>
                <w:color w:val="auto"/>
              </w:rPr>
            </w:pPr>
            <w:r>
              <w:rPr>
                <w:rFonts w:ascii="Arial" w:cs="Arial" w:eastAsia="Arial" w:hAnsi="Arial"/>
                <w:sz w:val="18"/>
                <w:szCs w:val="18"/>
                <w:b w:val="1"/>
                <w:bCs w:val="1"/>
                <w:color w:val="auto"/>
                <w:w w:val="93"/>
              </w:rPr>
              <w:t>New York, NY</w:t>
            </w:r>
          </w:p>
        </w:tc>
        <w:tc>
          <w:tcPr>
            <w:tcW w:w="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60" w:type="dxa"/>
            <w:vAlign w:val="bottom"/>
          </w:tcPr>
          <w:p>
            <w:pPr>
              <w:jc w:val="right"/>
              <w:ind w:right="2527"/>
              <w:spacing w:after="0"/>
              <w:rPr>
                <w:sz w:val="20"/>
                <w:szCs w:val="20"/>
                <w:color w:val="auto"/>
              </w:rPr>
            </w:pPr>
            <w:r>
              <w:rPr>
                <w:rFonts w:ascii="Arial" w:cs="Arial" w:eastAsia="Arial" w:hAnsi="Arial"/>
                <w:sz w:val="18"/>
                <w:szCs w:val="18"/>
                <w:b w:val="1"/>
                <w:bCs w:val="1"/>
                <w:color w:val="auto"/>
              </w:rPr>
              <w:t>10018</w:t>
            </w:r>
          </w:p>
        </w:tc>
        <w:tc>
          <w:tcPr>
            <w:tcW w:w="0" w:type="dxa"/>
            <w:vAlign w:val="bottom"/>
          </w:tcPr>
          <w:p>
            <w:pPr>
              <w:spacing w:after="0"/>
              <w:rPr>
                <w:sz w:val="1"/>
                <w:szCs w:val="1"/>
                <w:color w:val="auto"/>
              </w:rPr>
            </w:pPr>
          </w:p>
        </w:tc>
      </w:tr>
      <w:tr>
        <w:trPr>
          <w:trHeight w:val="164"/>
        </w:trPr>
        <w:tc>
          <w:tcPr>
            <w:tcW w:w="3960" w:type="dxa"/>
            <w:vAlign w:val="bottom"/>
            <w:gridSpan w:val="2"/>
          </w:tcPr>
          <w:p>
            <w:pPr>
              <w:jc w:val="center"/>
              <w:ind w:left="1623"/>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6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60" w:type="dxa"/>
            <w:vAlign w:val="bottom"/>
          </w:tcPr>
          <w:p>
            <w:pPr>
              <w:jc w:val="center"/>
              <w:ind w:right="2127"/>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86"/>
        </w:trPr>
        <w:tc>
          <w:tcPr>
            <w:tcW w:w="1142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(866) 329-4466</w:t>
            </w:r>
          </w:p>
        </w:tc>
        <w:tc>
          <w:tcPr>
            <w:tcW w:w="0" w:type="dxa"/>
            <w:vAlign w:val="bottom"/>
          </w:tcPr>
          <w:p>
            <w:pPr>
              <w:spacing w:after="0"/>
              <w:rPr>
                <w:sz w:val="1"/>
                <w:szCs w:val="1"/>
                <w:color w:val="auto"/>
              </w:rPr>
            </w:pPr>
          </w:p>
        </w:tc>
      </w:tr>
      <w:tr>
        <w:trPr>
          <w:trHeight w:val="95"/>
        </w:trPr>
        <w:tc>
          <w:tcPr>
            <w:tcW w:w="3960" w:type="dxa"/>
            <w:vAlign w:val="bottom"/>
            <w:gridSpan w:val="2"/>
            <w:vMerge w:val="restart"/>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62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3960" w:type="dxa"/>
            <w:vAlign w:val="bottom"/>
            <w:gridSpan w:val="2"/>
            <w:vMerge w:val="continue"/>
          </w:tcPr>
          <w:p>
            <w:pPr>
              <w:spacing w:after="0"/>
              <w:rPr>
                <w:sz w:val="22"/>
                <w:szCs w:val="22"/>
                <w:color w:val="auto"/>
              </w:rPr>
            </w:pPr>
          </w:p>
        </w:tc>
        <w:tc>
          <w:tcPr>
            <w:tcW w:w="6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3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82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Title of each class</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40" w:type="dxa"/>
            <w:vAlign w:val="bottom"/>
            <w:tcBorders>
              <w:bottom w:val="single" w:sz="8" w:color="auto"/>
              <w:right w:val="single" w:sz="8" w:color="auto"/>
            </w:tcBorders>
            <w:gridSpan w:val="2"/>
          </w:tcPr>
          <w:p>
            <w:pPr>
              <w:jc w:val="center"/>
              <w:ind w:right="780"/>
              <w:spacing w:after="0" w:line="142" w:lineRule="exact"/>
              <w:rPr>
                <w:sz w:val="20"/>
                <w:szCs w:val="20"/>
                <w:color w:val="auto"/>
              </w:rPr>
            </w:pPr>
            <w:r>
              <w:rPr>
                <w:rFonts w:ascii="Arial" w:cs="Arial" w:eastAsia="Arial" w:hAnsi="Arial"/>
                <w:sz w:val="14"/>
                <w:szCs w:val="14"/>
                <w:color w:val="auto"/>
                <w:w w:val="96"/>
              </w:rPr>
              <w:t>Trading Symbol(s)</w:t>
            </w:r>
          </w:p>
        </w:tc>
        <w:tc>
          <w:tcPr>
            <w:tcW w:w="340" w:type="dxa"/>
            <w:vAlign w:val="bottom"/>
            <w:tcBorders>
              <w:bottom w:val="single" w:sz="8" w:color="auto"/>
            </w:tcBorders>
          </w:tcPr>
          <w:p>
            <w:pPr>
              <w:spacing w:after="0"/>
              <w:rPr>
                <w:sz w:val="12"/>
                <w:szCs w:val="12"/>
                <w:color w:val="auto"/>
              </w:rPr>
            </w:pPr>
          </w:p>
        </w:tc>
        <w:tc>
          <w:tcPr>
            <w:tcW w:w="3460" w:type="dxa"/>
            <w:vAlign w:val="bottom"/>
            <w:tcBorders>
              <w:bottom w:val="single" w:sz="8" w:color="auto"/>
              <w:right w:val="single" w:sz="8" w:color="auto"/>
            </w:tcBorders>
          </w:tcPr>
          <w:p>
            <w:pPr>
              <w:jc w:val="center"/>
              <w:ind w:right="287"/>
              <w:spacing w:after="0" w:line="142" w:lineRule="exact"/>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123"/>
        </w:trPr>
        <w:tc>
          <w:tcPr>
            <w:tcW w:w="3820" w:type="dxa"/>
            <w:vAlign w:val="bottom"/>
            <w:tcBorders>
              <w:left w:val="single" w:sz="8" w:color="auto"/>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Class A common stock, par value $0.00001 per share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40" w:type="dxa"/>
            <w:vAlign w:val="bottom"/>
            <w:tcBorders>
              <w:right w:val="single" w:sz="8" w:color="auto"/>
            </w:tcBorders>
            <w:gridSpan w:val="2"/>
          </w:tcPr>
          <w:p>
            <w:pPr>
              <w:jc w:val="center"/>
              <w:ind w:right="780"/>
              <w:spacing w:after="0" w:line="123" w:lineRule="exact"/>
              <w:rPr>
                <w:sz w:val="20"/>
                <w:szCs w:val="20"/>
                <w:color w:val="auto"/>
              </w:rPr>
            </w:pPr>
            <w:r>
              <w:rPr>
                <w:rFonts w:ascii="Arial" w:cs="Arial" w:eastAsia="Arial" w:hAnsi="Arial"/>
                <w:sz w:val="14"/>
                <w:szCs w:val="14"/>
                <w:color w:val="auto"/>
                <w:w w:val="99"/>
              </w:rPr>
              <w:t>DDOG</w:t>
            </w:r>
          </w:p>
        </w:tc>
        <w:tc>
          <w:tcPr>
            <w:tcW w:w="340" w:type="dxa"/>
            <w:vAlign w:val="bottom"/>
          </w:tcPr>
          <w:p>
            <w:pPr>
              <w:spacing w:after="0"/>
              <w:rPr>
                <w:sz w:val="10"/>
                <w:szCs w:val="10"/>
                <w:color w:val="auto"/>
              </w:rPr>
            </w:pPr>
          </w:p>
        </w:tc>
        <w:tc>
          <w:tcPr>
            <w:tcW w:w="3460" w:type="dxa"/>
            <w:vAlign w:val="bottom"/>
            <w:tcBorders>
              <w:right w:val="single" w:sz="8" w:color="auto"/>
            </w:tcBorders>
          </w:tcPr>
          <w:p>
            <w:pPr>
              <w:jc w:val="center"/>
              <w:ind w:right="287"/>
              <w:spacing w:after="0" w:line="123"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67"/>
        </w:trPr>
        <w:tc>
          <w:tcPr>
            <w:tcW w:w="3820" w:type="dxa"/>
            <w:vAlign w:val="bottom"/>
            <w:tcBorders>
              <w:left w:val="single" w:sz="8" w:color="auto"/>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60" w:type="dxa"/>
            <w:vAlign w:val="bottom"/>
            <w:tcBorders>
              <w:bottom w:val="single" w:sz="8" w:color="auto"/>
              <w:right w:val="single" w:sz="8" w:color="auto"/>
            </w:tcBorders>
          </w:tcPr>
          <w:p>
            <w:pPr>
              <w:jc w:val="center"/>
              <w:ind w:right="287"/>
              <w:spacing w:after="0"/>
              <w:rPr>
                <w:sz w:val="20"/>
                <w:szCs w:val="20"/>
                <w:color w:val="auto"/>
              </w:rPr>
            </w:pPr>
            <w:r>
              <w:rPr>
                <w:rFonts w:ascii="Arial" w:cs="Arial" w:eastAsia="Arial" w:hAnsi="Arial"/>
                <w:sz w:val="14"/>
                <w:szCs w:val="14"/>
                <w:color w:val="auto"/>
                <w:w w:val="92"/>
              </w:rPr>
              <w:t>(Nasdaq Global Select Market)</w:t>
            </w:r>
          </w:p>
        </w:tc>
        <w:tc>
          <w:tcPr>
            <w:tcW w:w="0" w:type="dxa"/>
            <w:vAlign w:val="bottom"/>
          </w:tcPr>
          <w:p>
            <w:pPr>
              <w:spacing w:after="0"/>
              <w:rPr>
                <w:sz w:val="1"/>
                <w:szCs w:val="1"/>
                <w:color w:val="auto"/>
              </w:rPr>
            </w:pPr>
          </w:p>
        </w:tc>
      </w:tr>
      <w:tr>
        <w:trPr>
          <w:trHeight w:val="285"/>
        </w:trPr>
        <w:tc>
          <w:tcPr>
            <w:tcW w:w="7960" w:type="dxa"/>
            <w:vAlign w:val="bottom"/>
            <w:gridSpan w:val="6"/>
          </w:tcPr>
          <w:p>
            <w:pPr>
              <w:spacing w:after="0" w:line="173" w:lineRule="exact"/>
              <w:rPr>
                <w:sz w:val="20"/>
                <w:szCs w:val="20"/>
                <w:color w:val="auto"/>
              </w:rPr>
            </w:pPr>
            <w:r>
              <w:rPr>
                <w:rFonts w:ascii="Arial" w:cs="Arial" w:eastAsia="Arial" w:hAnsi="Arial"/>
                <w:sz w:val="15"/>
                <w:szCs w:val="15"/>
                <w:color w:val="auto"/>
                <w:w w:val="93"/>
              </w:rPr>
              <w:t xml:space="preserve">Indicate by check mark if the registrant is a well-known seasoned issuer, as defined in Rule 405 of the Securities Act. Yes </w:t>
            </w:r>
            <w:r>
              <w:rPr>
                <w:rFonts w:ascii="MS PGothic" w:cs="MS PGothic" w:eastAsia="MS PGothic" w:hAnsi="MS PGothic"/>
                <w:sz w:val="15"/>
                <w:szCs w:val="15"/>
                <w:color w:val="auto"/>
                <w:w w:val="93"/>
              </w:rPr>
              <w:t>☐</w:t>
            </w:r>
            <w:r>
              <w:rPr>
                <w:rFonts w:ascii="Arial" w:cs="Arial" w:eastAsia="Arial" w:hAnsi="Arial"/>
                <w:sz w:val="15"/>
                <w:szCs w:val="15"/>
                <w:color w:val="auto"/>
                <w:w w:val="93"/>
              </w:rPr>
              <w:t xml:space="preserve"> No</w:t>
            </w:r>
          </w:p>
        </w:tc>
        <w:tc>
          <w:tcPr>
            <w:tcW w:w="346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1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00" w:lineRule="exact"/>
        <w:rPr>
          <w:sz w:val="24"/>
          <w:szCs w:val="24"/>
          <w:color w:val="auto"/>
        </w:rPr>
      </w:pPr>
    </w:p>
    <w:p>
      <w:pPr>
        <w:ind w:right="12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6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ind w:right="160"/>
        <w:spacing w:after="0" w:line="28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3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480" w:type="dxa"/>
            <w:vAlign w:val="bottom"/>
          </w:tcPr>
          <w:p>
            <w:pPr>
              <w:ind w:left="100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340"/>
              <w:spacing w:after="0"/>
              <w:rPr>
                <w:sz w:val="20"/>
                <w:szCs w:val="20"/>
                <w:color w:val="auto"/>
              </w:rPr>
            </w:pPr>
            <w:r>
              <w:rPr>
                <w:rFonts w:ascii="Arial" w:cs="Arial" w:eastAsia="Arial" w:hAnsi="Arial"/>
                <w:sz w:val="15"/>
                <w:szCs w:val="15"/>
                <w:color w:val="auto"/>
              </w:rPr>
              <w:t>Accelerated filer</w:t>
            </w:r>
          </w:p>
        </w:tc>
        <w:tc>
          <w:tcPr>
            <w:tcW w:w="840" w:type="dxa"/>
            <w:vAlign w:val="bottom"/>
          </w:tcPr>
          <w:p>
            <w:pPr>
              <w:ind w:left="7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0"/>
        </w:trPr>
        <w:tc>
          <w:tcPr>
            <w:tcW w:w="2380" w:type="dxa"/>
            <w:vAlign w:val="bottom"/>
          </w:tcPr>
          <w:p>
            <w:pPr>
              <w:spacing w:after="0"/>
              <w:rPr>
                <w:sz w:val="20"/>
                <w:szCs w:val="20"/>
                <w:color w:val="auto"/>
              </w:rPr>
            </w:pPr>
            <w:r>
              <w:rPr>
                <w:rFonts w:ascii="Arial" w:cs="Arial" w:eastAsia="Arial" w:hAnsi="Arial"/>
                <w:sz w:val="15"/>
                <w:szCs w:val="15"/>
                <w:color w:val="auto"/>
              </w:rPr>
              <w:t>Non-accelerated filer</w:t>
            </w:r>
          </w:p>
        </w:tc>
        <w:tc>
          <w:tcPr>
            <w:tcW w:w="3480" w:type="dxa"/>
            <w:vAlign w:val="bottom"/>
          </w:tcPr>
          <w:p>
            <w:pPr>
              <w:ind w:left="100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340"/>
              <w:spacing w:after="0"/>
              <w:rPr>
                <w:sz w:val="20"/>
                <w:szCs w:val="20"/>
                <w:color w:val="auto"/>
              </w:rPr>
            </w:pPr>
            <w:r>
              <w:rPr>
                <w:rFonts w:ascii="Arial" w:cs="Arial" w:eastAsia="Arial" w:hAnsi="Arial"/>
                <w:sz w:val="15"/>
                <w:szCs w:val="15"/>
                <w:color w:val="auto"/>
              </w:rPr>
              <w:t>Smaller reporting company</w:t>
            </w:r>
          </w:p>
        </w:tc>
        <w:tc>
          <w:tcPr>
            <w:tcW w:w="840" w:type="dxa"/>
            <w:vAlign w:val="bottom"/>
          </w:tcPr>
          <w:p>
            <w:pPr>
              <w:ind w:left="7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7"/>
        </w:trPr>
        <w:tc>
          <w:tcPr>
            <w:tcW w:w="23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720" w:type="dxa"/>
            <w:vAlign w:val="bottom"/>
          </w:tcPr>
          <w:p>
            <w:pPr>
              <w:ind w:left="2340"/>
              <w:spacing w:after="0"/>
              <w:rPr>
                <w:sz w:val="20"/>
                <w:szCs w:val="20"/>
                <w:color w:val="auto"/>
              </w:rPr>
            </w:pPr>
            <w:r>
              <w:rPr>
                <w:rFonts w:ascii="Arial" w:cs="Arial" w:eastAsia="Arial" w:hAnsi="Arial"/>
                <w:sz w:val="15"/>
                <w:szCs w:val="15"/>
                <w:color w:val="auto"/>
              </w:rPr>
              <w:t>Emerging growth company</w:t>
            </w:r>
          </w:p>
        </w:tc>
        <w:tc>
          <w:tcPr>
            <w:tcW w:w="840" w:type="dxa"/>
            <w:vAlign w:val="bottom"/>
          </w:tcPr>
          <w:p>
            <w:pPr>
              <w:ind w:left="7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73" w:lineRule="exact"/>
        <w:rPr>
          <w:sz w:val="24"/>
          <w:szCs w:val="24"/>
          <w:color w:val="auto"/>
        </w:rPr>
      </w:pPr>
    </w:p>
    <w:p>
      <w:pPr>
        <w:ind w:right="8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4" w:lineRule="exact"/>
        <w:rPr>
          <w:sz w:val="24"/>
          <w:szCs w:val="24"/>
          <w:color w:val="auto"/>
        </w:rPr>
      </w:pPr>
    </w:p>
    <w:p>
      <w:pPr>
        <w:ind w:right="120"/>
        <w:spacing w:after="0" w:line="236"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based on the closing price of the registrant’s shares of Class A common stock as reported by The Nasdaq Global Select Market on December 31, 2019, was approximately $2.4 billion. The registrant has elected to use December 31, 2019 as the calculation date, which was the last trading date of the registrant’s most recently completed fiscal year, because on June 30, 2019 (the last business day of the registrant’s second fiscal quarter), the registrant was a privately-held company.</w:t>
      </w:r>
    </w:p>
    <w:p>
      <w:pPr>
        <w:spacing w:after="0" w:line="37" w:lineRule="exact"/>
        <w:rPr>
          <w:sz w:val="24"/>
          <w:szCs w:val="24"/>
          <w:color w:val="auto"/>
        </w:rPr>
      </w:pPr>
    </w:p>
    <w:p>
      <w:pPr>
        <w:ind w:right="60"/>
        <w:spacing w:after="0" w:line="255" w:lineRule="auto"/>
        <w:rPr>
          <w:sz w:val="20"/>
          <w:szCs w:val="20"/>
          <w:color w:val="auto"/>
        </w:rPr>
      </w:pPr>
      <w:r>
        <w:rPr>
          <w:rFonts w:ascii="Arial" w:cs="Arial" w:eastAsia="Arial" w:hAnsi="Arial"/>
          <w:sz w:val="15"/>
          <w:szCs w:val="15"/>
          <w:color w:val="auto"/>
        </w:rPr>
        <w:t>As of February 14, 2020, there were 65,045,636 shares of the registrant’s Class A common stock and 232,027,598 shares of the registrant’s Class B common stock, each with a par value of $0.00001 per share, outstanding.</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212529"/>
        </w:rPr>
        <w:t>DOCUMENTS INCORPORATED BY REFERENCE</w:t>
      </w:r>
    </w:p>
    <w:p>
      <w:pPr>
        <w:spacing w:after="0" w:line="75" w:lineRule="exact"/>
        <w:rPr>
          <w:sz w:val="24"/>
          <w:szCs w:val="24"/>
          <w:color w:val="auto"/>
        </w:rPr>
      </w:pPr>
    </w:p>
    <w:p>
      <w:pPr>
        <w:spacing w:after="0" w:line="291" w:lineRule="auto"/>
        <w:rPr>
          <w:sz w:val="20"/>
          <w:szCs w:val="20"/>
          <w:color w:val="auto"/>
        </w:rPr>
      </w:pPr>
      <w:r>
        <w:rPr>
          <w:rFonts w:ascii="Arial" w:cs="Arial" w:eastAsia="Arial" w:hAnsi="Arial"/>
          <w:sz w:val="14"/>
          <w:szCs w:val="14"/>
          <w:color w:val="212529"/>
        </w:rPr>
        <w:t>Portions of the registrant’s Proxy Statement for its 2020 Annual Meeting of Stockholders are incorporated by reference into Part III of this Annual Report on Form 10-K to the extent stated herein. Such Proxy Statement will be filed with the Securities and Exchange Commission within 120 days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168275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80" w:type="dxa"/>
            <w:vAlign w:val="bottom"/>
            <w:gridSpan w:val="8"/>
          </w:tcPr>
          <w:p>
            <w:pPr>
              <w:jc w:val="center"/>
              <w:ind w:right="3440"/>
              <w:spacing w:after="0"/>
              <w:rPr>
                <w:sz w:val="20"/>
                <w:szCs w:val="20"/>
                <w:color w:val="auto"/>
              </w:rPr>
            </w:pPr>
            <w:r>
              <w:rPr>
                <w:rFonts w:ascii="Arial" w:cs="Arial" w:eastAsia="Arial" w:hAnsi="Arial"/>
                <w:sz w:val="18"/>
                <w:szCs w:val="18"/>
                <w:b w:val="1"/>
                <w:bCs w:val="1"/>
                <w:color w:val="auto"/>
                <w:w w:val="99"/>
              </w:rPr>
              <w:t>DATADOG, INC.</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60" w:type="dxa"/>
            <w:vAlign w:val="bottom"/>
            <w:gridSpan w:val="11"/>
          </w:tcPr>
          <w:p>
            <w:pPr>
              <w:jc w:val="center"/>
              <w:ind w:right="2180"/>
              <w:spacing w:after="0"/>
              <w:rPr>
                <w:sz w:val="20"/>
                <w:szCs w:val="20"/>
                <w:color w:val="auto"/>
              </w:rPr>
            </w:pPr>
            <w:r>
              <w:rPr>
                <w:rFonts w:ascii="Arial" w:cs="Arial" w:eastAsia="Arial" w:hAnsi="Arial"/>
                <w:sz w:val="18"/>
                <w:szCs w:val="18"/>
                <w:b w:val="1"/>
                <w:bCs w:val="1"/>
                <w:color w:val="auto"/>
                <w:w w:val="98"/>
              </w:rPr>
              <w:t>2019 ANNUAL REPORT ON FORM 10-K</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80" w:type="dxa"/>
            <w:vAlign w:val="bottom"/>
            <w:gridSpan w:val="8"/>
          </w:tcPr>
          <w:p>
            <w:pPr>
              <w:jc w:val="center"/>
              <w:ind w:right="344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8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8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360" w:type="dxa"/>
            <w:vAlign w:val="bottom"/>
            <w:gridSpan w:val="20"/>
          </w:tcPr>
          <w:p>
            <w:pPr>
              <w:spacing w:after="0"/>
              <w:rPr>
                <w:sz w:val="16"/>
                <w:szCs w:val="16"/>
                <w:color w:val="auto"/>
              </w:rPr>
            </w:pPr>
          </w:p>
        </w:tc>
        <w:tc>
          <w:tcPr>
            <w:tcW w:w="1140" w:type="dxa"/>
            <w:vAlign w:val="bottom"/>
          </w:tcPr>
          <w:p>
            <w:pPr>
              <w:jc w:val="center"/>
              <w:spacing w:after="0" w:line="190" w:lineRule="exact"/>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0" w:type="dxa"/>
            <w:vAlign w:val="bottom"/>
            <w:gridSpan w:val="2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00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Unresolved Staff Comments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6960" w:type="dxa"/>
            <w:vAlign w:val="bottom"/>
            <w:gridSpan w:val="11"/>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7660" w:type="dxa"/>
            <w:vAlign w:val="bottom"/>
            <w:gridSpan w:val="16"/>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00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80" w:type="dxa"/>
            <w:vAlign w:val="bottom"/>
            <w:gridSpan w:val="2"/>
          </w:tcPr>
          <w:p>
            <w:pPr>
              <w:spacing w:after="0" w:line="190" w:lineRule="exact"/>
              <w:rPr>
                <w:sz w:val="20"/>
                <w:szCs w:val="20"/>
                <w:color w:val="auto"/>
              </w:rPr>
            </w:pPr>
            <w:r>
              <w:rPr>
                <w:rFonts w:ascii="Arial" w:cs="Arial" w:eastAsia="Arial" w:hAnsi="Arial"/>
                <w:sz w:val="18"/>
                <w:szCs w:val="18"/>
                <w:color w:val="auto"/>
              </w:rPr>
              <w:t>Item 5.</w:t>
            </w:r>
          </w:p>
        </w:tc>
        <w:tc>
          <w:tcPr>
            <w:tcW w:w="8060" w:type="dxa"/>
            <w:vAlign w:val="bottom"/>
            <w:tcBorders>
              <w:bottom w:val="single" w:sz="8" w:color="0000EE"/>
            </w:tcBorders>
            <w:gridSpan w:val="20"/>
          </w:tcPr>
          <w:p>
            <w:pPr>
              <w:spacing w:after="0" w:line="190"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Market for Registrant's Common Equity, Related Stockholder Matters and Issuer Purchases of Equity Securities</w:t>
              </w:r>
            </w:hyperlink>
          </w:p>
        </w:tc>
        <w:tc>
          <w:tcPr>
            <w:tcW w:w="940" w:type="dxa"/>
            <w:vAlign w:val="bottom"/>
          </w:tcPr>
          <w:p>
            <w:pPr>
              <w:spacing w:after="0"/>
              <w:rPr>
                <w:sz w:val="16"/>
                <w:szCs w:val="16"/>
                <w:color w:val="auto"/>
              </w:rPr>
            </w:pPr>
          </w:p>
        </w:tc>
        <w:tc>
          <w:tcPr>
            <w:tcW w:w="1140" w:type="dxa"/>
            <w:vAlign w:val="bottom"/>
          </w:tcPr>
          <w:p>
            <w:pPr>
              <w:jc w:val="center"/>
              <w:spacing w:after="0" w:line="190" w:lineRule="exact"/>
              <w:rPr>
                <w:sz w:val="20"/>
                <w:szCs w:val="20"/>
                <w:color w:val="auto"/>
              </w:rPr>
            </w:pPr>
            <w:r>
              <w:rPr>
                <w:rFonts w:ascii="Arial" w:cs="Arial" w:eastAsia="Arial" w:hAnsi="Arial"/>
                <w:sz w:val="18"/>
                <w:szCs w:val="18"/>
                <w:color w:val="auto"/>
                <w:w w:val="89"/>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00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Management’s Discussion and Analysis of Financial Condition and Results of Operations</w:t>
              </w:r>
            </w:hyperlink>
          </w:p>
        </w:tc>
        <w:tc>
          <w:tcPr>
            <w:tcW w:w="2540" w:type="dxa"/>
            <w:vAlign w:val="bottom"/>
            <w:gridSpan w:val="4"/>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Quantitative and Qualitative Disclosures About Market Risk</w:t>
              </w:r>
            </w:hyperlink>
          </w:p>
        </w:tc>
        <w:tc>
          <w:tcPr>
            <w:tcW w:w="4640" w:type="dxa"/>
            <w:vAlign w:val="bottom"/>
            <w:gridSpan w:val="6"/>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900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Supplementary Data</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Changes in and Disagreements with Accountants on Accounting and Financial Disclosure</w:t>
              </w:r>
            </w:hyperlink>
          </w:p>
        </w:tc>
        <w:tc>
          <w:tcPr>
            <w:tcW w:w="2520" w:type="dxa"/>
            <w:vAlign w:val="bottom"/>
            <w:gridSpan w:val="3"/>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9000" w:type="dxa"/>
            <w:vAlign w:val="bottom"/>
            <w:gridSpan w:val="21"/>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Controls and Procedures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7240" w:type="dxa"/>
            <w:vAlign w:val="bottom"/>
            <w:gridSpan w:val="13"/>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80" w:type="dxa"/>
            <w:vAlign w:val="bottom"/>
            <w:gridSpan w:val="2"/>
          </w:tcPr>
          <w:p>
            <w:pPr>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0"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Directors, Executive Officers and Corporate Governance</w:t>
              </w:r>
            </w:hyperlink>
          </w:p>
        </w:tc>
        <w:tc>
          <w:tcPr>
            <w:tcW w:w="4900" w:type="dxa"/>
            <w:vAlign w:val="bottom"/>
            <w:gridSpan w:val="7"/>
          </w:tcPr>
          <w:p>
            <w:pPr>
              <w:spacing w:after="0"/>
              <w:rPr>
                <w:sz w:val="16"/>
                <w:szCs w:val="16"/>
                <w:color w:val="auto"/>
              </w:rPr>
            </w:pPr>
          </w:p>
        </w:tc>
        <w:tc>
          <w:tcPr>
            <w:tcW w:w="1140" w:type="dxa"/>
            <w:vAlign w:val="bottom"/>
          </w:tcPr>
          <w:p>
            <w:pPr>
              <w:jc w:val="center"/>
              <w:spacing w:after="0" w:line="190" w:lineRule="exact"/>
              <w:rPr>
                <w:sz w:val="20"/>
                <w:szCs w:val="20"/>
                <w:color w:val="auto"/>
              </w:rPr>
            </w:pPr>
            <w:r>
              <w:rPr>
                <w:rFonts w:ascii="Arial" w:cs="Arial" w:eastAsia="Arial" w:hAnsi="Arial"/>
                <w:sz w:val="18"/>
                <w:szCs w:val="18"/>
                <w:color w:val="auto"/>
                <w:w w:val="89"/>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9000" w:type="dxa"/>
            <w:vAlign w:val="bottom"/>
            <w:gridSpan w:val="21"/>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Executive Compensation</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Security Ownership of Certain Beneficial Owners and Management and Related Stockholder Matters</w:t>
              </w:r>
            </w:hyperlink>
          </w:p>
        </w:tc>
        <w:tc>
          <w:tcPr>
            <w:tcW w:w="1700" w:type="dxa"/>
            <w:vAlign w:val="bottom"/>
            <w:gridSpan w:val="2"/>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9000" w:type="dxa"/>
            <w:vAlign w:val="bottom"/>
            <w:gridSpan w:val="21"/>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Certain Relationships and Related Transactions, and Director Independence</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Principal Accounting Fees and Services</w:t>
              </w:r>
            </w:hyperlink>
          </w:p>
        </w:tc>
        <w:tc>
          <w:tcPr>
            <w:tcW w:w="3560" w:type="dxa"/>
            <w:vAlign w:val="bottom"/>
            <w:gridSpan w:val="5"/>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80" w:type="dxa"/>
            <w:vAlign w:val="bottom"/>
            <w:gridSpan w:val="2"/>
          </w:tcPr>
          <w:p>
            <w:pPr>
              <w:spacing w:after="0" w:line="190"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2"/>
          </w:tcPr>
          <w:p>
            <w:pPr>
              <w:spacing w:after="0" w:line="190"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Exhibits, Financial Statement Schedules</w:t>
              </w:r>
            </w:hyperlink>
          </w:p>
        </w:tc>
        <w:tc>
          <w:tcPr>
            <w:tcW w:w="6100" w:type="dxa"/>
            <w:vAlign w:val="bottom"/>
            <w:gridSpan w:val="9"/>
          </w:tcPr>
          <w:p>
            <w:pPr>
              <w:spacing w:after="0"/>
              <w:rPr>
                <w:sz w:val="16"/>
                <w:szCs w:val="16"/>
                <w:color w:val="auto"/>
              </w:rPr>
            </w:pPr>
          </w:p>
        </w:tc>
        <w:tc>
          <w:tcPr>
            <w:tcW w:w="1140" w:type="dxa"/>
            <w:vAlign w:val="bottom"/>
          </w:tcPr>
          <w:p>
            <w:pPr>
              <w:jc w:val="center"/>
              <w:spacing w:after="0" w:line="190" w:lineRule="exact"/>
              <w:rPr>
                <w:sz w:val="20"/>
                <w:szCs w:val="20"/>
                <w:color w:val="auto"/>
              </w:rPr>
            </w:pPr>
            <w:r>
              <w:rPr>
                <w:rFonts w:ascii="Arial" w:cs="Arial" w:eastAsia="Arial" w:hAnsi="Arial"/>
                <w:sz w:val="18"/>
                <w:szCs w:val="18"/>
                <w:color w:val="auto"/>
                <w:w w:val="89"/>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16.</w:t>
            </w:r>
          </w:p>
        </w:tc>
        <w:tc>
          <w:tcPr>
            <w:tcW w:w="9000" w:type="dxa"/>
            <w:vAlign w:val="bottom"/>
            <w:gridSpan w:val="21"/>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Form 10-K Summary</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gridSpan w:val="2"/>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7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5440" w:type="dxa"/>
            <w:vAlign w:val="bottom"/>
            <w:gridSpan w:val="16"/>
          </w:tcPr>
          <w:p>
            <w:pPr>
              <w:jc w:val="center"/>
              <w:ind w:left="3330"/>
              <w:spacing w:after="0"/>
              <w:rPr>
                <w:sz w:val="20"/>
                <w:szCs w:val="20"/>
                <w:color w:val="auto"/>
              </w:rPr>
            </w:pPr>
            <w:r>
              <w:rPr>
                <w:rFonts w:ascii="Arial" w:cs="Arial" w:eastAsia="Arial" w:hAnsi="Arial"/>
                <w:sz w:val="18"/>
                <w:szCs w:val="18"/>
                <w:color w:val="auto"/>
                <w:w w:val="99"/>
              </w:rPr>
              <w:t>1</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20" w:firstLine="761"/>
        <w:spacing w:after="0" w:line="293" w:lineRule="auto"/>
        <w:rPr>
          <w:sz w:val="20"/>
          <w:szCs w:val="20"/>
          <w:color w:val="auto"/>
        </w:rPr>
      </w:pPr>
      <w:r>
        <w:rPr>
          <w:rFonts w:ascii="Arial" w:cs="Arial" w:eastAsia="Arial" w:hAnsi="Arial"/>
          <w:sz w:val="16"/>
          <w:szCs w:val="16"/>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57" w:lineRule="exact"/>
        <w:rPr>
          <w:sz w:val="20"/>
          <w:szCs w:val="20"/>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usage of our platform and upsell and cross sell additional products;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225" w:lineRule="exact"/>
        <w:rPr>
          <w:sz w:val="20"/>
          <w:szCs w:val="20"/>
          <w:color w:val="auto"/>
        </w:rPr>
      </w:pPr>
    </w:p>
    <w:p>
      <w:pPr>
        <w:ind w:firstLine="761"/>
        <w:spacing w:after="0" w:line="255"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in under the header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93" w:lineRule="exact"/>
        <w:rPr>
          <w:sz w:val="20"/>
          <w:szCs w:val="20"/>
          <w:color w:val="auto"/>
        </w:rPr>
      </w:pPr>
    </w:p>
    <w:p>
      <w:pPr>
        <w:ind w:right="160" w:firstLine="761"/>
        <w:spacing w:after="0" w:line="264"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and we undertake no obligation to update them to reflect events or circumstances after the date of this Annual Report on Form 10-K or to reflect new information or the occurrence of unanticipated events, except as required by law.</w:t>
      </w:r>
    </w:p>
    <w:p>
      <w:pPr>
        <w:spacing w:after="0" w:line="181"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Unless the context otherwise indicates, references in this report to the terms “Datadog”, “the Company,” “we,” “our” and “us” refer to Datadog, Inc. and its subsidiaries.</w:t>
      </w:r>
    </w:p>
    <w:p>
      <w:pPr>
        <w:spacing w:after="0" w:line="170" w:lineRule="exact"/>
        <w:rPr>
          <w:sz w:val="20"/>
          <w:szCs w:val="20"/>
          <w:color w:val="auto"/>
        </w:rPr>
      </w:pPr>
    </w:p>
    <w:p>
      <w:pPr>
        <w:jc w:val="both"/>
        <w:ind w:right="20" w:firstLine="761"/>
        <w:spacing w:after="0" w:line="286" w:lineRule="auto"/>
        <w:rPr>
          <w:sz w:val="20"/>
          <w:szCs w:val="20"/>
          <w:color w:val="auto"/>
        </w:rPr>
      </w:pPr>
      <w:r>
        <w:rPr>
          <w:rFonts w:ascii="Arial" w:cs="Arial" w:eastAsia="Arial" w:hAnsi="Arial"/>
          <w:sz w:val="17"/>
          <w:szCs w:val="17"/>
          <w:color w:val="auto"/>
        </w:rPr>
        <w:t>“Datadog” and other trade names and trademarks of ours appearing in this report are our property. This report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166" w:lineRule="exact"/>
        <w:rPr>
          <w:sz w:val="20"/>
          <w:szCs w:val="20"/>
          <w:color w:val="auto"/>
        </w:rPr>
      </w:pPr>
    </w:p>
    <w:p>
      <w:pPr>
        <w:ind w:right="60" w:firstLine="761"/>
        <w:spacing w:after="0" w:line="312" w:lineRule="auto"/>
        <w:rPr>
          <w:sz w:val="20"/>
          <w:szCs w:val="20"/>
          <w:color w:val="auto"/>
        </w:rPr>
      </w:pPr>
      <w:r>
        <w:rPr>
          <w:rFonts w:ascii="Arial" w:cs="Arial" w:eastAsia="Arial" w:hAnsi="Arial"/>
          <w:sz w:val="16"/>
          <w:szCs w:val="16"/>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or the SEC, webcasts, press releases and conference calls.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2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Our SaaS platform integrates and automates infrastructure monitoring, application performance monitoring and log management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87" w:lineRule="exact"/>
        <w:rPr>
          <w:sz w:val="20"/>
          <w:szCs w:val="20"/>
          <w:color w:val="auto"/>
        </w:rPr>
      </w:pPr>
    </w:p>
    <w:p>
      <w:pPr>
        <w:ind w:right="20" w:firstLine="761"/>
        <w:spacing w:after="0" w:line="297" w:lineRule="auto"/>
        <w:rPr>
          <w:sz w:val="20"/>
          <w:szCs w:val="20"/>
          <w:color w:val="auto"/>
        </w:rPr>
      </w:pPr>
      <w:r>
        <w:rPr>
          <w:rFonts w:ascii="Arial" w:cs="Arial" w:eastAsia="Arial" w:hAnsi="Arial"/>
          <w:sz w:val="16"/>
          <w:szCs w:val="16"/>
          <w:color w:val="auto"/>
        </w:rPr>
        <w:t>Software applications are transforming how organizations engage with customers and operate their businesses. Companies across all industries are re-platforming their businesses to cloud infrastructures to enable this digital transformation. Historically, engineering teams have been siloed, making the development of next generation applications on dynamic cloud environments challenging. We started Datadog to break this model and facilitate collaboration among development and operations teams, enabling the adoption of DevOps practices. Since then we have continuously pushed to unify separate tools into an integrated monitoring and analytics platform, readily available to everyone who cares about applications and their impact on business.</w:t>
      </w:r>
    </w:p>
    <w:p>
      <w:pPr>
        <w:spacing w:after="0" w:line="158" w:lineRule="exact"/>
        <w:rPr>
          <w:sz w:val="20"/>
          <w:szCs w:val="20"/>
          <w:color w:val="auto"/>
        </w:rPr>
      </w:pPr>
    </w:p>
    <w:p>
      <w:pPr>
        <w:ind w:right="80" w:firstLine="761"/>
        <w:spacing w:after="0" w:line="290" w:lineRule="auto"/>
        <w:rPr>
          <w:sz w:val="20"/>
          <w:szCs w:val="20"/>
          <w:color w:val="auto"/>
        </w:rPr>
      </w:pPr>
      <w:r>
        <w:rPr>
          <w:rFonts w:ascii="Arial" w:cs="Arial" w:eastAsia="Arial" w:hAnsi="Arial"/>
          <w:sz w:val="16"/>
          <w:szCs w:val="16"/>
          <w:color w:val="auto"/>
        </w:rPr>
        <w:t>From our founding goal of breaking down silos between Dev and Ops, we set out in 2010 to build a real-time data integration platform to turn chaos from disparate sources into digestible and actionable insights. In 2012, we launched our first use case with infrastructure monitoring, purpose-built to handle increasingly ephemeral cloud-native architectures. This enabled us to be deployed on our customers’ entire cloud IT environments and gave our product broad usage across Dev, Ops and business teams, in turn allowing us to address a bigger set of challenges through our platform. In 2017 we launched our Application Performance Monitoring, or APM, product, designed to be broadly deployed in very distributed, micro-services architectures. In 2018, we were the first to combine the “three pillars of observability” with the introduction of our log management product. To allow for full-stack observability, in 2019, we launched user experience monitoring and network performance monitoring, and announced the addition of security monitoring to our platform. Today, we offer end-to-end monitoring and analytics, powered by a common data model that is extensible for potential new use cases.</w:t>
      </w:r>
    </w:p>
    <w:p>
      <w:pPr>
        <w:spacing w:after="0" w:line="193" w:lineRule="exact"/>
        <w:rPr>
          <w:sz w:val="20"/>
          <w:szCs w:val="20"/>
          <w:color w:val="auto"/>
        </w:rPr>
      </w:pPr>
    </w:p>
    <w:p>
      <w:pPr>
        <w:ind w:right="260" w:firstLine="761"/>
        <w:spacing w:after="0" w:line="279" w:lineRule="auto"/>
        <w:rPr>
          <w:sz w:val="20"/>
          <w:szCs w:val="20"/>
          <w:color w:val="auto"/>
        </w:rPr>
      </w:pPr>
      <w:r>
        <w:rPr>
          <w:rFonts w:ascii="Arial" w:cs="Arial" w:eastAsia="Arial" w:hAnsi="Arial"/>
          <w:sz w:val="17"/>
          <w:szCs w:val="17"/>
          <w:color w:val="auto"/>
        </w:rPr>
        <w:t>Our proprietary platform combines the power of metrics, traces and logs to provide a unified view of infrastructure and application performance and the real-time events impacting this performance. Datadog is designed to be cloud agnostic and easy to deploy, with hundreds of out-of-the-box integrations, a built-in understanding of modern technology stacks and endless customizability. Customers can deploy our platform across their entire infrastructure, making it ubiquitous and a daily part of the lives of developers, operations engineers and business leaders.</w:t>
      </w:r>
    </w:p>
    <w:p>
      <w:pPr>
        <w:spacing w:after="0" w:line="171" w:lineRule="exact"/>
        <w:rPr>
          <w:sz w:val="20"/>
          <w:szCs w:val="20"/>
          <w:color w:val="auto"/>
        </w:rPr>
      </w:pPr>
    </w:p>
    <w:p>
      <w:pPr>
        <w:ind w:right="300" w:firstLine="761"/>
        <w:spacing w:after="0" w:line="259" w:lineRule="auto"/>
        <w:rPr>
          <w:sz w:val="20"/>
          <w:szCs w:val="20"/>
          <w:color w:val="auto"/>
        </w:rPr>
      </w:pPr>
      <w:r>
        <w:rPr>
          <w:rFonts w:ascii="Arial" w:cs="Arial" w:eastAsia="Arial" w:hAnsi="Arial"/>
          <w:sz w:val="18"/>
          <w:szCs w:val="18"/>
          <w:color w:val="auto"/>
        </w:rPr>
        <w:t>We believe that our platform currently addresses a significant portion of the IT Operations Management market. According to Gartner, the IT Operations Management market represents a $37 billion opportunity in 2023. We believe a large portion of this spend is for legacy on-premise and private cloud environments but does not fully include the opportunity in modern multi-cloud and hybrid cloud environments. Our platform is designed to address both legacy and modern environments.</w:t>
      </w:r>
    </w:p>
    <w:p>
      <w:pPr>
        <w:spacing w:after="0" w:line="187" w:lineRule="exact"/>
        <w:rPr>
          <w:sz w:val="20"/>
          <w:szCs w:val="20"/>
          <w:color w:val="auto"/>
        </w:rPr>
      </w:pPr>
    </w:p>
    <w:p>
      <w:pPr>
        <w:ind w:right="200" w:firstLine="761"/>
        <w:spacing w:after="0" w:line="259" w:lineRule="auto"/>
        <w:rPr>
          <w:sz w:val="20"/>
          <w:szCs w:val="20"/>
          <w:color w:val="auto"/>
        </w:rPr>
      </w:pPr>
      <w:r>
        <w:rPr>
          <w:rFonts w:ascii="Arial" w:cs="Arial" w:eastAsia="Arial" w:hAnsi="Arial"/>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Solution and Key Strengths</w:t>
      </w:r>
    </w:p>
    <w:p>
      <w:pPr>
        <w:spacing w:after="0" w:line="229" w:lineRule="exact"/>
        <w:rPr>
          <w:sz w:val="20"/>
          <w:szCs w:val="20"/>
          <w:color w:val="auto"/>
        </w:rPr>
      </w:pPr>
    </w:p>
    <w:p>
      <w:pPr>
        <w:ind w:right="20" w:firstLine="761"/>
        <w:spacing w:after="0" w:line="257" w:lineRule="auto"/>
        <w:rPr>
          <w:sz w:val="20"/>
          <w:szCs w:val="20"/>
          <w:color w:val="auto"/>
        </w:rPr>
      </w:pPr>
      <w:r>
        <w:rPr>
          <w:rFonts w:ascii="Arial" w:cs="Arial" w:eastAsia="Arial" w:hAnsi="Arial"/>
          <w:sz w:val="18"/>
          <w:szCs w:val="18"/>
          <w:color w:val="auto"/>
        </w:rPr>
        <w:t>Datadog was founded on the premise that the old model of siloed developers and IT operations engineers is broken, and that legacy tools used for monitoring static on-premise architectures do not work in modern cloud or hybrid environments. Datadog’s cloud-native platform enables development and operations teams to collaborate, quickly build and improve applications, and drive business performance. Empowered by our out-of-the box functionality and simple, self-service installation, our customers are able to rapidly deploy our platform to provide application- and infrastructure-wide visibility, often within minutes.</w:t>
      </w:r>
    </w:p>
    <w:p>
      <w:pPr>
        <w:spacing w:after="0" w:line="80" w:lineRule="exact"/>
        <w:rPr>
          <w:sz w:val="20"/>
          <w:szCs w:val="20"/>
          <w:color w:val="auto"/>
        </w:rPr>
      </w:pPr>
    </w:p>
    <w:p>
      <w:pPr>
        <w:ind w:left="1140" w:right="600" w:hanging="376"/>
        <w:spacing w:after="0" w:line="264"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Built for dynamic cloud infrastructures</w:t>
      </w:r>
      <w:r>
        <w:rPr>
          <w:rFonts w:ascii="Arial" w:cs="Arial" w:eastAsia="Arial" w:hAnsi="Arial"/>
          <w:sz w:val="18"/>
          <w:szCs w:val="18"/>
          <w:color w:val="auto"/>
        </w:rPr>
        <w:t>. Our innovative platform was born in the cloud and was built to work with ephemeral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such as microservices, containers and serverless computing. Our data model was built to work at cloud scale with highly dynamic data sets and processes more than 10 trillion events a day.</w:t>
      </w:r>
    </w:p>
    <w:p>
      <w:pPr>
        <w:spacing w:after="0" w:line="86" w:lineRule="exact"/>
        <w:rPr>
          <w:rFonts w:ascii="Arial" w:cs="Arial" w:eastAsia="Arial" w:hAnsi="Arial"/>
          <w:sz w:val="18"/>
          <w:szCs w:val="18"/>
          <w:color w:val="auto"/>
        </w:rPr>
      </w:pPr>
    </w:p>
    <w:p>
      <w:pPr>
        <w:ind w:left="1140" w:right="40" w:hanging="376"/>
        <w:spacing w:after="0" w:line="276"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Simple but not simplistic</w:t>
      </w:r>
      <w:r>
        <w:rPr>
          <w:rFonts w:ascii="Arial" w:cs="Arial" w:eastAsia="Arial" w:hAnsi="Arial"/>
          <w:sz w:val="17"/>
          <w:szCs w:val="17"/>
          <w:color w:val="auto"/>
        </w:rPr>
        <w:t>. Our platform is easy-to-use with out-of-the-box integrations, customizable drag-and-drop dashboards, real-time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visualization and prioritized alerting. The platform is deployed in a self-service installation process within minutes, allowing new users to quickly derive value without any specialized training or heavy implementation or customization. It is highly extensible across a wide array of use cases to a broad set of developers, operations engineers and business users. As a result, our platform is integral to business operations and used every day, and our users find increasing value in the solution over time.</w:t>
      </w:r>
    </w:p>
    <w:p>
      <w:pPr>
        <w:spacing w:after="0" w:line="77" w:lineRule="exact"/>
        <w:rPr>
          <w:rFonts w:ascii="Arial" w:cs="Arial" w:eastAsia="Arial" w:hAnsi="Arial"/>
          <w:sz w:val="17"/>
          <w:szCs w:val="17"/>
          <w:color w:val="auto"/>
        </w:rPr>
      </w:pPr>
    </w:p>
    <w:p>
      <w:pPr>
        <w:ind w:left="1140" w:hanging="376"/>
        <w:spacing w:after="0" w:line="293"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Integrated data platform</w:t>
      </w:r>
      <w:r>
        <w:rPr>
          <w:rFonts w:ascii="Arial" w:cs="Arial" w:eastAsia="Arial" w:hAnsi="Arial"/>
          <w:sz w:val="16"/>
          <w:szCs w:val="16"/>
          <w:color w:val="auto"/>
        </w:rPr>
        <w:t>. We were the first to combine the “three pillars of observability” - metrics, traces, and logs - with the introduction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log management solution in 2018. Today, our platform combines infrastructure monitoring, application performance monitoring, log management, user experience monitoring, and network performance monitoring in one integrated data platform. This approach increases efficiency by reducing both the expense and friction of attempting to glean insights from disparate systems. We are able to provide a unified view across the IT stack, including infrastructure and application performance, as well as the real-time events impacting performance. Each of our products is integrated and taken together provide the ability to view metrics, traces and logs side-by-side and perform correlation analysis.</w:t>
      </w:r>
    </w:p>
    <w:p>
      <w:pPr>
        <w:spacing w:after="0" w:line="70" w:lineRule="exact"/>
        <w:rPr>
          <w:rFonts w:ascii="Arial" w:cs="Arial" w:eastAsia="Arial" w:hAnsi="Arial"/>
          <w:sz w:val="16"/>
          <w:szCs w:val="16"/>
          <w:color w:val="auto"/>
        </w:rPr>
      </w:pPr>
    </w:p>
    <w:p>
      <w:pPr>
        <w:ind w:left="1140" w:right="300" w:hanging="376"/>
        <w:spacing w:after="0" w:line="25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Built for collaboration</w:t>
      </w:r>
      <w:r>
        <w:rPr>
          <w:rFonts w:ascii="Arial" w:cs="Arial" w:eastAsia="Arial" w:hAnsi="Arial"/>
          <w:sz w:val="18"/>
          <w:szCs w:val="18"/>
          <w:color w:val="auto"/>
        </w:rPr>
        <w:t>. Our platform was built to break down the silos between developers and operations teams in order to help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adopt DevOps practices and improve overall business performance. We provide development and operations teams with a common set of tools to develop a joint understanding of application performance and shared insights into the infrastructure supporting the applications. Additionally, our customizable and interactive dashboards can be shared with business teams to provide them with real-time actionable insights.</w:t>
      </w:r>
    </w:p>
    <w:p>
      <w:pPr>
        <w:spacing w:after="0" w:line="93" w:lineRule="exact"/>
        <w:rPr>
          <w:rFonts w:ascii="Arial" w:cs="Arial" w:eastAsia="Arial" w:hAnsi="Arial"/>
          <w:sz w:val="18"/>
          <w:szCs w:val="18"/>
          <w:color w:val="auto"/>
        </w:rPr>
      </w:pPr>
    </w:p>
    <w:p>
      <w:pPr>
        <w:ind w:left="1140" w:right="300" w:hanging="376"/>
        <w:spacing w:after="0" w:line="342"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Cloud agnostic</w:t>
      </w:r>
      <w:r>
        <w:rPr>
          <w:rFonts w:ascii="Arial" w:cs="Arial" w:eastAsia="Arial" w:hAnsi="Arial"/>
          <w:sz w:val="16"/>
          <w:szCs w:val="16"/>
          <w:color w:val="auto"/>
        </w:rPr>
        <w:t>. Our platform is designed to be deployable across all environments, including public cloud, private cloud, on-premise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multi-cloud hybrid environments, allowing organizations to diversify their infrastructure and reduce single vendor dependence.</w:t>
      </w:r>
    </w:p>
    <w:p>
      <w:pPr>
        <w:spacing w:after="0" w:line="15" w:lineRule="exact"/>
        <w:rPr>
          <w:rFonts w:ascii="Arial" w:cs="Arial" w:eastAsia="Arial" w:hAnsi="Arial"/>
          <w:sz w:val="16"/>
          <w:szCs w:val="16"/>
          <w:color w:val="auto"/>
        </w:rPr>
      </w:pPr>
    </w:p>
    <w:p>
      <w:pPr>
        <w:ind w:left="1140" w:right="100" w:hanging="376"/>
        <w:spacing w:after="0" w:line="25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Ubiquitous</w:t>
      </w:r>
      <w:r>
        <w:rPr>
          <w:rFonts w:ascii="Arial" w:cs="Arial" w:eastAsia="Arial" w:hAnsi="Arial"/>
          <w:sz w:val="18"/>
          <w:szCs w:val="18"/>
          <w:color w:val="auto"/>
        </w:rPr>
        <w:t>. Datadog is frequently deployed across a customer’s entire infrastructure, making it ubiquitous. Compared to legacy systems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often used only by a few users in an organization’s IT operations team, Datadog is a daily part of the lives of developers, operations engineers and business leaders. For example, a leading communications software technology provider has over 1,000 Datadog users, representing about half of the company’s total employee count and greater than the total number of the company’s engineers. Further, a Fortune 500 financial services firm has over 6,000 Datadog users.</w:t>
      </w:r>
    </w:p>
    <w:p>
      <w:pPr>
        <w:spacing w:after="0" w:line="80" w:lineRule="exact"/>
        <w:rPr>
          <w:rFonts w:ascii="Arial" w:cs="Arial" w:eastAsia="Arial" w:hAnsi="Arial"/>
          <w:sz w:val="18"/>
          <w:szCs w:val="18"/>
          <w:color w:val="auto"/>
        </w:rPr>
      </w:pPr>
    </w:p>
    <w:p>
      <w:pPr>
        <w:ind w:left="1140" w:right="60" w:hanging="376"/>
        <w:spacing w:after="0" w:line="302"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Integrates with our customers’ complex environments</w:t>
      </w:r>
      <w:r>
        <w:rPr>
          <w:rFonts w:ascii="Arial" w:cs="Arial" w:eastAsia="Arial" w:hAnsi="Arial"/>
          <w:sz w:val="16"/>
          <w:szCs w:val="16"/>
          <w:color w:val="auto"/>
        </w:rPr>
        <w:t>. We enable development and operations teams to harness the full spectrum of SaaS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open source tools. We have over 400 out-of-the-box integrations with technologies to provide significant value to our customers without the need for professional services. Our integrations provide for comprehensive data point aggregation and consistent, up-to-date, high-quality customer experiences across heterogeneous IT environments as they are fully maintained by Datadog.</w:t>
      </w:r>
    </w:p>
    <w:p>
      <w:pPr>
        <w:spacing w:after="0" w:line="46" w:lineRule="exact"/>
        <w:rPr>
          <w:rFonts w:ascii="Arial" w:cs="Arial" w:eastAsia="Arial" w:hAnsi="Arial"/>
          <w:sz w:val="16"/>
          <w:szCs w:val="16"/>
          <w:color w:val="auto"/>
        </w:rPr>
      </w:pPr>
    </w:p>
    <w:p>
      <w:pPr>
        <w:ind w:left="1140" w:right="20" w:hanging="376"/>
        <w:spacing w:after="0" w:line="286"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Powered by robust analytics and machine-learning</w:t>
      </w:r>
      <w:r>
        <w:rPr>
          <w:rFonts w:ascii="Arial" w:cs="Arial" w:eastAsia="Arial" w:hAnsi="Arial"/>
          <w:sz w:val="17"/>
          <w:szCs w:val="17"/>
          <w:color w:val="auto"/>
        </w:rPr>
        <w:t>. Our platform ingests massive amounts of data into our unified data warehouse.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 actionable insights using our advanced analytics capabilities. Our platform features machine learning that can cross-correlate metrics, traces and logs to identify outliers and notify users of potential anomalies before they impact the business.</w:t>
      </w:r>
    </w:p>
    <w:p>
      <w:pPr>
        <w:spacing w:after="0" w:line="57" w:lineRule="exact"/>
        <w:rPr>
          <w:rFonts w:ascii="Arial" w:cs="Arial" w:eastAsia="Arial" w:hAnsi="Arial"/>
          <w:sz w:val="17"/>
          <w:szCs w:val="17"/>
          <w:color w:val="auto"/>
        </w:rPr>
      </w:pPr>
    </w:p>
    <w:p>
      <w:pPr>
        <w:ind w:left="1140" w:right="60" w:hanging="376"/>
        <w:spacing w:after="0" w:line="312"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Scalable</w:t>
      </w:r>
      <w:r>
        <w:rPr>
          <w:rFonts w:ascii="Arial" w:cs="Arial" w:eastAsia="Arial" w:hAnsi="Arial"/>
          <w:sz w:val="16"/>
          <w:szCs w:val="16"/>
          <w:color w:val="auto"/>
        </w:rPr>
        <w:t>. Our SaaS platform is highly scalable and is delivered through the cloud. Our platform is massively scalable currently monitoring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than 10 trillion events a day and millions of servers and containers at any point in time. We offer secure, easily accessible data retention at full granularity for extensive periods of time, which can provide customers with a complete view of their historical data.</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Key Benefits to Our Customers</w:t>
      </w:r>
    </w:p>
    <w:p>
      <w:pPr>
        <w:spacing w:after="0" w:line="229" w:lineRule="exact"/>
        <w:rPr>
          <w:sz w:val="20"/>
          <w:szCs w:val="20"/>
          <w:color w:val="auto"/>
        </w:rPr>
      </w:pPr>
    </w:p>
    <w:p>
      <w:pPr>
        <w:ind w:right="100" w:firstLine="761"/>
        <w:spacing w:after="0" w:line="277" w:lineRule="auto"/>
        <w:rPr>
          <w:sz w:val="20"/>
          <w:szCs w:val="20"/>
          <w:color w:val="auto"/>
        </w:rPr>
      </w:pPr>
      <w:r>
        <w:rPr>
          <w:rFonts w:ascii="Arial" w:cs="Arial" w:eastAsia="Arial" w:hAnsi="Arial"/>
          <w:sz w:val="18"/>
          <w:szCs w:val="18"/>
          <w:color w:val="auto"/>
        </w:rPr>
        <w:t>Organizations of all sizes, in all industries, both private and public, purchase our products for a variety of use cases. As of December 31, 2019, we had approximately 10,500 customers in over 100 countries. Our platform provides the following key benefits to our customers:</w:t>
      </w:r>
    </w:p>
    <w:p>
      <w:pPr>
        <w:spacing w:after="0" w:line="62" w:lineRule="exact"/>
        <w:rPr>
          <w:sz w:val="20"/>
          <w:szCs w:val="20"/>
          <w:color w:val="auto"/>
        </w:rPr>
      </w:pPr>
    </w:p>
    <w:p>
      <w:pPr>
        <w:ind w:left="1140" w:right="40" w:hanging="376"/>
        <w:spacing w:after="0" w:line="312"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Accelerate digital transformation</w:t>
      </w:r>
      <w:r>
        <w:rPr>
          <w:rFonts w:ascii="Arial" w:cs="Arial" w:eastAsia="Arial" w:hAnsi="Arial"/>
          <w:sz w:val="16"/>
          <w:szCs w:val="16"/>
          <w:color w:val="auto"/>
        </w:rPr>
        <w:t>. We enable customers to take full advantage of the cloud to develop and maintain mission-critical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with agility and with confidence in the face of increasing business and time pressure and complexity of underlying infrastructure. As a result, our platform helps accelerate innovation cycles, deliver exceptional digital experiences and optimize business performance.</w:t>
      </w:r>
    </w:p>
    <w:p>
      <w:pPr>
        <w:spacing w:after="0" w:line="38" w:lineRule="exact"/>
        <w:rPr>
          <w:rFonts w:ascii="Arial" w:cs="Arial" w:eastAsia="Arial" w:hAnsi="Arial"/>
          <w:sz w:val="16"/>
          <w:szCs w:val="16"/>
          <w:color w:val="auto"/>
        </w:rPr>
      </w:pPr>
    </w:p>
    <w:p>
      <w:pPr>
        <w:ind w:left="1140" w:right="140" w:hanging="376"/>
        <w:spacing w:after="0" w:line="25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Reduce time to problem detection and resolution</w:t>
      </w:r>
      <w:r>
        <w:rPr>
          <w:rFonts w:ascii="Arial" w:cs="Arial" w:eastAsia="Arial" w:hAnsi="Arial"/>
          <w:sz w:val="18"/>
          <w:szCs w:val="18"/>
          <w:color w:val="auto"/>
        </w:rPr>
        <w:t>. Using infrastructure, APM and log data in our unified platform, our customers are 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quickly isolate the root cause of application issues in one place where they otherwise would be required to spend hours trying to investigate using multiple tools. The reduction in mean time to detection and mean time to resolution helps our customers avoid lost revenues and enhance customer experience.</w:t>
      </w:r>
    </w:p>
    <w:p>
      <w:pPr>
        <w:spacing w:after="0" w:line="78" w:lineRule="exact"/>
        <w:rPr>
          <w:rFonts w:ascii="Arial" w:cs="Arial" w:eastAsia="Arial" w:hAnsi="Arial"/>
          <w:sz w:val="18"/>
          <w:szCs w:val="18"/>
          <w:color w:val="auto"/>
        </w:rPr>
      </w:pPr>
    </w:p>
    <w:p>
      <w:pPr>
        <w:ind w:left="1140" w:right="180" w:hanging="376"/>
        <w:spacing w:after="0" w:line="279" w:lineRule="auto"/>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Improve agility of development, operations and business teams</w:t>
      </w:r>
      <w:r>
        <w:rPr>
          <w:rFonts w:ascii="Arial" w:cs="Arial" w:eastAsia="Arial" w:hAnsi="Arial"/>
          <w:sz w:val="17"/>
          <w:szCs w:val="17"/>
          <w:color w:val="auto"/>
        </w:rPr>
        <w:t>. We eliminate the historical silos of development and operations teams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a platform that enables efficient and agile development through the adoption of DevOps. Our platform enables development and operations teams to collaborate closely with a shared understanding of data and analytics. This helps them develop a joint understanding of application performance and shared insights into the infrastructure supporting the applications.</w:t>
      </w:r>
    </w:p>
    <w:p>
      <w:pPr>
        <w:spacing w:after="0" w:line="63" w:lineRule="exact"/>
        <w:rPr>
          <w:rFonts w:ascii="Arial" w:cs="Arial" w:eastAsia="Arial" w:hAnsi="Arial"/>
          <w:sz w:val="17"/>
          <w:szCs w:val="17"/>
          <w:color w:val="auto"/>
        </w:rPr>
      </w:pPr>
    </w:p>
    <w:p>
      <w:pPr>
        <w:ind w:left="1140" w:hanging="376"/>
        <w:spacing w:after="0" w:line="255"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Enable operational efficiency</w:t>
      </w:r>
      <w:r>
        <w:rPr>
          <w:rFonts w:ascii="Arial" w:cs="Arial" w:eastAsia="Arial" w:hAnsi="Arial"/>
          <w:sz w:val="18"/>
          <w:szCs w:val="18"/>
          <w:color w:val="auto"/>
        </w:rPr>
        <w:t>. Our solution is easy to install, which eliminates the need for heavy implementation costs and professional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We have hundreds of integrations with key technologies, from which our customers can derive significant value, avoiding internal development costs and professional services required to create those integrations. Our customer-centric pricing model is tailored to customers’ desired usage needs. For example, our log management solution has differentiated pricing for logs indexed versus logs ingested. Our platform empowers customers to better understand the operational needs of their applications and IT environments, enabling greater efficiency in resource allocation and spend on cloud infrastructure.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intend to pursue the following growth strategies:</w:t>
      </w:r>
    </w:p>
    <w:p>
      <w:pPr>
        <w:spacing w:after="0" w:line="117" w:lineRule="exact"/>
        <w:rPr>
          <w:sz w:val="20"/>
          <w:szCs w:val="20"/>
          <w:color w:val="auto"/>
        </w:rPr>
      </w:pPr>
    </w:p>
    <w:p>
      <w:pPr>
        <w:ind w:left="1140" w:right="160" w:hanging="376"/>
        <w:spacing w:after="0" w:line="264"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customer base by acquiring new customers</w:t>
      </w:r>
      <w:r>
        <w:rPr>
          <w:rFonts w:ascii="Arial" w:cs="Arial" w:eastAsia="Arial" w:hAnsi="Arial"/>
          <w:sz w:val="18"/>
          <w:szCs w:val="18"/>
          <w:color w:val="auto"/>
        </w:rPr>
        <w:t>. Our market penetration is low. We believe there is a substantial opportunity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grow our customer base. We intend to drive new customer additions by expanding our sales and marketing efforts in the markets we serve.</w:t>
      </w:r>
    </w:p>
    <w:p>
      <w:pPr>
        <w:spacing w:after="0" w:line="73" w:lineRule="exact"/>
        <w:rPr>
          <w:rFonts w:ascii="Arial" w:cs="Arial" w:eastAsia="Arial" w:hAnsi="Arial"/>
          <w:sz w:val="18"/>
          <w:szCs w:val="18"/>
          <w:color w:val="auto"/>
        </w:rPr>
      </w:pPr>
    </w:p>
    <w:p>
      <w:pPr>
        <w:ind w:left="1140" w:right="560" w:hanging="376"/>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Expand within our existing customer base through broader deployments, new use cases and new product adoption</w:t>
      </w:r>
      <w:r>
        <w:rPr>
          <w:rFonts w:ascii="Arial" w:cs="Arial" w:eastAsia="Arial" w:hAnsi="Arial"/>
          <w:sz w:val="18"/>
          <w:szCs w:val="18"/>
          <w:color w:val="auto"/>
        </w:rPr>
        <w:t>. Our base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10,500 customers as of December 31, 2019 represents a significant opportunity for further sales expansion. We plan to continue to increase sales within our existing customer base through increased usage of our platform and the cross selling of additional products.</w:t>
      </w:r>
    </w:p>
    <w:p>
      <w:pPr>
        <w:spacing w:after="0" w:line="78" w:lineRule="exact"/>
        <w:rPr>
          <w:rFonts w:ascii="Arial" w:cs="Arial" w:eastAsia="Arial" w:hAnsi="Arial"/>
          <w:sz w:val="18"/>
          <w:szCs w:val="18"/>
          <w:color w:val="auto"/>
        </w:rPr>
      </w:pPr>
    </w:p>
    <w:p>
      <w:pPr>
        <w:ind w:left="1140" w:right="120" w:hanging="376"/>
        <w:spacing w:after="0" w:line="279" w:lineRule="auto"/>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technology leadership through continued investment and new products</w:t>
      </w:r>
      <w:r>
        <w:rPr>
          <w:rFonts w:ascii="Arial" w:cs="Arial" w:eastAsia="Arial" w:hAnsi="Arial"/>
          <w:sz w:val="17"/>
          <w:szCs w:val="17"/>
          <w:color w:val="auto"/>
        </w:rPr>
        <w:t>. We intend to invest in expanding the functionality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current platform and adding capabilities that address new market opportunities. We have a history of continued innovation. For example, in 2017 we launched APM, in 2018 we launched log management, and in 2019 we launched user experience monitoring and network performance monitoring, and announced the addition of security monitoring to our platform.</w:t>
      </w:r>
    </w:p>
    <w:p>
      <w:pPr>
        <w:spacing w:after="0" w:line="63" w:lineRule="exact"/>
        <w:rPr>
          <w:rFonts w:ascii="Arial" w:cs="Arial" w:eastAsia="Arial" w:hAnsi="Arial"/>
          <w:sz w:val="17"/>
          <w:szCs w:val="17"/>
          <w:color w:val="auto"/>
        </w:rPr>
      </w:pPr>
    </w:p>
    <w:p>
      <w:pPr>
        <w:ind w:left="1140" w:right="80" w:hanging="376"/>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customer base internationally</w:t>
      </w:r>
      <w:r>
        <w:rPr>
          <w:rFonts w:ascii="Arial" w:cs="Arial" w:eastAsia="Arial" w:hAnsi="Arial"/>
          <w:sz w:val="18"/>
          <w:szCs w:val="18"/>
          <w:color w:val="auto"/>
        </w:rPr>
        <w:t>. We believe there is a significant opportunity to continue to expand usage of our platform outside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United States, as international markets have increased the shift of their IT spend to the cloud.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29" w:lineRule="exact"/>
        <w:rPr>
          <w:sz w:val="20"/>
          <w:szCs w:val="20"/>
          <w:color w:val="auto"/>
        </w:rPr>
      </w:pPr>
    </w:p>
    <w:p>
      <w:pPr>
        <w:ind w:right="20" w:firstLine="761"/>
        <w:spacing w:after="0" w:line="293" w:lineRule="auto"/>
        <w:rPr>
          <w:sz w:val="20"/>
          <w:szCs w:val="20"/>
          <w:color w:val="auto"/>
        </w:rPr>
      </w:pPr>
      <w:r>
        <w:rPr>
          <w:rFonts w:ascii="Arial" w:cs="Arial" w:eastAsia="Arial" w:hAnsi="Arial"/>
          <w:sz w:val="16"/>
          <w:szCs w:val="16"/>
          <w:color w:val="auto"/>
        </w:rPr>
        <w:t>Our proprietary platform provides real-time insights into software applications and IT infrastructure performance to enable better user experiences, faster problem detection and resolution and smarter, more impactful business decisions. Our platform is also modular and includes infrastructure monitoring, application performance monitoring, log management, user experience monitoring and network performance monitoring, as well as a range of shared features such as sophisticated dashboards, advanced analytics, collaboration tools and alerting capabilities. Each of our products is fully capable stand-alone so clients can choose to use different capabilities incrementally or deploy many at once. When deployed together, our products automatically enable cross-correlation, which in turn allows customers to gain greater levels of visibility across their infrastructure and applications to more rapidly troubleshoot problems.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 w:name="page7"/>
    <w:bookmarkEnd w:id="6"/>
    <w:p>
      <w:pPr>
        <w:ind w:right="40" w:firstLine="761"/>
        <w:spacing w:after="0" w:line="257" w:lineRule="auto"/>
        <w:rPr>
          <w:sz w:val="20"/>
          <w:szCs w:val="20"/>
          <w:color w:val="auto"/>
        </w:rPr>
      </w:pPr>
      <w:r>
        <w:rPr>
          <w:rFonts w:ascii="Arial" w:cs="Arial" w:eastAsia="Arial" w:hAnsi="Arial"/>
          <w:sz w:val="18"/>
          <w:szCs w:val="18"/>
          <w:color w:val="auto"/>
        </w:rPr>
        <w:t>Our platform is supported by hundreds of integrations to seamlessly aggregate metrics and events across all of the systems and services that power digital businesses. Our easy-to-use platform is deployed through a self-service installation process. Users can derive value from our platform within minutes without any specialized training or heavy implementation or customization. Customers can easily expand their usage of our platform on a self-serve basis, adding hosts or volumes of data monitored. Our platform is massively scalable currently monitoring more than 10 trillion events a day and millions of servers and containers.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key elements that can be leveraged across our platform:</w:t>
      </w:r>
    </w:p>
    <w:p>
      <w:pPr>
        <w:spacing w:after="0" w:line="117" w:lineRule="exact"/>
        <w:rPr>
          <w:sz w:val="20"/>
          <w:szCs w:val="20"/>
          <w:color w:val="auto"/>
        </w:rPr>
      </w:pPr>
    </w:p>
    <w:p>
      <w:pPr>
        <w:ind w:left="1140" w:right="80" w:hanging="376"/>
        <w:spacing w:after="0" w:line="312" w:lineRule="auto"/>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Single Pane of Glass</w:t>
      </w:r>
      <w:r>
        <w:rPr>
          <w:rFonts w:ascii="Arial" w:cs="Arial" w:eastAsia="Arial" w:hAnsi="Arial"/>
          <w:sz w:val="16"/>
          <w:szCs w:val="16"/>
          <w:color w:val="auto"/>
        </w:rPr>
        <w:t>. Our ability to provide a unified source of data enables users to access information from a single platform and easily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explore multiple data sources. Through a single dashboard and with a common data framework, users are able to access and explore all of the relevant performance data. Users are able to more quickly assess and resolve their issues without having to toggle between multiple products.</w:t>
      </w:r>
    </w:p>
    <w:p>
      <w:pPr>
        <w:spacing w:after="0" w:line="38" w:lineRule="exact"/>
        <w:rPr>
          <w:rFonts w:ascii="Arial" w:cs="Arial" w:eastAsia="Arial" w:hAnsi="Arial"/>
          <w:sz w:val="16"/>
          <w:szCs w:val="16"/>
          <w:color w:val="auto"/>
        </w:rPr>
      </w:pPr>
    </w:p>
    <w:p>
      <w:pPr>
        <w:ind w:left="1140" w:right="100" w:hanging="376"/>
        <w:spacing w:after="0" w:line="259"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Robust, Deep Data Set</w:t>
      </w:r>
      <w:r>
        <w:rPr>
          <w:rFonts w:ascii="Arial" w:cs="Arial" w:eastAsia="Arial" w:hAnsi="Arial"/>
          <w:sz w:val="18"/>
          <w:szCs w:val="18"/>
          <w:color w:val="auto"/>
        </w:rPr>
        <w:t>. Our client-side collection technology relies on installation of a single agent for metrics, traces, and logs, allowing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simple, seamless deployment experience for the customers. We ingest massive amounts of complex data and normalize it. The volume of data associated with combining infrastructure, APM and log management provides for a dramatically more robust data set than any of the individual data sources would provide on their own.</w:t>
      </w:r>
    </w:p>
    <w:p>
      <w:pPr>
        <w:spacing w:after="0" w:line="78" w:lineRule="exact"/>
        <w:rPr>
          <w:rFonts w:ascii="Arial" w:cs="Arial" w:eastAsia="Arial" w:hAnsi="Arial"/>
          <w:sz w:val="18"/>
          <w:szCs w:val="18"/>
          <w:color w:val="auto"/>
        </w:rPr>
      </w:pPr>
    </w:p>
    <w:p>
      <w:pPr>
        <w:ind w:left="1140" w:right="120" w:hanging="376"/>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SaaS Platform</w:t>
      </w:r>
      <w:r>
        <w:rPr>
          <w:rFonts w:ascii="Arial" w:cs="Arial" w:eastAsia="Arial" w:hAnsi="Arial"/>
          <w:sz w:val="18"/>
          <w:szCs w:val="18"/>
          <w:color w:val="auto"/>
        </w:rPr>
        <w:t>. Our cloud based multi-tenant SaaS platform allows for real-time ingestion, and analysis of massive amounts of data,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customers needing to worry about the provisioning, sizing and capacity of their monitoring platform.</w:t>
      </w:r>
    </w:p>
    <w:p>
      <w:pPr>
        <w:spacing w:after="0" w:line="62" w:lineRule="exact"/>
        <w:rPr>
          <w:rFonts w:ascii="Arial" w:cs="Arial" w:eastAsia="Arial" w:hAnsi="Arial"/>
          <w:sz w:val="18"/>
          <w:szCs w:val="18"/>
          <w:color w:val="auto"/>
        </w:rPr>
      </w:pPr>
    </w:p>
    <w:p>
      <w:pPr>
        <w:ind w:left="1140" w:right="140" w:hanging="376"/>
        <w:spacing w:after="0" w:line="264"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One Data Model. </w:t>
      </w:r>
      <w:r>
        <w:rPr>
          <w:rFonts w:ascii="Arial" w:cs="Arial" w:eastAsia="Arial" w:hAnsi="Arial"/>
          <w:sz w:val="18"/>
          <w:szCs w:val="18"/>
          <w:color w:val="auto"/>
        </w:rPr>
        <w:t>Every piece of data that is ingested by our platform is consistently tagged with metadata regardless of its type. This allows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different kinds of performance data, such as a log event and an application trace, to be queried together, correlated, alerted on, and visualized in a common user interface.</w:t>
      </w:r>
    </w:p>
    <w:p>
      <w:pPr>
        <w:spacing w:after="0" w:line="73" w:lineRule="exact"/>
        <w:rPr>
          <w:rFonts w:ascii="Arial" w:cs="Arial" w:eastAsia="Arial" w:hAnsi="Arial"/>
          <w:sz w:val="18"/>
          <w:szCs w:val="18"/>
          <w:color w:val="auto"/>
        </w:rPr>
      </w:pPr>
    </w:p>
    <w:p>
      <w:pPr>
        <w:ind w:left="1140" w:right="700" w:hanging="376"/>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Cross-Correlation</w:t>
      </w:r>
      <w:r>
        <w:rPr>
          <w:rFonts w:ascii="Arial" w:cs="Arial" w:eastAsia="Arial" w:hAnsi="Arial"/>
          <w:sz w:val="18"/>
          <w:szCs w:val="18"/>
          <w:color w:val="auto"/>
        </w:rPr>
        <w:t>. All of our solutions are integrated and work cohesively to provide a deep level of context and insight into what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occurring in a customer’s IT environment and power faster trouble-shooting.</w:t>
      </w:r>
    </w:p>
    <w:p>
      <w:pPr>
        <w:spacing w:after="0" w:line="62" w:lineRule="exact"/>
        <w:rPr>
          <w:rFonts w:ascii="Arial" w:cs="Arial" w:eastAsia="Arial" w:hAnsi="Arial"/>
          <w:sz w:val="18"/>
          <w:szCs w:val="18"/>
          <w:color w:val="auto"/>
        </w:rPr>
      </w:pPr>
    </w:p>
    <w:p>
      <w:pPr>
        <w:ind w:left="1140" w:right="440" w:hanging="376"/>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Out-Of-The-Box, Actionable Insights</w:t>
      </w:r>
      <w:r>
        <w:rPr>
          <w:rFonts w:ascii="Arial" w:cs="Arial" w:eastAsia="Arial" w:hAnsi="Arial"/>
          <w:sz w:val="18"/>
          <w:szCs w:val="18"/>
          <w:color w:val="auto"/>
        </w:rPr>
        <w:t>. From the moment of installation, our platform provides actionable insights through customizable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dashboards, predictive analytics, automated correlations, visualizations and alerting.</w:t>
      </w:r>
    </w:p>
    <w:p>
      <w:pPr>
        <w:spacing w:after="0" w:line="62" w:lineRule="exact"/>
        <w:rPr>
          <w:rFonts w:ascii="Arial" w:cs="Arial" w:eastAsia="Arial" w:hAnsi="Arial"/>
          <w:sz w:val="18"/>
          <w:szCs w:val="18"/>
          <w:color w:val="auto"/>
        </w:rPr>
      </w:pPr>
    </w:p>
    <w:p>
      <w:pPr>
        <w:ind w:left="1140" w:right="100" w:hanging="376"/>
        <w:spacing w:after="0" w:line="312" w:lineRule="auto"/>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High Accuracy Machine-Learning Capabilities and Predictive Capabilities Powered by the Network Effect</w:t>
      </w:r>
      <w:r>
        <w:rPr>
          <w:rFonts w:ascii="Arial" w:cs="Arial" w:eastAsia="Arial" w:hAnsi="Arial"/>
          <w:sz w:val="16"/>
          <w:szCs w:val="16"/>
          <w:color w:val="auto"/>
        </w:rPr>
        <w:t>. Our multi-tenant cloud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analyzes massive data sets ingested across our customers and their IT environments. It uses machine learning to predict and identify sources of performance or availability issues that customers share due to dependencies on common service providers or third-party services.</w:t>
      </w:r>
    </w:p>
    <w:p>
      <w:pPr>
        <w:spacing w:after="0" w:line="38" w:lineRule="exact"/>
        <w:rPr>
          <w:rFonts w:ascii="Arial" w:cs="Arial" w:eastAsia="Arial" w:hAnsi="Arial"/>
          <w:sz w:val="16"/>
          <w:szCs w:val="16"/>
          <w:color w:val="auto"/>
        </w:rPr>
      </w:pPr>
    </w:p>
    <w:p>
      <w:pPr>
        <w:ind w:left="1140" w:right="300" w:hanging="376"/>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400+ Fully Supported Integrations</w:t>
      </w:r>
      <w:r>
        <w:rPr>
          <w:rFonts w:ascii="Arial" w:cs="Arial" w:eastAsia="Arial" w:hAnsi="Arial"/>
          <w:sz w:val="18"/>
          <w:szCs w:val="18"/>
          <w:color w:val="auto"/>
        </w:rPr>
        <w:t>. We offer more than 400 out-of-the-box integrations including public cloud, private cloud, on-premise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hardware, databases and third-party software.</w:t>
      </w:r>
    </w:p>
    <w:p>
      <w:pPr>
        <w:spacing w:after="0" w:line="62" w:lineRule="exact"/>
        <w:rPr>
          <w:rFonts w:ascii="Arial" w:cs="Arial" w:eastAsia="Arial" w:hAnsi="Arial"/>
          <w:sz w:val="18"/>
          <w:szCs w:val="18"/>
          <w:color w:val="auto"/>
        </w:rPr>
      </w:pPr>
    </w:p>
    <w:p>
      <w:pPr>
        <w:ind w:left="1140" w:right="340" w:hanging="376"/>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Automated Alerts</w:t>
      </w:r>
      <w:r>
        <w:rPr>
          <w:rFonts w:ascii="Arial" w:cs="Arial" w:eastAsia="Arial" w:hAnsi="Arial"/>
          <w:sz w:val="18"/>
          <w:szCs w:val="18"/>
          <w:color w:val="auto"/>
        </w:rPr>
        <w:t>. We offer sophisticated real time alerting capabilities in the platform that detects issues, alerts users, and integrates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service management systems.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platform consists of seven products that can be used individually or as a unified solution, including:</w:t>
      </w:r>
    </w:p>
    <w:p>
      <w:pPr>
        <w:spacing w:after="0" w:line="117" w:lineRule="exact"/>
        <w:rPr>
          <w:sz w:val="20"/>
          <w:szCs w:val="20"/>
          <w:color w:val="auto"/>
        </w:rPr>
      </w:pPr>
    </w:p>
    <w:p>
      <w:pPr>
        <w:ind w:left="1140" w:hanging="376"/>
        <w:spacing w:after="0" w:line="259"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Infrastructure Monitoring</w:t>
      </w:r>
      <w:r>
        <w:rPr>
          <w:rFonts w:ascii="Arial" w:cs="Arial" w:eastAsia="Arial" w:hAnsi="Arial"/>
          <w:sz w:val="18"/>
          <w:szCs w:val="18"/>
          <w:color w:val="auto"/>
        </w:rPr>
        <w:t>. Our infrastructure monitoring platform provides real-time monitoring of IT infrastructure across public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private cloud and hybrid environments, as well as in containers and serverless architectures, ensuring performance and availability of applications. All infrastructure data is located in one repository with automatic correlation, regardless of environment size or rate of change, to provide a fulsome view of everything that is occurring across the IT ecosystem.</w:t>
      </w:r>
    </w:p>
    <w:p>
      <w:pPr>
        <w:spacing w:after="0" w:line="78" w:lineRule="exact"/>
        <w:rPr>
          <w:rFonts w:ascii="Arial" w:cs="Arial" w:eastAsia="Arial" w:hAnsi="Arial"/>
          <w:sz w:val="18"/>
          <w:szCs w:val="18"/>
          <w:color w:val="auto"/>
        </w:rPr>
      </w:pPr>
    </w:p>
    <w:p>
      <w:pPr>
        <w:ind w:left="1140" w:right="40" w:hanging="376"/>
        <w:spacing w:after="0" w:line="259"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Performance Monitoring (APM)</w:t>
      </w:r>
      <w:r>
        <w:rPr>
          <w:rFonts w:ascii="Arial" w:cs="Arial" w:eastAsia="Arial" w:hAnsi="Arial"/>
          <w:sz w:val="18"/>
          <w:szCs w:val="18"/>
          <w:color w:val="auto"/>
        </w:rPr>
        <w:t>. APM provides full visibility into the health and functioning of applications regardless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deployment environment. Distributed tracing across microservices, hosts, containers and serverless computing functions allows our customers to gain deep insights into application performance. In-context correlation of APM traces to logs and infrastructure metrics provides for faster troubleshooting allowing issues to be resolved in minimal time.</w:t>
      </w:r>
    </w:p>
    <w:p>
      <w:pPr>
        <w:spacing w:after="0" w:line="78" w:lineRule="exact"/>
        <w:rPr>
          <w:rFonts w:ascii="Arial" w:cs="Arial" w:eastAsia="Arial" w:hAnsi="Arial"/>
          <w:sz w:val="18"/>
          <w:szCs w:val="18"/>
          <w:color w:val="auto"/>
        </w:rPr>
      </w:pPr>
    </w:p>
    <w:p>
      <w:pPr>
        <w:ind w:left="1140" w:right="20" w:hanging="376"/>
        <w:spacing w:after="0" w:line="259"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Log Management</w:t>
      </w:r>
      <w:r>
        <w:rPr>
          <w:rFonts w:ascii="Arial" w:cs="Arial" w:eastAsia="Arial" w:hAnsi="Arial"/>
          <w:sz w:val="18"/>
          <w:szCs w:val="18"/>
          <w:color w:val="auto"/>
        </w:rPr>
        <w:t>. Log management for applications, systems and cloud platforms ingests data, creates indexes and enables querying of logs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visualizations and alerting to ensure immediate insight into any performance issues. Logging Without Limits</w:t>
      </w:r>
      <w:r>
        <w:rPr>
          <w:rFonts w:ascii="Arial" w:cs="Arial" w:eastAsia="Arial" w:hAnsi="Arial"/>
          <w:sz w:val="15"/>
          <w:szCs w:val="15"/>
          <w:color w:val="auto"/>
        </w:rPr>
        <w:t>TM</w:t>
      </w:r>
      <w:r>
        <w:rPr>
          <w:rFonts w:ascii="Arial" w:cs="Arial" w:eastAsia="Arial" w:hAnsi="Arial"/>
          <w:sz w:val="18"/>
          <w:szCs w:val="18"/>
          <w:color w:val="auto"/>
        </w:rPr>
        <w:t xml:space="preserve"> decouples the cost of log ingestion from processing, allowing customers to cost effectively collect a massive volume of logs and selectively process those they need to monitor.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left="1140" w:right="40" w:hanging="376"/>
        <w:spacing w:after="0" w:line="279" w:lineRule="auto"/>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User Experience Monitoring. </w:t>
      </w:r>
      <w:r>
        <w:rPr>
          <w:rFonts w:ascii="Arial" w:cs="Arial" w:eastAsia="Arial" w:hAnsi="Arial"/>
          <w:sz w:val="17"/>
          <w:szCs w:val="17"/>
          <w:color w:val="auto"/>
        </w:rPr>
        <w:t>User experience monitoring brings visibility up the stack to monitor the digital experience of the customer,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comprised of two products – Synthetics and Real User Monitoring, or RUM. Synthetics provides user-experience monitoring of applications and API endpoints via simulated AI-powered user requests to track application performance and ensure uptime. RUM provides analysis and visualization of the performance of front-end applications as experienced by all actual users.</w:t>
      </w:r>
    </w:p>
    <w:p>
      <w:pPr>
        <w:spacing w:after="0" w:line="63" w:lineRule="exact"/>
        <w:rPr>
          <w:rFonts w:ascii="Arial" w:cs="Arial" w:eastAsia="Arial" w:hAnsi="Arial"/>
          <w:sz w:val="17"/>
          <w:szCs w:val="17"/>
          <w:color w:val="auto"/>
        </w:rPr>
      </w:pPr>
    </w:p>
    <w:p>
      <w:pPr>
        <w:ind w:left="1140" w:right="40" w:hanging="376"/>
        <w:spacing w:after="0" w:line="286" w:lineRule="auto"/>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Network Performance Monitoring. </w:t>
      </w:r>
      <w:r>
        <w:rPr>
          <w:rFonts w:ascii="Arial" w:cs="Arial" w:eastAsia="Arial" w:hAnsi="Arial"/>
          <w:sz w:val="17"/>
          <w:szCs w:val="17"/>
          <w:color w:val="auto"/>
        </w:rPr>
        <w:t>Network Performance Monitoring, or NPM, enables the analysis and visualization of the flow of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traffic in cloud-based or hybrid environments. It allows the mapping of full-stack dependencies, and is fully integrated with the Datadog platform. It is very lightweight, allowing customers to monitor the flow of network traffic without sacrificing performance.</w:t>
      </w:r>
    </w:p>
    <w:p>
      <w:pPr>
        <w:spacing w:after="0" w:line="57" w:lineRule="exact"/>
        <w:rPr>
          <w:rFonts w:ascii="Arial" w:cs="Arial" w:eastAsia="Arial" w:hAnsi="Arial"/>
          <w:sz w:val="17"/>
          <w:szCs w:val="17"/>
          <w:color w:val="auto"/>
        </w:rPr>
      </w:pPr>
    </w:p>
    <w:p>
      <w:pPr>
        <w:ind w:left="1140" w:right="160" w:hanging="376"/>
        <w:spacing w:after="0" w:line="264"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Security Monitoring. </w:t>
      </w:r>
      <w:r>
        <w:rPr>
          <w:rFonts w:ascii="Arial" w:cs="Arial" w:eastAsia="Arial" w:hAnsi="Arial"/>
          <w:sz w:val="18"/>
          <w:szCs w:val="18"/>
          <w:color w:val="auto"/>
        </w:rPr>
        <w:t>Currently available in beta, security monitoring allows customers to detect threats in real time and investigate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signals across metrics, traces, and logs. It provides the full engineering organization, including Dev, Ops, and security teams, visibility into common data sources, in order to better operationalize IT security.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right="20" w:firstLine="761"/>
        <w:spacing w:after="0" w:line="276" w:lineRule="auto"/>
        <w:rPr>
          <w:sz w:val="20"/>
          <w:szCs w:val="20"/>
          <w:color w:val="auto"/>
        </w:rPr>
      </w:pPr>
      <w:r>
        <w:rPr>
          <w:rFonts w:ascii="Arial" w:cs="Arial" w:eastAsia="Arial" w:hAnsi="Arial"/>
          <w:sz w:val="17"/>
          <w:szCs w:val="17"/>
          <w:color w:val="auto"/>
        </w:rPr>
        <w:t>Our sales team is segmented into four revenue-generating areas: an enterprise sales team that sells to large businesses; a high velocity inside-sales team that is focused on acquiring new customers; a customer success team that handles new customer on-boarding and expansions in existing customers; and a partner team that works with resellers, system integrators, referral partners and managed service providers. Each of these teams is further split regionally for geographic coverage across Americas, APAC and EMEA. The sales teams work with marketing to actively pursue leads generated from marketing programs and help take prospective customers through an evaluation and purchase process.</w:t>
      </w:r>
    </w:p>
    <w:p>
      <w:pPr>
        <w:spacing w:after="0" w:line="173" w:lineRule="exact"/>
        <w:rPr>
          <w:sz w:val="20"/>
          <w:szCs w:val="20"/>
          <w:color w:val="auto"/>
        </w:rPr>
      </w:pPr>
    </w:p>
    <w:p>
      <w:pPr>
        <w:ind w:firstLine="761"/>
        <w:spacing w:after="0" w:line="276" w:lineRule="auto"/>
        <w:rPr>
          <w:sz w:val="20"/>
          <w:szCs w:val="20"/>
          <w:color w:val="auto"/>
        </w:rPr>
      </w:pPr>
      <w:r>
        <w:rPr>
          <w:rFonts w:ascii="Arial" w:cs="Arial" w:eastAsia="Arial" w:hAnsi="Arial"/>
          <w:sz w:val="17"/>
          <w:szCs w:val="17"/>
          <w:color w:val="auto"/>
        </w:rPr>
        <w:t>We focus our multi-touch marketing efforts on the strength of our product innovation, the value we provide and our domain expertise. We target the development and IT operations community through our marketing activities, using diverse tactics to connect with prospective customers, such as content marketing, email marketing, events, digital advertising, social media, public relations, partner marketing and community initiatives. We offer prospective customers free trials to help them understand the power of our platform. We also host and present at regional, national and global events to engage both customers and prospects, deliver product training, share best practices and foster community.</w:t>
      </w:r>
    </w:p>
    <w:p>
      <w:pPr>
        <w:spacing w:after="0" w:line="173" w:lineRule="exact"/>
        <w:rPr>
          <w:sz w:val="20"/>
          <w:szCs w:val="20"/>
          <w:color w:val="auto"/>
        </w:rPr>
      </w:pPr>
    </w:p>
    <w:p>
      <w:pPr>
        <w:ind w:right="240" w:firstLine="761"/>
        <w:spacing w:after="0" w:line="264" w:lineRule="auto"/>
        <w:rPr>
          <w:sz w:val="20"/>
          <w:szCs w:val="20"/>
          <w:color w:val="auto"/>
        </w:rPr>
      </w:pPr>
      <w:r>
        <w:rPr>
          <w:rFonts w:ascii="Arial" w:cs="Arial" w:eastAsia="Arial" w:hAnsi="Arial"/>
          <w:sz w:val="18"/>
          <w:szCs w:val="18"/>
          <w:color w:val="auto"/>
        </w:rPr>
        <w:t>As of December 31, 2019, we had 581 employees in our sales and marketing organization, including sales development, field sales, sales engineering, business development, sales operations, sales strategy, customer success and marketing personnel. We intend to continue to invest in our sales and marketing capabilities to capitalize on our market opportunity.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80" w:firstLine="761"/>
        <w:spacing w:after="0" w:line="302" w:lineRule="auto"/>
        <w:rPr>
          <w:sz w:val="20"/>
          <w:szCs w:val="20"/>
          <w:color w:val="auto"/>
        </w:rPr>
      </w:pPr>
      <w:r>
        <w:rPr>
          <w:rFonts w:ascii="Arial" w:cs="Arial" w:eastAsia="Arial" w:hAnsi="Arial"/>
          <w:sz w:val="16"/>
          <w:szCs w:val="16"/>
          <w:color w:val="auto"/>
        </w:rPr>
        <w:t>Our research and development organization is responsible for the design, development, testing and delivery of new technologies, features and integrations of our platform, as well as the continued improvement and iteration of our existing products. It is also responsible for operating and scaling our platform including the underlying cloud infrastructure. Our research and development investments seek to drive core technology innovation and bring new products to market. Research and development employees are located primarily in our New York and Paris offices, as well as remotely distributed.</w:t>
      </w:r>
    </w:p>
    <w:p>
      <w:pPr>
        <w:spacing w:after="0" w:line="154" w:lineRule="exact"/>
        <w:rPr>
          <w:sz w:val="20"/>
          <w:szCs w:val="20"/>
          <w:color w:val="auto"/>
        </w:rPr>
      </w:pPr>
    </w:p>
    <w:p>
      <w:pPr>
        <w:ind w:firstLine="761"/>
        <w:spacing w:after="0" w:line="264" w:lineRule="auto"/>
        <w:rPr>
          <w:sz w:val="20"/>
          <w:szCs w:val="20"/>
          <w:color w:val="auto"/>
        </w:rPr>
      </w:pPr>
      <w:r>
        <w:rPr>
          <w:rFonts w:ascii="Arial" w:cs="Arial" w:eastAsia="Arial" w:hAnsi="Arial"/>
          <w:sz w:val="18"/>
          <w:szCs w:val="18"/>
          <w:color w:val="auto"/>
        </w:rPr>
        <w:t>Our research and development team consists of our software engineering, product management, development and site reliability engineering teams. As of December 31, 2019, we had 566 employees in our research and development organization. We intend to continue to invest in our research and development capabilities to extend our platform and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29" w:lineRule="exact"/>
        <w:rPr>
          <w:sz w:val="20"/>
          <w:szCs w:val="20"/>
          <w:color w:val="auto"/>
        </w:rPr>
      </w:pPr>
    </w:p>
    <w:p>
      <w:pPr>
        <w:ind w:right="180" w:firstLine="761"/>
        <w:spacing w:after="0" w:line="277" w:lineRule="auto"/>
        <w:rPr>
          <w:sz w:val="20"/>
          <w:szCs w:val="20"/>
          <w:color w:val="auto"/>
        </w:rPr>
      </w:pPr>
      <w:r>
        <w:rPr>
          <w:rFonts w:ascii="Arial" w:cs="Arial" w:eastAsia="Arial" w:hAnsi="Arial"/>
          <w:sz w:val="18"/>
          <w:szCs w:val="18"/>
          <w:color w:val="auto"/>
        </w:rPr>
        <w:t>The worldwide monitoring and analytics market is and has been highly competitive for decades and is rapidly evolving. We compete on the basis of a number of factors, including:</w:t>
      </w:r>
    </w:p>
    <w:p>
      <w:pPr>
        <w:spacing w:after="0" w:line="62" w:lineRule="exact"/>
        <w:rPr>
          <w:sz w:val="20"/>
          <w:szCs w:val="20"/>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ind w:right="80" w:firstLine="761"/>
        <w:spacing w:after="0" w:line="277" w:lineRule="auto"/>
        <w:rPr>
          <w:sz w:val="20"/>
          <w:szCs w:val="20"/>
          <w:color w:val="auto"/>
        </w:rPr>
      </w:pPr>
      <w:r>
        <w:rPr>
          <w:rFonts w:ascii="Arial" w:cs="Arial" w:eastAsia="Arial" w:hAnsi="Arial"/>
          <w:sz w:val="18"/>
          <w:szCs w:val="18"/>
          <w:color w:val="auto"/>
        </w:rPr>
        <w:t>Our unified platform combines functionality from numerous traditional product categories, and hence we compete in each of these categories with different vendors:</w:t>
      </w:r>
    </w:p>
    <w:p>
      <w:pPr>
        <w:spacing w:after="0" w:line="62" w:lineRule="exact"/>
        <w:rPr>
          <w:sz w:val="20"/>
          <w:szCs w:val="20"/>
          <w:color w:val="auto"/>
        </w:rPr>
      </w:pPr>
    </w:p>
    <w:p>
      <w:pPr>
        <w:ind w:left="1140" w:right="140" w:hanging="376"/>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on-premise infrastructure monitoring, we compete with diversified technology companies and systems management vendors including IBM, Microsoft Corporation, Micro Focus International plc, BMC Software, Inc. and Broadcom.</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APM, we compete with Cisco Systems, Inc., New Relic, Inc. and Dynatrace Software Inc.</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Log management, we compete with Splunk Inc. and Elastic N.V.</w:t>
      </w:r>
    </w:p>
    <w:p>
      <w:pPr>
        <w:spacing w:after="0" w:line="117" w:lineRule="exact"/>
        <w:rPr>
          <w:rFonts w:ascii="Arial" w:cs="Arial" w:eastAsia="Arial" w:hAnsi="Arial"/>
          <w:sz w:val="18"/>
          <w:szCs w:val="18"/>
          <w:color w:val="auto"/>
        </w:rPr>
      </w:pPr>
    </w:p>
    <w:p>
      <w:pPr>
        <w:ind w:left="1140" w:right="220" w:hanging="376"/>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Cloud monitoring, we compete with native solutions from cloud providers such as Amazon Web Services, or AWS, Google Cloud Platform, or GCP, and Microsoft Azure.</w:t>
      </w:r>
    </w:p>
    <w:p>
      <w:pPr>
        <w:spacing w:after="0" w:line="170" w:lineRule="exact"/>
        <w:rPr>
          <w:sz w:val="20"/>
          <w:szCs w:val="20"/>
          <w:color w:val="auto"/>
        </w:rPr>
      </w:pPr>
    </w:p>
    <w:p>
      <w:pPr>
        <w:ind w:firstLine="761"/>
        <w:spacing w:after="0" w:line="273" w:lineRule="auto"/>
        <w:rPr>
          <w:sz w:val="20"/>
          <w:szCs w:val="20"/>
          <w:color w:val="auto"/>
        </w:rPr>
      </w:pPr>
      <w:r>
        <w:rPr>
          <w:rFonts w:ascii="Arial" w:cs="Arial" w:eastAsia="Arial" w:hAnsi="Arial"/>
          <w:sz w:val="17"/>
          <w:szCs w:val="17"/>
          <w:color w:val="auto"/>
        </w:rPr>
        <w:t>Additionally, we compete with home-grown and open-source technologies across the categories described above. We believe that we compete favorably with respect to the factors listed above. However, many of our competitors have greater financial, technical and other resources, greater brand recognition, larger sales forces and marketing budgets, broader distribution networks, more diverse product and services offerings and larger and more mature intellectual property portfolios. They may be able to leverage these resources to gain business in a manner that discourages customers from purchasing our offerings. Furthermore, we expect that our industry will continue to attract new companies, including smaller emerging companies, which could introduce new offerings. We may also expand into new markets and encounter additional competitors in such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229" w:lineRule="exact"/>
        <w:rPr>
          <w:sz w:val="20"/>
          <w:szCs w:val="20"/>
          <w:color w:val="auto"/>
        </w:rPr>
      </w:pPr>
    </w:p>
    <w:p>
      <w:pPr>
        <w:ind w:right="80" w:firstLine="761"/>
        <w:spacing w:after="0" w:line="259" w:lineRule="auto"/>
        <w:rPr>
          <w:sz w:val="20"/>
          <w:szCs w:val="20"/>
          <w:color w:val="auto"/>
        </w:rPr>
      </w:pPr>
      <w:r>
        <w:rPr>
          <w:rFonts w:ascii="Arial" w:cs="Arial" w:eastAsia="Arial" w:hAnsi="Arial"/>
          <w:sz w:val="18"/>
          <w:szCs w:val="18"/>
          <w:color w:val="auto"/>
        </w:rPr>
        <w:t>As of December 31, 2019, we had 1,403 employees operating across 27 countries. None of our employees are represented by a labor union with respect to his or her employment. In certain countries in which we operate, such as France,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20" w:firstLine="761"/>
        <w:spacing w:after="0" w:line="257" w:lineRule="auto"/>
        <w:rPr>
          <w:sz w:val="20"/>
          <w:szCs w:val="20"/>
          <w:color w:val="auto"/>
        </w:rPr>
      </w:pPr>
      <w:r>
        <w:rPr>
          <w:rFonts w:ascii="Arial" w:cs="Arial" w:eastAsia="Arial" w:hAnsi="Arial"/>
          <w:sz w:val="18"/>
          <w:szCs w:val="18"/>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use open source software in our services. Our proprietary API and the agent used by customers to upload data to our platform are licensed by us on an open source basis.</w:t>
      </w:r>
    </w:p>
    <w:p>
      <w:pPr>
        <w:spacing w:after="0" w:line="188" w:lineRule="exact"/>
        <w:rPr>
          <w:sz w:val="20"/>
          <w:szCs w:val="20"/>
          <w:color w:val="auto"/>
        </w:rPr>
      </w:pPr>
    </w:p>
    <w:p>
      <w:pPr>
        <w:ind w:right="40" w:firstLine="761"/>
        <w:spacing w:after="0" w:line="297" w:lineRule="auto"/>
        <w:rPr>
          <w:sz w:val="20"/>
          <w:szCs w:val="20"/>
          <w:color w:val="auto"/>
        </w:rPr>
      </w:pPr>
      <w:r>
        <w:rPr>
          <w:rFonts w:ascii="Arial" w:cs="Arial" w:eastAsia="Arial" w:hAnsi="Arial"/>
          <w:sz w:val="16"/>
          <w:szCs w:val="16"/>
          <w:color w:val="auto"/>
        </w:rPr>
        <w:t>As of December 31, 2019, we own five patent applications pending for examination in the United States and no non-U.S. patents or patent applications. The pending U.S. patent applications, if issued, would be scheduled to expire in 2038 and 2039. Despite our pending U.S. patent applications, there can be no assurance that our patent applications will result in issued patents. As of December 31, 2019, we own two registered trademarks in the United States and six registered trademarks in various non-U.S. jurisdictions. However, as we have expanded internationally, we have been unable to register or obtain the right to use the Datadog trademark in certain jurisdictions, and as we continue to expand may face similar issues in other jurisdictions.</w:t>
      </w:r>
    </w:p>
    <w:p>
      <w:pPr>
        <w:spacing w:after="0" w:line="158" w:lineRule="exact"/>
        <w:rPr>
          <w:sz w:val="20"/>
          <w:szCs w:val="20"/>
          <w:color w:val="auto"/>
        </w:rPr>
      </w:pPr>
    </w:p>
    <w:p>
      <w:pPr>
        <w:ind w:right="120" w:firstLine="761"/>
        <w:spacing w:after="0" w:line="312" w:lineRule="auto"/>
        <w:rPr>
          <w:sz w:val="20"/>
          <w:szCs w:val="20"/>
          <w:color w:val="auto"/>
        </w:rPr>
      </w:pPr>
      <w:r>
        <w:rPr>
          <w:rFonts w:ascii="Arial" w:cs="Arial" w:eastAsia="Arial" w:hAnsi="Arial"/>
          <w:sz w:val="16"/>
          <w:szCs w:val="16"/>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platform are more essential to establishing and maintaining our technology leadership position.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ind w:firstLine="761"/>
        <w:spacing w:after="0" w:line="272" w:lineRule="auto"/>
        <w:rPr>
          <w:sz w:val="20"/>
          <w:szCs w:val="20"/>
          <w:color w:val="auto"/>
        </w:rPr>
      </w:pPr>
      <w:r>
        <w:rPr>
          <w:rFonts w:ascii="Arial" w:cs="Arial" w:eastAsia="Arial" w:hAnsi="Arial"/>
          <w:sz w:val="17"/>
          <w:szCs w:val="17"/>
          <w:color w:val="auto"/>
        </w:rPr>
        <w:t>We control access to and use of our proprietary technology and other confidential information through the use of internal and external controls, including contractual protections with employees, contractors, customers and partners. We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“Risk Factors” for a more comprehensive description of risks related to our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40" w:firstLine="761"/>
        <w:spacing w:after="0" w:line="259" w:lineRule="auto"/>
        <w:rPr>
          <w:sz w:val="20"/>
          <w:szCs w:val="20"/>
          <w:color w:val="auto"/>
        </w:rPr>
      </w:pPr>
      <w:r>
        <w:rPr>
          <w:rFonts w:ascii="Arial" w:cs="Arial" w:eastAsia="Arial" w:hAnsi="Arial"/>
          <w:sz w:val="18"/>
          <w:szCs w:val="18"/>
          <w:color w:val="auto"/>
        </w:rPr>
        <w:t>We were incorporated in Delaware in June 2010. Our principal executive offices are located at 620 8th Avenue, 45th Floor, New York, New York 10018, and our telephone number is (866) 329-4466. Our website address is www.datadog.com. Information contained on, or that can be accessed through, our website is not incorporated by reference into this Annual Report on Form 10-K, and you should not consider information on our website to be part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80" w:firstLine="761"/>
        <w:spacing w:after="0" w:line="293" w:lineRule="auto"/>
        <w:rPr>
          <w:sz w:val="20"/>
          <w:szCs w:val="20"/>
          <w:color w:val="auto"/>
        </w:rPr>
      </w:pPr>
      <w:r>
        <w:rPr>
          <w:rFonts w:ascii="Arial" w:cs="Arial" w:eastAsia="Arial" w:hAnsi="Arial"/>
          <w:sz w:val="16"/>
          <w:szCs w:val="16"/>
          <w:color w:val="auto"/>
        </w:rPr>
        <w:t>Our Annual Report on Form 10-K, Quarterly Reports on Form 10-Q, Current Reports on Form 8-K, and amendments to reports filed pursuant to Sections 13(a) and 15(d) of the Securities Exchange Act of 1934, as amended, or the Exchange Act, are filed with the SEC. Such reports and other information filed by us with the SEC are available free of charge on our website at www.investors.datadoghq.com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Annual Report on Form 10-K is not incorporated by reference into this filing. Further, our references to website URLs are intended to be inactive textual references only.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761"/>
        <w:spacing w:after="0" w:line="255" w:lineRule="auto"/>
        <w:rPr>
          <w:sz w:val="20"/>
          <w:szCs w:val="20"/>
          <w:color w:val="auto"/>
        </w:rPr>
      </w:pPr>
      <w:r>
        <w:rPr>
          <w:rFonts w:ascii="Arial" w:cs="Arial" w:eastAsia="Arial" w:hAnsi="Arial"/>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70" w:lineRule="exact"/>
        <w:rPr>
          <w:sz w:val="20"/>
          <w:szCs w:val="20"/>
          <w:color w:val="auto"/>
        </w:rPr>
      </w:pPr>
    </w:p>
    <w:p>
      <w:pPr>
        <w:ind w:right="100" w:firstLine="761"/>
        <w:spacing w:after="0" w:line="259" w:lineRule="auto"/>
        <w:rPr>
          <w:sz w:val="20"/>
          <w:szCs w:val="20"/>
          <w:color w:val="auto"/>
        </w:rPr>
      </w:pPr>
      <w:r>
        <w:rPr>
          <w:rFonts w:ascii="Arial" w:cs="Arial" w:eastAsia="Arial" w:hAnsi="Arial"/>
          <w:sz w:val="18"/>
          <w:szCs w:val="18"/>
          <w:color w:val="auto"/>
        </w:rPr>
        <w:t>Our revenue was $362.8 million, $198.1 million and $100.8 million for the years ended December 31, 2019, 2018 and 2017,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9" w:lineRule="exact"/>
        <w:rPr>
          <w:sz w:val="20"/>
          <w:szCs w:val="20"/>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our products effectively so that we are able to attract new customers and expand sales to our existing customers;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the functionality and use cases for the products we offer on our platform;</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and expand the rates at which customers purchase and renew subscriptions to our platform;</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our customers with support that meets their needs;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introduce our products to new markets outside of the United States;</w:t>
      </w:r>
    </w:p>
    <w:p>
      <w:pPr>
        <w:spacing w:after="0" w:line="117" w:lineRule="exact"/>
        <w:rPr>
          <w:rFonts w:ascii="Arial" w:cs="Arial" w:eastAsia="Arial" w:hAnsi="Arial"/>
          <w:sz w:val="18"/>
          <w:szCs w:val="18"/>
          <w:color w:val="auto"/>
        </w:rPr>
      </w:pPr>
    </w:p>
    <w:p>
      <w:pPr>
        <w:ind w:left="1140" w:right="100" w:hanging="376"/>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identify and acquire or invest in businesses, products or technologies that we believe could complement or expand our platform; and</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right="140" w:firstLine="761"/>
        <w:spacing w:after="0" w:line="279" w:lineRule="auto"/>
        <w:rPr>
          <w:sz w:val="20"/>
          <w:szCs w:val="20"/>
          <w:color w:val="auto"/>
        </w:rPr>
      </w:pPr>
      <w:r>
        <w:rPr>
          <w:rFonts w:ascii="Arial" w:cs="Arial" w:eastAsia="Arial" w:hAnsi="Arial"/>
          <w:sz w:val="17"/>
          <w:szCs w:val="17"/>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117" w:lineRule="exact"/>
        <w:rPr>
          <w:sz w:val="20"/>
          <w:szCs w:val="20"/>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7" w:lineRule="exact"/>
        <w:rPr>
          <w:rFonts w:ascii="Arial" w:cs="Arial" w:eastAsia="Arial" w:hAnsi="Arial"/>
          <w:sz w:val="18"/>
          <w:szCs w:val="18"/>
          <w:color w:val="auto"/>
        </w:rPr>
      </w:pPr>
    </w:p>
    <w:p>
      <w:pPr>
        <w:ind w:left="1140" w:right="220" w:hanging="376"/>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sales and marketing organization to engage our existing and prospective customers, increase brand awareness and drive adoption of our products;</w:t>
      </w:r>
    </w:p>
    <w:p>
      <w:pPr>
        <w:spacing w:after="0" w:line="62"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expansion; and</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ind w:right="180" w:firstLine="761"/>
        <w:spacing w:after="0" w:line="297" w:lineRule="auto"/>
        <w:rPr>
          <w:sz w:val="20"/>
          <w:szCs w:val="20"/>
          <w:color w:val="auto"/>
        </w:rPr>
      </w:pPr>
      <w:r>
        <w:rPr>
          <w:rFonts w:ascii="Arial" w:cs="Arial" w:eastAsia="Arial" w:hAnsi="Arial"/>
          <w:sz w:val="16"/>
          <w:szCs w:val="16"/>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ind w:right="20" w:firstLine="761"/>
        <w:spacing w:after="0" w:line="269" w:lineRule="auto"/>
        <w:rPr>
          <w:sz w:val="20"/>
          <w:szCs w:val="20"/>
          <w:color w:val="auto"/>
        </w:rPr>
      </w:pPr>
      <w:r>
        <w:rPr>
          <w:rFonts w:ascii="Arial" w:cs="Arial" w:eastAsia="Arial" w:hAnsi="Arial"/>
          <w:sz w:val="17"/>
          <w:szCs w:val="17"/>
          <w:color w:val="auto"/>
        </w:rPr>
        <w:t>We have experienced net losses in each period since inception. We generated net losses of $(16.7) million, $(10.8) million and $(2.6) million for the years ended December 31, 2019, 2018 and 2017, respectively. As of December 31, 2019, we had an accumulated deficit of $123.6 million. While we have experienced significant revenue growth in recent periods, we are not certain whether or when we will obtain a high enough volume of sales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forecast our future results of operations.</w:t>
      </w:r>
    </w:p>
    <w:p>
      <w:pPr>
        <w:spacing w:after="0" w:line="225" w:lineRule="exact"/>
        <w:rPr>
          <w:sz w:val="20"/>
          <w:szCs w:val="20"/>
          <w:color w:val="auto"/>
        </w:rPr>
      </w:pPr>
    </w:p>
    <w:p>
      <w:pPr>
        <w:ind w:firstLine="761"/>
        <w:spacing w:after="0" w:line="271" w:lineRule="auto"/>
        <w:rPr>
          <w:sz w:val="20"/>
          <w:szCs w:val="20"/>
          <w:color w:val="auto"/>
        </w:rPr>
      </w:pPr>
      <w:r>
        <w:rPr>
          <w:rFonts w:ascii="Arial" w:cs="Arial" w:eastAsia="Arial" w:hAnsi="Arial"/>
          <w:sz w:val="17"/>
          <w:szCs w:val="17"/>
          <w:color w:val="auto"/>
        </w:rPr>
        <w:t>We were founded in June 2010. As a result of our limited operating history,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47" w:lineRule="exact"/>
        <w:rPr>
          <w:sz w:val="20"/>
          <w:szCs w:val="20"/>
          <w:color w:val="auto"/>
        </w:rPr>
      </w:pPr>
    </w:p>
    <w:p>
      <w:pPr>
        <w:ind w:firstLine="761"/>
        <w:spacing w:after="0" w:line="287" w:lineRule="auto"/>
        <w:rPr>
          <w:sz w:val="20"/>
          <w:szCs w:val="20"/>
          <w:color w:val="auto"/>
        </w:rPr>
      </w:pPr>
      <w:r>
        <w:rPr>
          <w:rFonts w:ascii="Arial" w:cs="Arial" w:eastAsia="Arial" w:hAnsi="Arial"/>
          <w:sz w:val="16"/>
          <w:szCs w:val="16"/>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the effects of global economic conditions, or reductions in our customers’ spending on IT solutions or their spending levels generally.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business, financial condition and results of operations will be adversely affected.</w:t>
      </w:r>
    </w:p>
    <w:p>
      <w:pPr>
        <w:spacing w:after="0" w:line="225" w:lineRule="exact"/>
        <w:rPr>
          <w:sz w:val="20"/>
          <w:szCs w:val="20"/>
          <w:color w:val="auto"/>
        </w:rPr>
      </w:pPr>
    </w:p>
    <w:p>
      <w:pPr>
        <w:ind w:right="60" w:firstLine="761"/>
        <w:spacing w:after="0" w:line="270" w:lineRule="auto"/>
        <w:rPr>
          <w:sz w:val="20"/>
          <w:szCs w:val="20"/>
          <w:color w:val="auto"/>
        </w:rPr>
      </w:pPr>
      <w:r>
        <w:rPr>
          <w:rFonts w:ascii="Arial" w:cs="Arial" w:eastAsia="Arial" w:hAnsi="Arial"/>
          <w:sz w:val="17"/>
          <w:szCs w:val="17"/>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right="12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0" w:lineRule="exact"/>
        <w:rPr>
          <w:sz w:val="20"/>
          <w:szCs w:val="20"/>
          <w:color w:val="auto"/>
        </w:rPr>
      </w:pPr>
    </w:p>
    <w:p>
      <w:pPr>
        <w:ind w:right="120" w:firstLine="761"/>
        <w:spacing w:after="0" w:line="271" w:lineRule="auto"/>
        <w:rPr>
          <w:sz w:val="20"/>
          <w:szCs w:val="20"/>
          <w:color w:val="auto"/>
        </w:rPr>
      </w:pPr>
      <w:r>
        <w:rPr>
          <w:rFonts w:ascii="Arial" w:cs="Arial" w:eastAsia="Arial" w:hAnsi="Arial"/>
          <w:sz w:val="17"/>
          <w:szCs w:val="17"/>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we or our third-party service providers experience a security breach or unauthorized parties otherwise obtain access to our customers’ data, our data or our platform, our solution may be perceived as not being secure, our reputation may be harmed, demand for our platform and products may be reduced, and we may incur significant liabilities.</w:t>
      </w:r>
    </w:p>
    <w:p>
      <w:pPr>
        <w:spacing w:after="0" w:line="181" w:lineRule="exact"/>
        <w:rPr>
          <w:sz w:val="20"/>
          <w:szCs w:val="20"/>
          <w:color w:val="auto"/>
        </w:rPr>
      </w:pPr>
    </w:p>
    <w:p>
      <w:pPr>
        <w:ind w:firstLine="761"/>
        <w:spacing w:after="0" w:line="286" w:lineRule="auto"/>
        <w:rPr>
          <w:sz w:val="20"/>
          <w:szCs w:val="20"/>
          <w:color w:val="auto"/>
        </w:rPr>
      </w:pPr>
      <w:r>
        <w:rPr>
          <w:rFonts w:ascii="Arial" w:cs="Arial" w:eastAsia="Arial" w:hAnsi="Arial"/>
          <w:sz w:val="16"/>
          <w:szCs w:val="16"/>
          <w:color w:val="auto"/>
        </w:rPr>
        <w:t>Our platform and products involve the storage and transmission of data, including personally identifiable information, and security breaches or unauthorized access to our platform and products could result in the loss of our or our customers’ data,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we reset customer passwords and instructed customers to revoke credentials that had been shared with us. 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social engineering (including spear phishing and ransomware attacks), and general hacking have become more prevalent in our industry, particularly against cloud services. In addition, we do not directly control content that our customers store in our products. If our customers use our products for the transmission or storage of personally identifiable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72" w:lineRule="exact"/>
        <w:rPr>
          <w:sz w:val="20"/>
          <w:szCs w:val="20"/>
          <w:color w:val="auto"/>
        </w:rPr>
      </w:pPr>
    </w:p>
    <w:p>
      <w:pPr>
        <w:ind w:right="80" w:firstLine="761"/>
        <w:spacing w:after="0" w:line="257" w:lineRule="auto"/>
        <w:rPr>
          <w:sz w:val="20"/>
          <w:szCs w:val="20"/>
          <w:color w:val="auto"/>
        </w:rPr>
      </w:pPr>
      <w:r>
        <w:rPr>
          <w:rFonts w:ascii="Arial" w:cs="Arial" w:eastAsia="Arial" w:hAnsi="Arial"/>
          <w:sz w:val="18"/>
          <w:szCs w:val="18"/>
          <w:color w:val="auto"/>
        </w:rPr>
        <w:t>We also process, store and transmit our own data as part of our business and operations. This data may include personally identifiable, confidential or proprietary information. There can be no assurance that any security measures that we or our third-party service providers have implemented will be effective against current or future security threats. While we have developed systems and processes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188" w:lineRule="exact"/>
        <w:rPr>
          <w:sz w:val="20"/>
          <w:szCs w:val="20"/>
          <w:color w:val="auto"/>
        </w:rPr>
      </w:pPr>
    </w:p>
    <w:p>
      <w:pPr>
        <w:ind w:firstLine="761"/>
        <w:spacing w:after="0" w:line="291" w:lineRule="auto"/>
        <w:rPr>
          <w:sz w:val="20"/>
          <w:szCs w:val="20"/>
          <w:color w:val="auto"/>
        </w:rPr>
      </w:pPr>
      <w:r>
        <w:rPr>
          <w:rFonts w:ascii="Arial" w:cs="Arial" w:eastAsia="Arial" w:hAnsi="Arial"/>
          <w:sz w:val="16"/>
          <w:szCs w:val="16"/>
          <w:color w:val="auto"/>
        </w:rPr>
        <w:t>Because there are many different security breach techniques and such techniques continue to evolve, we may be unable to anticipate attempted security breaches, react in a timely manner or implement adequate preventative measures. 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67" w:lineRule="exact"/>
        <w:rPr>
          <w:sz w:val="20"/>
          <w:szCs w:val="20"/>
          <w:color w:val="auto"/>
        </w:rPr>
      </w:pPr>
    </w:p>
    <w:p>
      <w:pPr>
        <w:ind w:right="20" w:firstLine="761"/>
        <w:spacing w:after="0" w:line="279" w:lineRule="auto"/>
        <w:rPr>
          <w:sz w:val="20"/>
          <w:szCs w:val="20"/>
          <w:color w:val="auto"/>
        </w:rPr>
      </w:pPr>
      <w:r>
        <w:rPr>
          <w:rFonts w:ascii="Arial" w:cs="Arial" w:eastAsia="Arial" w:hAnsi="Arial"/>
          <w:sz w:val="17"/>
          <w:szCs w:val="17"/>
          <w:color w:val="auto"/>
        </w:rPr>
        <w:t>We use third-party technology and systems in a variety of contexts, including, without limitation, encryption and authentication technology, employee email, content delivery to customers, back-office support, credit card processing and other functions. Although we have developed systems and processes that are designed to protect customer data and prevent data loss and other security breaches, including systems and processes designed to reduce the impact of a security breach at a third-party service provider, such measures cannot provide absolute security.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20" w:firstLine="761"/>
        <w:spacing w:after="0" w:line="257" w:lineRule="auto"/>
        <w:rPr>
          <w:sz w:val="20"/>
          <w:szCs w:val="20"/>
          <w:color w:val="auto"/>
        </w:rPr>
      </w:pPr>
      <w:r>
        <w:rPr>
          <w:rFonts w:ascii="Arial" w:cs="Arial" w:eastAsia="Arial" w:hAnsi="Arial"/>
          <w:sz w:val="18"/>
          <w:szCs w:val="18"/>
          <w:color w:val="auto"/>
        </w:rPr>
        <w:t>Additionally, we cannot be certain that our insurance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70" w:lineRule="exact"/>
        <w:rPr>
          <w:sz w:val="20"/>
          <w:szCs w:val="20"/>
          <w:color w:val="auto"/>
        </w:rPr>
      </w:pPr>
    </w:p>
    <w:p>
      <w:pPr>
        <w:ind w:right="60" w:firstLine="761"/>
        <w:spacing w:after="0" w:line="302" w:lineRule="auto"/>
        <w:rPr>
          <w:sz w:val="20"/>
          <w:szCs w:val="20"/>
          <w:color w:val="auto"/>
        </w:rPr>
      </w:pPr>
      <w:r>
        <w:rPr>
          <w:rFonts w:ascii="Arial" w:cs="Arial" w:eastAsia="Arial" w:hAnsi="Arial"/>
          <w:sz w:val="16"/>
          <w:szCs w:val="16"/>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154" w:lineRule="exact"/>
        <w:rPr>
          <w:sz w:val="20"/>
          <w:szCs w:val="20"/>
          <w:color w:val="auto"/>
        </w:rPr>
      </w:pPr>
    </w:p>
    <w:p>
      <w:pPr>
        <w:ind w:right="40" w:firstLine="761"/>
        <w:spacing w:after="0" w:line="272" w:lineRule="auto"/>
        <w:rPr>
          <w:sz w:val="20"/>
          <w:szCs w:val="20"/>
          <w:color w:val="auto"/>
        </w:rPr>
      </w:pPr>
      <w:r>
        <w:rPr>
          <w:rFonts w:ascii="Arial" w:cs="Arial" w:eastAsia="Arial" w:hAnsi="Arial"/>
          <w:sz w:val="17"/>
          <w:szCs w:val="17"/>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70" w:lineRule="exact"/>
        <w:rPr>
          <w:sz w:val="20"/>
          <w:szCs w:val="20"/>
          <w:color w:val="auto"/>
        </w:rPr>
      </w:pPr>
    </w:p>
    <w:p>
      <w:pPr>
        <w:ind w:firstLine="761"/>
        <w:spacing w:after="0" w:line="272" w:lineRule="auto"/>
        <w:rPr>
          <w:sz w:val="20"/>
          <w:szCs w:val="20"/>
          <w:color w:val="auto"/>
        </w:rPr>
      </w:pPr>
      <w:r>
        <w:rPr>
          <w:rFonts w:ascii="Arial" w:cs="Arial" w:eastAsia="Arial" w:hAnsi="Arial"/>
          <w:sz w:val="17"/>
          <w:szCs w:val="17"/>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78" w:lineRule="exact"/>
        <w:rPr>
          <w:sz w:val="20"/>
          <w:szCs w:val="20"/>
          <w:color w:val="auto"/>
        </w:rPr>
      </w:pPr>
    </w:p>
    <w:p>
      <w:pPr>
        <w:ind w:right="40" w:firstLine="761"/>
        <w:spacing w:after="0" w:line="271" w:lineRule="auto"/>
        <w:rPr>
          <w:sz w:val="20"/>
          <w:szCs w:val="20"/>
          <w:color w:val="auto"/>
        </w:rPr>
      </w:pPr>
      <w:r>
        <w:rPr>
          <w:rFonts w:ascii="Arial" w:cs="Arial" w:eastAsia="Arial" w:hAnsi="Arial"/>
          <w:sz w:val="17"/>
          <w:szCs w:val="17"/>
          <w:color w:val="auto"/>
        </w:rPr>
        <w:t>The success of our platform depends, in part, on its ability to be deployed in a self-service installation process. We currently offer more than 400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70" w:lineRule="exact"/>
        <w:rPr>
          <w:sz w:val="20"/>
          <w:szCs w:val="20"/>
          <w:color w:val="auto"/>
        </w:rPr>
      </w:pPr>
    </w:p>
    <w:p>
      <w:pPr>
        <w:jc w:val="both"/>
        <w:ind w:right="100" w:firstLine="761"/>
        <w:spacing w:after="0" w:line="286" w:lineRule="auto"/>
        <w:rPr>
          <w:sz w:val="20"/>
          <w:szCs w:val="20"/>
          <w:color w:val="auto"/>
        </w:rPr>
      </w:pPr>
      <w:r>
        <w:rPr>
          <w:rFonts w:ascii="Arial" w:cs="Arial" w:eastAsia="Arial" w:hAnsi="Arial"/>
          <w:sz w:val="16"/>
          <w:szCs w:val="16"/>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Micro Focus International plc, BMC Software, Inc. and Computer Associates International, Inc. With respect to APM, we compete with Cisco Systems, Inc., New Relic, Inc. and Dynatrace Software Inc.</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With respect to log management, we compete with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ind w:right="120" w:firstLine="761"/>
        <w:spacing w:after="0" w:line="293" w:lineRule="auto"/>
        <w:rPr>
          <w:sz w:val="20"/>
          <w:szCs w:val="20"/>
          <w:color w:val="auto"/>
        </w:rPr>
      </w:pPr>
      <w:r>
        <w:rPr>
          <w:rFonts w:ascii="Arial" w:cs="Arial" w:eastAsia="Arial" w:hAnsi="Arial"/>
          <w:sz w:val="16"/>
          <w:szCs w:val="16"/>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compete on the basis of a number of factors, including:</w:t>
      </w:r>
    </w:p>
    <w:p>
      <w:pPr>
        <w:spacing w:after="0" w:line="117" w:lineRule="exact"/>
        <w:rPr>
          <w:sz w:val="20"/>
          <w:szCs w:val="20"/>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ind w:right="80" w:firstLine="761"/>
        <w:spacing w:after="0" w:line="270" w:lineRule="auto"/>
        <w:rPr>
          <w:sz w:val="20"/>
          <w:szCs w:val="20"/>
          <w:color w:val="auto"/>
        </w:rPr>
      </w:pPr>
      <w:r>
        <w:rPr>
          <w:rFonts w:ascii="Arial" w:cs="Arial" w:eastAsia="Arial" w:hAnsi="Arial"/>
          <w:sz w:val="17"/>
          <w:szCs w:val="17"/>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2" w:lineRule="exact"/>
        <w:rPr>
          <w:sz w:val="20"/>
          <w:szCs w:val="20"/>
          <w:color w:val="auto"/>
        </w:rPr>
      </w:pPr>
    </w:p>
    <w:p>
      <w:pPr>
        <w:jc w:val="both"/>
        <w:ind w:right="100" w:firstLine="761"/>
        <w:spacing w:after="0" w:line="264" w:lineRule="auto"/>
        <w:rPr>
          <w:sz w:val="20"/>
          <w:szCs w:val="20"/>
          <w:color w:val="auto"/>
        </w:rPr>
      </w:pPr>
      <w:r>
        <w:rPr>
          <w:rFonts w:ascii="Arial" w:cs="Arial" w:eastAsia="Arial" w:hAnsi="Arial"/>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70" w:lineRule="exact"/>
        <w:rPr>
          <w:sz w:val="20"/>
          <w:szCs w:val="20"/>
          <w:color w:val="auto"/>
        </w:rPr>
      </w:pPr>
    </w:p>
    <w:p>
      <w:pPr>
        <w:ind w:firstLine="761"/>
        <w:spacing w:after="0" w:line="289" w:lineRule="auto"/>
        <w:rPr>
          <w:sz w:val="20"/>
          <w:szCs w:val="20"/>
          <w:color w:val="auto"/>
        </w:rPr>
      </w:pPr>
      <w:r>
        <w:rPr>
          <w:rFonts w:ascii="Arial" w:cs="Arial" w:eastAsia="Arial" w:hAnsi="Arial"/>
          <w:sz w:val="16"/>
          <w:szCs w:val="16"/>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5" w:name="page16"/>
    <w:bookmarkEnd w:id="15"/>
    <w:p>
      <w:pPr>
        <w:ind w:right="380"/>
        <w:spacing w:after="0" w:line="342" w:lineRule="auto"/>
        <w:rPr>
          <w:sz w:val="20"/>
          <w:szCs w:val="20"/>
          <w:color w:val="auto"/>
        </w:rPr>
      </w:pPr>
      <w:r>
        <w:rPr>
          <w:rFonts w:ascii="Arial" w:cs="Arial" w:eastAsia="Arial" w:hAnsi="Arial"/>
          <w:sz w:val="16"/>
          <w:szCs w:val="16"/>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24" w:lineRule="exact"/>
        <w:rPr>
          <w:sz w:val="20"/>
          <w:szCs w:val="20"/>
          <w:color w:val="auto"/>
        </w:rPr>
      </w:pPr>
    </w:p>
    <w:p>
      <w:pPr>
        <w:ind w:right="40" w:firstLine="761"/>
        <w:spacing w:after="0" w:line="269" w:lineRule="auto"/>
        <w:rPr>
          <w:sz w:val="20"/>
          <w:szCs w:val="20"/>
          <w:color w:val="auto"/>
        </w:rPr>
      </w:pPr>
      <w:r>
        <w:rPr>
          <w:rFonts w:ascii="Arial" w:cs="Arial" w:eastAsia="Arial" w:hAnsi="Arial"/>
          <w:sz w:val="17"/>
          <w:szCs w:val="17"/>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80" w:lineRule="exact"/>
        <w:rPr>
          <w:sz w:val="20"/>
          <w:szCs w:val="20"/>
          <w:color w:val="auto"/>
        </w:rPr>
      </w:pPr>
    </w:p>
    <w:p>
      <w:pPr>
        <w:ind w:right="20" w:firstLine="761"/>
        <w:spacing w:after="0" w:line="302" w:lineRule="auto"/>
        <w:rPr>
          <w:sz w:val="20"/>
          <w:szCs w:val="20"/>
          <w:color w:val="auto"/>
        </w:rPr>
      </w:pPr>
      <w:r>
        <w:rPr>
          <w:rFonts w:ascii="Arial" w:cs="Arial" w:eastAsia="Arial" w:hAnsi="Arial"/>
          <w:sz w:val="16"/>
          <w:szCs w:val="16"/>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54"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24" w:lineRule="exact"/>
        <w:rPr>
          <w:sz w:val="20"/>
          <w:szCs w:val="20"/>
          <w:color w:val="auto"/>
        </w:rPr>
      </w:pPr>
    </w:p>
    <w:p>
      <w:pPr>
        <w:jc w:val="both"/>
        <w:ind w:right="260" w:firstLine="761"/>
        <w:spacing w:after="0" w:line="302" w:lineRule="auto"/>
        <w:rPr>
          <w:sz w:val="20"/>
          <w:szCs w:val="20"/>
          <w:color w:val="auto"/>
        </w:rPr>
      </w:pPr>
      <w:r>
        <w:rPr>
          <w:rFonts w:ascii="Arial" w:cs="Arial" w:eastAsia="Arial" w:hAnsi="Arial"/>
          <w:sz w:val="16"/>
          <w:szCs w:val="16"/>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70" w:lineRule="exact"/>
        <w:rPr>
          <w:sz w:val="20"/>
          <w:szCs w:val="20"/>
          <w:color w:val="auto"/>
        </w:rPr>
      </w:pPr>
    </w:p>
    <w:p>
      <w:pPr>
        <w:ind w:firstLine="761"/>
        <w:spacing w:after="0" w:line="264"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73" w:lineRule="exact"/>
        <w:rPr>
          <w:sz w:val="20"/>
          <w:szCs w:val="20"/>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and products;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usage of our platform and products;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expansion rates and the pricing and quantity of subscriptions renewed;</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pricing of subscriptions from customers in our cloud-provider marketplaces;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and amount of our investments to expand the capacity of our third-party cloud infrastructure providers;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seasonality driven by industry conferences;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investment in new products and features relative to investments in our existing infrastructure and products;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our customer purchases;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enhancements by us or our competitors;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7"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128" w:lineRule="exact"/>
        <w:rPr>
          <w:rFonts w:ascii="Arial" w:cs="Arial" w:eastAsia="Arial" w:hAnsi="Arial"/>
          <w:sz w:val="17"/>
          <w:szCs w:val="17"/>
          <w:color w:val="auto"/>
        </w:rPr>
      </w:pPr>
    </w:p>
    <w:p>
      <w:pPr>
        <w:ind w:left="1140" w:right="440" w:hanging="376"/>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17" w:lineRule="exact"/>
        <w:rPr>
          <w:rFonts w:ascii="Arial" w:cs="Arial" w:eastAsia="Arial" w:hAnsi="Arial"/>
          <w:sz w:val="18"/>
          <w:szCs w:val="18"/>
          <w:color w:val="auto"/>
        </w:rPr>
      </w:pPr>
    </w:p>
    <w:p>
      <w:pPr>
        <w:ind w:left="1140" w:right="100" w:hanging="376"/>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regulatory or legal environments that may cause us to incur, among other elements, expenses associated with compliance;</w:t>
      </w:r>
    </w:p>
    <w:p>
      <w:pPr>
        <w:spacing w:after="0" w:line="128" w:lineRule="exact"/>
        <w:rPr>
          <w:rFonts w:ascii="Arial" w:cs="Arial" w:eastAsia="Arial" w:hAnsi="Arial"/>
          <w:sz w:val="17"/>
          <w:szCs w:val="17"/>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significant security breaches of, technical difficulties with, or interruptions to, the delivery and use of our products and platform capabilities.</w:t>
      </w:r>
    </w:p>
    <w:p>
      <w:pPr>
        <w:spacing w:after="0" w:line="248" w:lineRule="exact"/>
        <w:rPr>
          <w:sz w:val="20"/>
          <w:szCs w:val="20"/>
          <w:color w:val="auto"/>
        </w:rPr>
      </w:pPr>
    </w:p>
    <w:p>
      <w:pPr>
        <w:jc w:val="both"/>
        <w:ind w:right="220" w:firstLine="761"/>
        <w:spacing w:after="0" w:line="264"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ind w:right="60" w:firstLine="761"/>
        <w:spacing w:after="0" w:line="302" w:lineRule="auto"/>
        <w:rPr>
          <w:sz w:val="20"/>
          <w:szCs w:val="20"/>
          <w:color w:val="auto"/>
        </w:rPr>
      </w:pPr>
      <w:r>
        <w:rPr>
          <w:rFonts w:ascii="Arial" w:cs="Arial" w:eastAsia="Arial" w:hAnsi="Arial"/>
          <w:sz w:val="16"/>
          <w:szCs w:val="16"/>
          <w:color w:val="auto"/>
        </w:rPr>
        <w:t>Historically, we have experienced seasonality in new customer bookings, as we typically we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Downturns or upturns in our sales may not be immediately reflected in our financial position and results of operations.</w:t>
      </w:r>
    </w:p>
    <w:p>
      <w:pPr>
        <w:spacing w:after="0" w:line="225" w:lineRule="exact"/>
        <w:rPr>
          <w:sz w:val="20"/>
          <w:szCs w:val="20"/>
          <w:color w:val="auto"/>
        </w:rPr>
      </w:pPr>
    </w:p>
    <w:p>
      <w:pPr>
        <w:ind w:right="40" w:firstLine="761"/>
        <w:spacing w:after="0" w:line="273" w:lineRule="auto"/>
        <w:rPr>
          <w:sz w:val="20"/>
          <w:szCs w:val="20"/>
          <w:color w:val="auto"/>
        </w:rPr>
      </w:pPr>
      <w:r>
        <w:rPr>
          <w:rFonts w:ascii="Arial" w:cs="Arial" w:eastAsia="Arial" w:hAnsi="Arial"/>
          <w:sz w:val="17"/>
          <w:szCs w:val="17"/>
          <w:color w:val="auto"/>
        </w:rPr>
        <w:t>Because we recognize the majority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70" w:lineRule="exact"/>
        <w:rPr>
          <w:sz w:val="20"/>
          <w:szCs w:val="20"/>
          <w:color w:val="auto"/>
        </w:rPr>
      </w:pPr>
    </w:p>
    <w:p>
      <w:pPr>
        <w:ind w:right="40" w:firstLine="761"/>
        <w:spacing w:after="0" w:line="270" w:lineRule="auto"/>
        <w:rPr>
          <w:sz w:val="20"/>
          <w:szCs w:val="20"/>
          <w:color w:val="auto"/>
        </w:rPr>
      </w:pPr>
      <w:r>
        <w:rPr>
          <w:rFonts w:ascii="Arial" w:cs="Arial" w:eastAsia="Arial" w:hAnsi="Arial"/>
          <w:sz w:val="17"/>
          <w:szCs w:val="17"/>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7" w:name="page18"/>
    <w:bookmarkEnd w:id="17"/>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70" w:lineRule="exact"/>
        <w:rPr>
          <w:sz w:val="20"/>
          <w:szCs w:val="20"/>
          <w:color w:val="auto"/>
        </w:rPr>
      </w:pPr>
    </w:p>
    <w:p>
      <w:pPr>
        <w:ind w:right="20" w:firstLine="761"/>
        <w:spacing w:after="0" w:line="291" w:lineRule="auto"/>
        <w:rPr>
          <w:sz w:val="20"/>
          <w:szCs w:val="20"/>
          <w:color w:val="auto"/>
        </w:rPr>
      </w:pPr>
      <w:r>
        <w:rPr>
          <w:rFonts w:ascii="Arial" w:cs="Arial" w:eastAsia="Arial" w:hAnsi="Arial"/>
          <w:sz w:val="16"/>
          <w:szCs w:val="16"/>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67" w:lineRule="exact"/>
        <w:rPr>
          <w:sz w:val="20"/>
          <w:szCs w:val="20"/>
          <w:color w:val="auto"/>
        </w:rPr>
      </w:pPr>
    </w:p>
    <w:p>
      <w:pPr>
        <w:ind w:right="20" w:firstLine="761"/>
        <w:spacing w:after="0" w:line="288"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70" w:lineRule="exact"/>
        <w:rPr>
          <w:sz w:val="20"/>
          <w:szCs w:val="20"/>
          <w:color w:val="auto"/>
        </w:rPr>
      </w:pPr>
    </w:p>
    <w:p>
      <w:pPr>
        <w:ind w:right="60" w:firstLine="761"/>
        <w:spacing w:after="0" w:line="271" w:lineRule="auto"/>
        <w:rPr>
          <w:sz w:val="20"/>
          <w:szCs w:val="20"/>
          <w:color w:val="auto"/>
        </w:rPr>
      </w:pPr>
      <w:r>
        <w:rPr>
          <w:rFonts w:ascii="Arial" w:cs="Arial" w:eastAsia="Arial" w:hAnsi="Arial"/>
          <w:sz w:val="17"/>
          <w:szCs w:val="17"/>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225" w:lineRule="exact"/>
        <w:rPr>
          <w:sz w:val="20"/>
          <w:szCs w:val="20"/>
          <w:color w:val="auto"/>
        </w:rPr>
      </w:pPr>
    </w:p>
    <w:p>
      <w:pPr>
        <w:ind w:firstLine="761"/>
        <w:spacing w:after="0" w:line="257"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solutions may develop more slowly or differently than we expect.</w:t>
      </w:r>
    </w:p>
    <w:p>
      <w:pPr>
        <w:spacing w:after="0" w:line="225" w:lineRule="exact"/>
        <w:rPr>
          <w:sz w:val="20"/>
          <w:szCs w:val="20"/>
          <w:color w:val="auto"/>
        </w:rPr>
      </w:pPr>
    </w:p>
    <w:p>
      <w:pPr>
        <w:ind w:right="20" w:firstLine="761"/>
        <w:spacing w:after="0" w:line="288" w:lineRule="auto"/>
        <w:rPr>
          <w:sz w:val="20"/>
          <w:szCs w:val="20"/>
          <w:color w:val="auto"/>
        </w:rPr>
      </w:pPr>
      <w:r>
        <w:rPr>
          <w:rFonts w:ascii="Arial" w:cs="Arial" w:eastAsia="Arial" w:hAnsi="Arial"/>
          <w:sz w:val="16"/>
          <w:szCs w:val="16"/>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right="440"/>
        <w:spacing w:after="0" w:line="264" w:lineRule="auto"/>
        <w:rPr>
          <w:sz w:val="20"/>
          <w:szCs w:val="20"/>
          <w:color w:val="auto"/>
        </w:rPr>
      </w:pPr>
      <w:r>
        <w:rPr>
          <w:rFonts w:ascii="Arial" w:cs="Arial" w:eastAsia="Arial" w:hAnsi="Arial"/>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81" w:lineRule="exact"/>
        <w:rPr>
          <w:sz w:val="20"/>
          <w:szCs w:val="20"/>
          <w:color w:val="auto"/>
        </w:rPr>
      </w:pPr>
    </w:p>
    <w:p>
      <w:pPr>
        <w:ind w:right="20" w:firstLine="761"/>
        <w:spacing w:after="0" w:line="297" w:lineRule="auto"/>
        <w:rPr>
          <w:sz w:val="20"/>
          <w:szCs w:val="20"/>
          <w:color w:val="auto"/>
        </w:rPr>
      </w:pPr>
      <w:r>
        <w:rPr>
          <w:rFonts w:ascii="Arial" w:cs="Arial" w:eastAsia="Arial" w:hAnsi="Arial"/>
          <w:sz w:val="16"/>
          <w:szCs w:val="16"/>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70" w:lineRule="exact"/>
        <w:rPr>
          <w:sz w:val="20"/>
          <w:szCs w:val="20"/>
          <w:color w:val="auto"/>
        </w:rPr>
      </w:pPr>
    </w:p>
    <w:p>
      <w:pPr>
        <w:ind w:firstLine="761"/>
        <w:spacing w:after="0" w:line="269" w:lineRule="auto"/>
        <w:rPr>
          <w:sz w:val="20"/>
          <w:szCs w:val="20"/>
          <w:color w:val="auto"/>
        </w:rPr>
      </w:pPr>
      <w:r>
        <w:rPr>
          <w:rFonts w:ascii="Arial" w:cs="Arial" w:eastAsia="Arial" w:hAnsi="Arial"/>
          <w:sz w:val="17"/>
          <w:szCs w:val="17"/>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ind w:right="100" w:firstLine="761"/>
        <w:spacing w:after="0" w:line="302" w:lineRule="auto"/>
        <w:rPr>
          <w:sz w:val="20"/>
          <w:szCs w:val="20"/>
          <w:color w:val="auto"/>
        </w:rPr>
      </w:pPr>
      <w:r>
        <w:rPr>
          <w:rFonts w:ascii="Arial" w:cs="Arial" w:eastAsia="Arial" w:hAnsi="Arial"/>
          <w:sz w:val="16"/>
          <w:szCs w:val="16"/>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54" w:lineRule="exact"/>
        <w:rPr>
          <w:sz w:val="20"/>
          <w:szCs w:val="20"/>
          <w:color w:val="auto"/>
        </w:rPr>
      </w:pPr>
    </w:p>
    <w:p>
      <w:pPr>
        <w:jc w:val="both"/>
        <w:ind w:right="1000"/>
        <w:spacing w:after="0" w:line="381" w:lineRule="auto"/>
        <w:rPr>
          <w:sz w:val="20"/>
          <w:szCs w:val="20"/>
          <w:color w:val="auto"/>
        </w:rPr>
      </w:pPr>
      <w:r>
        <w:rPr>
          <w:rFonts w:ascii="Arial" w:cs="Arial" w:eastAsia="Arial" w:hAnsi="Arial"/>
          <w:sz w:val="15"/>
          <w:szCs w:val="15"/>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01" w:lineRule="exact"/>
        <w:rPr>
          <w:sz w:val="20"/>
          <w:szCs w:val="20"/>
          <w:color w:val="auto"/>
        </w:rPr>
      </w:pPr>
    </w:p>
    <w:p>
      <w:pPr>
        <w:ind w:right="40" w:firstLine="761"/>
        <w:spacing w:after="0" w:line="268" w:lineRule="auto"/>
        <w:rPr>
          <w:sz w:val="20"/>
          <w:szCs w:val="20"/>
          <w:color w:val="auto"/>
        </w:rPr>
      </w:pPr>
      <w:r>
        <w:rPr>
          <w:rFonts w:ascii="Arial" w:cs="Arial" w:eastAsia="Arial" w:hAnsi="Arial"/>
          <w:sz w:val="17"/>
          <w:szCs w:val="17"/>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340"/>
        <w:spacing w:after="0" w:line="342" w:lineRule="auto"/>
        <w:rPr>
          <w:sz w:val="20"/>
          <w:szCs w:val="20"/>
          <w:color w:val="auto"/>
        </w:rPr>
      </w:pPr>
      <w:r>
        <w:rPr>
          <w:rFonts w:ascii="Arial" w:cs="Arial" w:eastAsia="Arial" w:hAnsi="Arial"/>
          <w:sz w:val="16"/>
          <w:szCs w:val="16"/>
          <w:b w:val="1"/>
          <w:bCs w:val="1"/>
          <w:i w:val="1"/>
          <w:iCs w:val="1"/>
          <w:color w:val="auto"/>
        </w:rPr>
        <w:t>We are subject to stringent and changing privacy laws, regulations and standards, information security policies and contractual obligations related to data privacy and security. Our actual or perceived failure to comply with such obligations could harm our business.</w:t>
      </w:r>
    </w:p>
    <w:p>
      <w:pPr>
        <w:spacing w:after="0" w:line="124" w:lineRule="exact"/>
        <w:rPr>
          <w:sz w:val="20"/>
          <w:szCs w:val="20"/>
          <w:color w:val="auto"/>
        </w:rPr>
      </w:pPr>
    </w:p>
    <w:p>
      <w:pPr>
        <w:ind w:right="40" w:firstLine="761"/>
        <w:spacing w:after="0" w:line="286" w:lineRule="auto"/>
        <w:rPr>
          <w:sz w:val="20"/>
          <w:szCs w:val="20"/>
          <w:color w:val="auto"/>
        </w:rPr>
      </w:pPr>
      <w:r>
        <w:rPr>
          <w:rFonts w:ascii="Arial" w:cs="Arial" w:eastAsia="Arial" w:hAnsi="Arial"/>
          <w:sz w:val="16"/>
          <w:szCs w:val="16"/>
          <w:color w:val="auto"/>
        </w:rPr>
        <w:t>We have legal and contractual obligations regarding the protection of confidentiality and appropriate use of personally identifiable and other proprietary information. We are subject to a variety of federal, state, local and international laws, directives and regulations relating to the collection, use, retention, security, disclosure, transfer and other processing of personally identifiable information. The regulatory framework for privacy and security issues worldwide is rapidly evolving and as a result implementation standards and enforcement practices are likely to remain uncertain for the foreseeable future. We publicly post documentation regarding our practices concerning the collection, processing, use and disclosure of data. Although we endeavor to comply with our published policies and documentation, we may at times fail to do so or be alleged to have failed to do so. The publication of our privacy policy and other documentation that provide promises and assurances about privacy and security can subject us to potential state and federal action if they are found to be deceptive, unfair, or misrepresentative of our actual practices. Any failure by us, our suppliers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 In the United States, these include enforcement actions in response to rules and regulations promulgated under the authority of federal agencies and state attorneys general and legislatures and consumer protection agencies. In addition, privacy advocates and industry groups have regularly proposed, and may propose in the future, self-regulatory standards with which we must legally comply or that contractually apply to us. If we fail to follow these security standards even if no customer information is compromised, we may incur significant fines or experience a significant increase in costs.</w:t>
      </w:r>
    </w:p>
    <w:p>
      <w:pPr>
        <w:spacing w:after="0" w:line="172" w:lineRule="exact"/>
        <w:rPr>
          <w:sz w:val="20"/>
          <w:szCs w:val="20"/>
          <w:color w:val="auto"/>
        </w:rPr>
      </w:pPr>
    </w:p>
    <w:p>
      <w:pPr>
        <w:ind w:firstLine="761"/>
        <w:spacing w:after="0" w:line="268" w:lineRule="auto"/>
        <w:rPr>
          <w:sz w:val="20"/>
          <w:szCs w:val="20"/>
          <w:color w:val="auto"/>
        </w:rPr>
      </w:pPr>
      <w:r>
        <w:rPr>
          <w:rFonts w:ascii="Arial" w:cs="Arial" w:eastAsia="Arial" w:hAnsi="Arial"/>
          <w:sz w:val="17"/>
          <w:szCs w:val="17"/>
          <w:color w:val="auto"/>
        </w:rPr>
        <w:t>Internationally, virtually every jurisdiction in which we operate has established its own data security and privacy legal framework with which we or our customers must comply, including but not limited to the European Union, or EU. The EU’s data protection landscape is currently unstable, resulting in possible significant operational costs for internal compliance and risk to our business. The EU has adopted the General Data Protection Regulation, or GDPR, which went into effect in May 2018 and contains numerous requirements and changes from previously existing EU law, including more robust obligations on data processors and heavier documentation requirements for data protection compliance programs by companies. Among other requirements, the GDPR regulates transfers of personal data subject to the GDPR to third countries that have not been found to provide adequate protection to such personal data, including the United States. While we have taken steps to mitigate the impact on us with respect to transfers of data, such as implementing standard contractual clauses and self-certifying under the EU-US Privacy Shield, the efficacy and longevity of these transfer mechanisms remains uncertain. The GDPR also introduced numerous privacy-related changes for companies operating in the EU, including greater control for data subjects (including, for example, the “right to be forgotten”), increased data portability for EU consumers, data breach notification requirements and increased fines. In particular, under the GDPR, fines of up to 20 million euros or up to 4% of the annual global revenue of the noncompliant company, whichever is greater, could be imposed for violations of certain of the GDPR’s requirements. Such penalties are in addition to any civil litigation claims by customers and data subjects. The GDPR requirements apply not only to third-party transactions, but also to transfers of information between us and our subsidiaries, including employee information.</w:t>
      </w:r>
    </w:p>
    <w:p>
      <w:pPr>
        <w:spacing w:after="0" w:line="185" w:lineRule="exact"/>
        <w:rPr>
          <w:sz w:val="20"/>
          <w:szCs w:val="20"/>
          <w:color w:val="auto"/>
        </w:rPr>
      </w:pPr>
    </w:p>
    <w:p>
      <w:pPr>
        <w:ind w:right="40" w:firstLine="761"/>
        <w:spacing w:after="0" w:line="271" w:lineRule="auto"/>
        <w:rPr>
          <w:sz w:val="20"/>
          <w:szCs w:val="20"/>
          <w:color w:val="auto"/>
        </w:rPr>
      </w:pPr>
      <w:r>
        <w:rPr>
          <w:rFonts w:ascii="Arial" w:cs="Arial" w:eastAsia="Arial" w:hAnsi="Arial"/>
          <w:sz w:val="17"/>
          <w:szCs w:val="17"/>
          <w:color w:val="auto"/>
        </w:rPr>
        <w:t>In addition to the GDPR, the European Commission has another draft regulation in the approval process that focuses on a person’s right to conduct a private life (in contrast to the GDPR, which focuses on protection of personal data). The proposed legislation, known as the Regulation on Privacy and Electronic Communications, or ePrivacy Regulation, would replace the current ePrivacy Directive. Originally planned to be adopted and implemented at the same time as the GDPR, the ePrivacy Regulation continues to be delayed but could be enacted in 2020. While the new legislation contains protections for those using communications services (for example, protections against online tracking technologies), the timing of its proposed enactment following the GDPR means that additional time and effort may need to be spent addressing differences between the ePrivacy Regulation and the GDPR. New rules related to the ePrivacy Regulation are likely to include enhanced consent requirements in order to use communications content and communications metadata, which may negatively impact our platform and products and our relationships with our customers.</w:t>
      </w:r>
    </w:p>
    <w:p>
      <w:pPr>
        <w:spacing w:after="0" w:line="179" w:lineRule="exact"/>
        <w:rPr>
          <w:sz w:val="20"/>
          <w:szCs w:val="20"/>
          <w:color w:val="auto"/>
        </w:rPr>
      </w:pPr>
    </w:p>
    <w:p>
      <w:pPr>
        <w:ind w:right="60" w:firstLine="761"/>
        <w:spacing w:after="0" w:line="289" w:lineRule="auto"/>
        <w:rPr>
          <w:sz w:val="20"/>
          <w:szCs w:val="20"/>
          <w:color w:val="auto"/>
        </w:rPr>
      </w:pPr>
      <w:r>
        <w:rPr>
          <w:rFonts w:ascii="Arial" w:cs="Arial" w:eastAsia="Arial" w:hAnsi="Arial"/>
          <w:sz w:val="16"/>
          <w:szCs w:val="16"/>
          <w:color w:val="auto"/>
        </w:rPr>
        <w:t>Complying with the GDPR and the ePrivacy Regulation, when it becomes effective, may cause us to incur substantial operational costs or require us to change our business practices. Despite our efforts to bring practices into compliance before the effective date of the GDPR and ePrivacy Regulation,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European Economic Area to maintain certain customer data (which may include personal data) originating from the EU in the European Economic Area, we may find it necessary to establish additional systems and processes to maintain such data in the European Economic Area, which may involve substantial expense and distraction from other aspects of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ind w:right="60" w:firstLine="761"/>
        <w:spacing w:after="0" w:line="270" w:lineRule="auto"/>
        <w:rPr>
          <w:sz w:val="20"/>
          <w:szCs w:val="20"/>
          <w:color w:val="auto"/>
        </w:rPr>
      </w:pPr>
      <w:r>
        <w:rPr>
          <w:rFonts w:ascii="Arial" w:cs="Arial" w:eastAsia="Arial" w:hAnsi="Arial"/>
          <w:sz w:val="17"/>
          <w:szCs w:val="17"/>
          <w:color w:val="auto"/>
        </w:rPr>
        <w:t>Domestic laws in this area are also complex and developing rapidly. Many state legislatures have adopted legislation that regulates how businesses operate online, including measures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Further, California recently enacted the California Consumer Privacy Act, or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78" w:lineRule="exact"/>
        <w:rPr>
          <w:sz w:val="20"/>
          <w:szCs w:val="20"/>
          <w:color w:val="auto"/>
        </w:rPr>
      </w:pPr>
    </w:p>
    <w:p>
      <w:pPr>
        <w:ind w:right="20" w:firstLine="761"/>
        <w:spacing w:after="0" w:line="269" w:lineRule="auto"/>
        <w:rPr>
          <w:sz w:val="20"/>
          <w:szCs w:val="20"/>
          <w:color w:val="auto"/>
        </w:rPr>
      </w:pPr>
      <w:r>
        <w:rPr>
          <w:rFonts w:ascii="Arial" w:cs="Arial" w:eastAsia="Arial" w:hAnsi="Arial"/>
          <w:sz w:val="17"/>
          <w:szCs w:val="17"/>
          <w:color w:val="auto"/>
        </w:rPr>
        <w:t>Because the interpretation and application of many privacy and data protection laws along with contractually imposed industry standards are uncertain, it is possible that these laws may be interpreted and applied in a manner that is inconsistent with our existing data management practices or the features of our products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changing laws, regulations, and standards related to the internet, our business may be harmed.</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0" w:lineRule="exact"/>
        <w:rPr>
          <w:sz w:val="20"/>
          <w:szCs w:val="20"/>
          <w:color w:val="auto"/>
        </w:rPr>
      </w:pPr>
    </w:p>
    <w:p>
      <w:pPr>
        <w:ind w:firstLine="761"/>
        <w:spacing w:after="0" w:line="271" w:lineRule="auto"/>
        <w:rPr>
          <w:sz w:val="20"/>
          <w:szCs w:val="20"/>
          <w:color w:val="auto"/>
        </w:rPr>
      </w:pPr>
      <w:r>
        <w:rPr>
          <w:rFonts w:ascii="Arial" w:cs="Arial" w:eastAsia="Arial" w:hAnsi="Arial"/>
          <w:sz w:val="17"/>
          <w:szCs w:val="17"/>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79" w:lineRule="exact"/>
        <w:rPr>
          <w:sz w:val="20"/>
          <w:szCs w:val="20"/>
          <w:color w:val="auto"/>
        </w:rPr>
      </w:pPr>
    </w:p>
    <w:p>
      <w:pPr>
        <w:ind w:right="180" w:firstLine="761"/>
        <w:spacing w:after="0" w:line="264" w:lineRule="auto"/>
        <w:rPr>
          <w:sz w:val="20"/>
          <w:szCs w:val="20"/>
          <w:color w:val="auto"/>
        </w:rPr>
      </w:pPr>
      <w:r>
        <w:rPr>
          <w:rFonts w:ascii="Arial" w:cs="Arial" w:eastAsia="Arial" w:hAnsi="Arial"/>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81" w:lineRule="exact"/>
        <w:rPr>
          <w:sz w:val="20"/>
          <w:szCs w:val="20"/>
          <w:color w:val="auto"/>
        </w:rPr>
      </w:pPr>
    </w:p>
    <w:p>
      <w:pPr>
        <w:ind w:firstLine="761"/>
        <w:spacing w:after="0" w:line="272"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Sales to government entities and highly regulated organizations are subject to a number of challenges and risks.</w:t>
      </w:r>
    </w:p>
    <w:p>
      <w:pPr>
        <w:spacing w:after="0" w:line="225" w:lineRule="exact"/>
        <w:rPr>
          <w:sz w:val="20"/>
          <w:szCs w:val="20"/>
          <w:color w:val="auto"/>
        </w:rPr>
      </w:pPr>
    </w:p>
    <w:p>
      <w:pPr>
        <w:ind w:right="40" w:firstLine="761"/>
        <w:spacing w:after="0" w:line="273" w:lineRule="auto"/>
        <w:rPr>
          <w:sz w:val="20"/>
          <w:szCs w:val="20"/>
          <w:color w:val="auto"/>
        </w:rPr>
      </w:pPr>
      <w:r>
        <w:rPr>
          <w:rFonts w:ascii="Arial" w:cs="Arial" w:eastAsia="Arial" w:hAnsi="Arial"/>
          <w:sz w:val="17"/>
          <w:szCs w:val="17"/>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78" w:lineRule="exact"/>
        <w:rPr>
          <w:sz w:val="20"/>
          <w:szCs w:val="20"/>
          <w:color w:val="auto"/>
        </w:rPr>
      </w:pPr>
    </w:p>
    <w:p>
      <w:pPr>
        <w:ind w:right="180" w:firstLine="761"/>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70" w:lineRule="exact"/>
        <w:rPr>
          <w:sz w:val="20"/>
          <w:szCs w:val="20"/>
          <w:color w:val="auto"/>
        </w:rPr>
      </w:pPr>
    </w:p>
    <w:p>
      <w:pPr>
        <w:ind w:right="60" w:firstLine="761"/>
        <w:spacing w:after="0" w:line="259" w:lineRule="auto"/>
        <w:rPr>
          <w:sz w:val="20"/>
          <w:szCs w:val="20"/>
          <w:color w:val="auto"/>
        </w:rPr>
      </w:pPr>
      <w:r>
        <w:rPr>
          <w:rFonts w:ascii="Arial" w:cs="Arial" w:eastAsia="Arial" w:hAnsi="Arial"/>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7" w:lineRule="exact"/>
        <w:rPr>
          <w:sz w:val="20"/>
          <w:szCs w:val="20"/>
          <w:color w:val="auto"/>
        </w:rPr>
      </w:pPr>
    </w:p>
    <w:p>
      <w:pPr>
        <w:ind w:right="80" w:firstLine="761"/>
        <w:spacing w:after="0" w:line="297" w:lineRule="auto"/>
        <w:rPr>
          <w:sz w:val="20"/>
          <w:szCs w:val="20"/>
          <w:color w:val="auto"/>
        </w:rPr>
      </w:pPr>
      <w:r>
        <w:rPr>
          <w:rFonts w:ascii="Arial" w:cs="Arial" w:eastAsia="Arial" w:hAnsi="Arial"/>
          <w:sz w:val="16"/>
          <w:szCs w:val="16"/>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Additionally, the Trump administration has been critical of existing trade agreements and may impose more stringent export controls.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58" w:lineRule="exact"/>
        <w:rPr>
          <w:sz w:val="20"/>
          <w:szCs w:val="20"/>
          <w:color w:val="auto"/>
        </w:rPr>
      </w:pPr>
    </w:p>
    <w:p>
      <w:pPr>
        <w:ind w:right="600" w:firstLine="761"/>
        <w:spacing w:after="0" w:line="277" w:lineRule="auto"/>
        <w:rPr>
          <w:sz w:val="20"/>
          <w:szCs w:val="20"/>
          <w:color w:val="auto"/>
        </w:rPr>
      </w:pPr>
      <w:r>
        <w:rPr>
          <w:rFonts w:ascii="Arial" w:cs="Arial" w:eastAsia="Arial" w:hAnsi="Arial"/>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70" w:lineRule="exact"/>
        <w:rPr>
          <w:sz w:val="20"/>
          <w:szCs w:val="20"/>
          <w:color w:val="auto"/>
        </w:rPr>
      </w:pPr>
    </w:p>
    <w:p>
      <w:pPr>
        <w:ind w:firstLine="761"/>
        <w:spacing w:after="0" w:line="289" w:lineRule="auto"/>
        <w:rPr>
          <w:sz w:val="20"/>
          <w:szCs w:val="20"/>
          <w:color w:val="auto"/>
        </w:rPr>
      </w:pPr>
      <w:r>
        <w:rPr>
          <w:rFonts w:ascii="Arial" w:cs="Arial" w:eastAsia="Arial" w:hAnsi="Arial"/>
          <w:sz w:val="16"/>
          <w:szCs w:val="16"/>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6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70" w:lineRule="exact"/>
        <w:rPr>
          <w:sz w:val="20"/>
          <w:szCs w:val="20"/>
          <w:color w:val="auto"/>
        </w:rPr>
      </w:pPr>
    </w:p>
    <w:p>
      <w:pPr>
        <w:ind w:firstLine="761"/>
        <w:spacing w:after="0" w:line="271" w:lineRule="auto"/>
        <w:rPr>
          <w:sz w:val="20"/>
          <w:szCs w:val="20"/>
          <w:color w:val="auto"/>
        </w:rPr>
      </w:pPr>
      <w:r>
        <w:rPr>
          <w:rFonts w:ascii="Arial" w:cs="Arial" w:eastAsia="Arial" w:hAnsi="Arial"/>
          <w:sz w:val="17"/>
          <w:szCs w:val="17"/>
          <w:color w:val="auto"/>
        </w:rPr>
        <w:t>Our success depends to a significant degree on our ability to obtain, maintain, protect and enforce our intellectual property rights, including our proprietary technology, know-how and our brand. We rely on a combination of trademarks, trade secret laws, patents, copyrights, service marks,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spacing w:after="0" w:line="284" w:lineRule="auto"/>
        <w:rPr>
          <w:sz w:val="20"/>
          <w:szCs w:val="20"/>
          <w:color w:val="auto"/>
        </w:rPr>
      </w:pPr>
      <w:r>
        <w:rPr>
          <w:rFonts w:ascii="Arial" w:cs="Arial" w:eastAsia="Arial" w:hAnsi="Arial"/>
          <w:sz w:val="16"/>
          <w:szCs w:val="16"/>
          <w:color w:val="auto"/>
        </w:rPr>
        <w:t xml:space="preserve">rights that we have or may obtain may be challenged or circumvented by others or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Despite our pending U.S.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 may not be available to us in every country in which our products are available. For example, as we have expanded internationally, we have been unable to register and obtain the right to use the Datadog trademark in certain jurisdictions, including in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oppose or challenge our trademarks or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393" w:lineRule="exact"/>
        <w:rPr>
          <w:sz w:val="20"/>
          <w:szCs w:val="20"/>
          <w:color w:val="auto"/>
        </w:rPr>
      </w:pPr>
    </w:p>
    <w:p>
      <w:pPr>
        <w:ind w:right="40" w:firstLine="761"/>
        <w:spacing w:after="0" w:line="293"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65" w:lineRule="exact"/>
        <w:rPr>
          <w:sz w:val="20"/>
          <w:szCs w:val="20"/>
          <w:color w:val="auto"/>
        </w:rPr>
      </w:pPr>
    </w:p>
    <w:p>
      <w:pPr>
        <w:ind w:firstLine="761"/>
        <w:spacing w:after="0" w:line="270"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subject to intellectual property disputes, which are costly and may subject us to significant liability and increased costs of doing business.</w:t>
      </w:r>
    </w:p>
    <w:p>
      <w:pPr>
        <w:spacing w:after="0" w:line="260" w:lineRule="exact"/>
        <w:rPr>
          <w:sz w:val="20"/>
          <w:szCs w:val="20"/>
          <w:color w:val="auto"/>
        </w:rPr>
      </w:pPr>
    </w:p>
    <w:p>
      <w:pPr>
        <w:ind w:right="20" w:firstLine="761"/>
        <w:spacing w:after="0" w:line="297" w:lineRule="auto"/>
        <w:rPr>
          <w:sz w:val="20"/>
          <w:szCs w:val="20"/>
          <w:color w:val="auto"/>
        </w:rPr>
      </w:pPr>
      <w:r>
        <w:rPr>
          <w:rFonts w:ascii="Arial" w:cs="Arial" w:eastAsia="Arial" w:hAnsi="Arial"/>
          <w:sz w:val="16"/>
          <w:szCs w:val="16"/>
          <w:color w:val="auto"/>
        </w:rPr>
        <w:t>We may become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spacing w:after="0" w:line="286" w:lineRule="auto"/>
        <w:rPr>
          <w:sz w:val="20"/>
          <w:szCs w:val="20"/>
          <w:color w:val="auto"/>
        </w:rPr>
      </w:pPr>
      <w:r>
        <w:rPr>
          <w:rFonts w:ascii="Arial" w:cs="Arial" w:eastAsia="Arial" w:hAnsi="Arial"/>
          <w:sz w:val="16"/>
          <w:szCs w:val="16"/>
          <w:color w:val="auto"/>
        </w:rPr>
        <w:t>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67" w:lineRule="exact"/>
        <w:rPr>
          <w:sz w:val="20"/>
          <w:szCs w:val="20"/>
          <w:color w:val="auto"/>
        </w:rPr>
      </w:pPr>
    </w:p>
    <w:p>
      <w:pPr>
        <w:ind w:left="1140" w:hanging="376"/>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cease selling or using products or services that incorporate the intellectual property rights that we allegedly infringe, misappropriate or violate;</w:t>
      </w:r>
    </w:p>
    <w:p>
      <w:pPr>
        <w:spacing w:after="0" w:line="140" w:lineRule="exact"/>
        <w:rPr>
          <w:rFonts w:ascii="Arial" w:cs="Arial" w:eastAsia="Arial" w:hAnsi="Arial"/>
          <w:sz w:val="16"/>
          <w:szCs w:val="16"/>
          <w:color w:val="auto"/>
        </w:rPr>
      </w:pPr>
    </w:p>
    <w:p>
      <w:pPr>
        <w:ind w:left="1140" w:hanging="37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17" w:lineRule="exact"/>
        <w:rPr>
          <w:rFonts w:ascii="Arial" w:cs="Arial" w:eastAsia="Arial" w:hAnsi="Arial"/>
          <w:sz w:val="18"/>
          <w:szCs w:val="18"/>
          <w:color w:val="auto"/>
        </w:rPr>
      </w:pPr>
    </w:p>
    <w:p>
      <w:pPr>
        <w:ind w:left="1140" w:right="360" w:hanging="376"/>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70" w:lineRule="exact"/>
        <w:rPr>
          <w:sz w:val="20"/>
          <w:szCs w:val="20"/>
          <w:color w:val="auto"/>
        </w:rPr>
      </w:pPr>
    </w:p>
    <w:p>
      <w:pPr>
        <w:ind w:right="140" w:firstLine="761"/>
        <w:spacing w:after="0" w:line="255" w:lineRule="auto"/>
        <w:rPr>
          <w:sz w:val="20"/>
          <w:szCs w:val="20"/>
          <w:color w:val="auto"/>
        </w:rPr>
      </w:pPr>
      <w:r>
        <w:rPr>
          <w:rFonts w:ascii="Arial" w:cs="Arial" w:eastAsia="Arial" w:hAnsi="Arial"/>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right="140" w:firstLine="761"/>
        <w:spacing w:after="0" w:line="255" w:lineRule="auto"/>
        <w:rPr>
          <w:sz w:val="20"/>
          <w:szCs w:val="20"/>
          <w:color w:val="auto"/>
        </w:rPr>
      </w:pPr>
      <w:r>
        <w:rPr>
          <w:rFonts w:ascii="Arial" w:cs="Arial" w:eastAsia="Arial" w:hAnsi="Arial"/>
          <w:sz w:val="18"/>
          <w:szCs w:val="18"/>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use open source software in our products, which could negatively affect our ability to sell our services or subject us to litigation or other actions.</w:t>
      </w:r>
    </w:p>
    <w:p>
      <w:pPr>
        <w:spacing w:after="0" w:line="248" w:lineRule="exact"/>
        <w:rPr>
          <w:sz w:val="20"/>
          <w:szCs w:val="20"/>
          <w:color w:val="auto"/>
        </w:rPr>
      </w:pPr>
    </w:p>
    <w:p>
      <w:pPr>
        <w:ind w:right="20" w:firstLine="761"/>
        <w:spacing w:after="0" w:line="287" w:lineRule="auto"/>
        <w:rPr>
          <w:sz w:val="20"/>
          <w:szCs w:val="20"/>
          <w:color w:val="auto"/>
        </w:rPr>
      </w:pPr>
      <w:r>
        <w:rPr>
          <w:rFonts w:ascii="Arial" w:cs="Arial" w:eastAsia="Arial" w:hAnsi="Arial"/>
          <w:sz w:val="16"/>
          <w:szCs w:val="16"/>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right="100"/>
        <w:spacing w:after="0" w:line="290" w:lineRule="auto"/>
        <w:rPr>
          <w:sz w:val="20"/>
          <w:szCs w:val="20"/>
          <w:color w:val="auto"/>
        </w:rPr>
      </w:pPr>
      <w:r>
        <w:rPr>
          <w:rFonts w:ascii="Arial" w:cs="Arial" w:eastAsia="Arial" w:hAnsi="Arial"/>
          <w:sz w:val="16"/>
          <w:szCs w:val="16"/>
          <w:color w:val="auto"/>
        </w:rPr>
        <w:t>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70" w:lineRule="exact"/>
        <w:rPr>
          <w:sz w:val="20"/>
          <w:szCs w:val="20"/>
          <w:color w:val="auto"/>
        </w:rPr>
      </w:pPr>
    </w:p>
    <w:p>
      <w:pPr>
        <w:ind w:firstLine="761"/>
        <w:spacing w:after="0" w:line="287" w:lineRule="auto"/>
        <w:rPr>
          <w:sz w:val="20"/>
          <w:szCs w:val="20"/>
          <w:color w:val="auto"/>
        </w:rPr>
      </w:pPr>
      <w:r>
        <w:rPr>
          <w:rFonts w:ascii="Arial" w:cs="Arial" w:eastAsia="Arial" w:hAnsi="Arial"/>
          <w:sz w:val="16"/>
          <w:szCs w:val="16"/>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international trade relations, political turmoil, natural catastrophes, outbreaks of contagious diseases, warfare and terrorist attacks on the United States, Europe, the Asia Pacific region, Japan or elsewhere, could cause a decrease in business investments, including spending on information technology, disrupt the timing and cadence of key industry events, and negatively affect the growth of our business and our results of operations. For example,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In addition, our competitors, many of whom are larger and have greater financial resources than we do, may respond to challenging market conditions by lowering prices in an attempt to attract our customers and may be less dependent on key industry events to generate sales for their products. In addition,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operations are international in scope, and we plan further geographic expansion, creating a variety of operational challenges.</w:t>
      </w:r>
    </w:p>
    <w:p>
      <w:pPr>
        <w:spacing w:after="0" w:line="237" w:lineRule="exact"/>
        <w:rPr>
          <w:sz w:val="20"/>
          <w:szCs w:val="20"/>
          <w:color w:val="auto"/>
        </w:rPr>
      </w:pPr>
    </w:p>
    <w:p>
      <w:pPr>
        <w:ind w:right="40" w:firstLine="761"/>
        <w:spacing w:after="0" w:line="253"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Revenue, as determined based on the billing address of our customers, from regions outside of North America was 25% for the year ended December 31, 2019. Beyond North America, we now have sales presence internationally, including in Dublin, Paris, London, Singapore, Tokyo, Seoul and Sydney.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December 31, 2019, approximately 34% of our full-time employees were located outside of the United States, 48%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17" w:lineRule="exact"/>
        <w:rPr>
          <w:sz w:val="20"/>
          <w:szCs w:val="20"/>
          <w:color w:val="auto"/>
        </w:rPr>
      </w:pP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and hybrid IT infrastructures by international businesses;</w:t>
      </w:r>
    </w:p>
    <w:p>
      <w:pPr>
        <w:spacing w:after="0" w:line="117" w:lineRule="exact"/>
        <w:rPr>
          <w:rFonts w:ascii="Arial" w:cs="Arial" w:eastAsia="Arial" w:hAnsi="Arial"/>
          <w:sz w:val="18"/>
          <w:szCs w:val="18"/>
          <w:color w:val="auto"/>
        </w:rPr>
      </w:pPr>
    </w:p>
    <w:p>
      <w:pPr>
        <w:ind w:left="1140" w:right="640" w:hanging="376"/>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including in the United Kingdom as a result of the United Kingdom exiting the EU, or Brexit;</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changes in trade relations, regulations, or laws;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or tax laws;</w:t>
      </w:r>
    </w:p>
    <w:p>
      <w:pPr>
        <w:spacing w:after="0" w:line="117" w:lineRule="exact"/>
        <w:rPr>
          <w:rFonts w:ascii="Arial" w:cs="Arial" w:eastAsia="Arial" w:hAnsi="Arial"/>
          <w:sz w:val="18"/>
          <w:szCs w:val="18"/>
          <w:color w:val="auto"/>
        </w:rPr>
      </w:pPr>
    </w:p>
    <w:p>
      <w:pPr>
        <w:ind w:left="1140" w:right="900" w:hanging="376"/>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Europe;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left="1140" w:right="700" w:hanging="376"/>
        <w:spacing w:after="0" w:line="342"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15" w:lineRule="exact"/>
        <w:rPr>
          <w:rFonts w:ascii="Arial" w:cs="Arial" w:eastAsia="Arial" w:hAnsi="Arial"/>
          <w:sz w:val="16"/>
          <w:szCs w:val="16"/>
          <w:color w:val="auto"/>
        </w:rPr>
      </w:pPr>
    </w:p>
    <w:p>
      <w:pPr>
        <w:ind w:left="1140" w:hanging="376"/>
        <w:spacing w:after="0" w:line="264"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3" w:lineRule="exact"/>
        <w:rPr>
          <w:rFonts w:ascii="Arial" w:cs="Arial" w:eastAsia="Arial" w:hAnsi="Arial"/>
          <w:sz w:val="18"/>
          <w:szCs w:val="18"/>
          <w:color w:val="auto"/>
        </w:rPr>
      </w:pPr>
    </w:p>
    <w:p>
      <w:pPr>
        <w:ind w:left="1140" w:hanging="376"/>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local employees due to Brexit;</w:t>
      </w:r>
    </w:p>
    <w:p>
      <w:pPr>
        <w:spacing w:after="0" w:line="117" w:lineRule="exact"/>
        <w:rPr>
          <w:rFonts w:ascii="Arial" w:cs="Arial" w:eastAsia="Arial" w:hAnsi="Arial"/>
          <w:sz w:val="18"/>
          <w:szCs w:val="18"/>
          <w:color w:val="auto"/>
        </w:rPr>
      </w:pPr>
    </w:p>
    <w:p>
      <w:pPr>
        <w:ind w:left="1140" w:right="100" w:hanging="376"/>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17" w:lineRule="exact"/>
        <w:rPr>
          <w:rFonts w:ascii="Arial" w:cs="Arial" w:eastAsia="Arial" w:hAnsi="Arial"/>
          <w:sz w:val="18"/>
          <w:szCs w:val="18"/>
          <w:color w:val="auto"/>
        </w:rPr>
      </w:pPr>
    </w:p>
    <w:p>
      <w:pPr>
        <w:ind w:left="1140" w:right="480" w:hanging="376"/>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40" w:lineRule="exact"/>
        <w:rPr>
          <w:rFonts w:ascii="Arial" w:cs="Arial" w:eastAsia="Arial" w:hAnsi="Arial"/>
          <w:sz w:val="16"/>
          <w:szCs w:val="16"/>
          <w:color w:val="auto"/>
        </w:rPr>
      </w:pPr>
    </w:p>
    <w:p>
      <w:pPr>
        <w:ind w:left="1140" w:hanging="376"/>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17" w:lineRule="exact"/>
        <w:rPr>
          <w:rFonts w:ascii="Arial" w:cs="Arial" w:eastAsia="Arial" w:hAnsi="Arial"/>
          <w:sz w:val="18"/>
          <w:szCs w:val="18"/>
          <w:color w:val="auto"/>
        </w:rPr>
      </w:pPr>
    </w:p>
    <w:p>
      <w:pPr>
        <w:ind w:left="1140" w:right="160" w:hanging="376"/>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7" w:lineRule="exact"/>
        <w:rPr>
          <w:rFonts w:ascii="Arial" w:cs="Arial" w:eastAsia="Arial" w:hAnsi="Arial"/>
          <w:sz w:val="18"/>
          <w:szCs w:val="18"/>
          <w:color w:val="auto"/>
        </w:rPr>
      </w:pPr>
    </w:p>
    <w:p>
      <w:pPr>
        <w:ind w:left="1140" w:right="280" w:hanging="376"/>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outbreak of a contagious disease, which may cause us or our third-party providers and/or customers to temporarily suspend our or their respective operations in the affected city or country;</w:t>
      </w:r>
    </w:p>
    <w:p>
      <w:pPr>
        <w:spacing w:after="0" w:line="62"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FCPA, U.S. bribery laws, the UK Bribery Act, and similar laws and regulations in other jurisdictions; and</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ind w:right="460" w:firstLine="761"/>
        <w:spacing w:after="0" w:line="277"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70"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United Kingdom from the EU may be a source of instability in international markets, create significant currency fluctuations, adversely affect our operations in the United Kingdom and pose additional risks to our business, financial condition and results of operations.</w:t>
      </w:r>
    </w:p>
    <w:p>
      <w:pPr>
        <w:spacing w:after="0" w:line="181" w:lineRule="exact"/>
        <w:rPr>
          <w:sz w:val="20"/>
          <w:szCs w:val="20"/>
          <w:color w:val="auto"/>
        </w:rPr>
      </w:pPr>
    </w:p>
    <w:p>
      <w:pPr>
        <w:ind w:right="60" w:firstLine="761"/>
        <w:spacing w:after="0" w:line="259" w:lineRule="auto"/>
        <w:rPr>
          <w:sz w:val="20"/>
          <w:szCs w:val="20"/>
          <w:color w:val="auto"/>
        </w:rPr>
      </w:pPr>
      <w:r>
        <w:rPr>
          <w:rFonts w:ascii="Arial" w:cs="Arial" w:eastAsia="Arial" w:hAnsi="Arial"/>
          <w:sz w:val="18"/>
          <w:szCs w:val="18"/>
          <w:color w:val="auto"/>
        </w:rPr>
        <w:t>The United Kingdom formally left the EU on January 31, 2020, commonly referred to as Brexit. Under the terms of the withdrawal agreement agreed to between the United Kingdom and the EU, the United Kingdom will be subject to a transition period through December 31, 2020, during which EU rules will continue to apply. Negotiations between the United Kingdom and the EU are expected to continue in relation to their customs and trading relationship following this transition period.</w:t>
      </w:r>
    </w:p>
    <w:p>
      <w:pPr>
        <w:spacing w:after="0" w:line="187" w:lineRule="exact"/>
        <w:rPr>
          <w:sz w:val="20"/>
          <w:szCs w:val="20"/>
          <w:color w:val="auto"/>
        </w:rPr>
      </w:pPr>
    </w:p>
    <w:p>
      <w:pPr>
        <w:ind w:right="80" w:firstLine="761"/>
        <w:spacing w:after="0" w:line="255" w:lineRule="auto"/>
        <w:rPr>
          <w:sz w:val="20"/>
          <w:szCs w:val="20"/>
          <w:color w:val="auto"/>
        </w:rPr>
      </w:pPr>
      <w:r>
        <w:rPr>
          <w:rFonts w:ascii="Arial" w:cs="Arial" w:eastAsia="Arial" w:hAnsi="Arial"/>
          <w:sz w:val="18"/>
          <w:szCs w:val="18"/>
          <w:color w:val="auto"/>
        </w:rPr>
        <w:t>The uncertainty concerning the United Kingdom’s legal, political and economic relationships with the EU after the transition period may be a source of instability in the international markets, create significant currency fluctuations, and otherwise adversely affect trading agreements or similar cross-border co-operation arrangements (whether economic, tax, fiscal, legal, regulatory or otherwise). Further, if the United Kingdom and the EU are unable to negotiate acceptable trading and customs terms or if other EU Member States pursue withdrawal, barrier-free access between the United Kingdom and other EU Member States or among the European Economic Area overall could be diminished or eliminated. The long-term effects of Brexit will depend on any agreements (or lack thereof) between the United Kingdom and the EU and, in particular, any arrangements for the United Kingdom to retain access to EU markets after the transition period.</w:t>
      </w:r>
    </w:p>
    <w:p>
      <w:pPr>
        <w:spacing w:after="0" w:line="189" w:lineRule="exact"/>
        <w:rPr>
          <w:sz w:val="20"/>
          <w:szCs w:val="20"/>
          <w:color w:val="auto"/>
        </w:rPr>
      </w:pPr>
    </w:p>
    <w:p>
      <w:pPr>
        <w:ind w:right="140" w:firstLine="761"/>
        <w:spacing w:after="0" w:line="257" w:lineRule="auto"/>
        <w:rPr>
          <w:sz w:val="20"/>
          <w:szCs w:val="20"/>
          <w:color w:val="auto"/>
        </w:rPr>
      </w:pPr>
      <w:r>
        <w:rPr>
          <w:rFonts w:ascii="Arial" w:cs="Arial" w:eastAsia="Arial" w:hAnsi="Arial"/>
          <w:sz w:val="18"/>
          <w:szCs w:val="18"/>
          <w:color w:val="auto"/>
        </w:rPr>
        <w:t>Such a withdrawal from the EU is unprecedented, and it is unclear how the United Kingdom’s access to the European single market for goods, capital, services and labor within the EU, or the European single market, and the wider commercial, legal and regulatory environment, will impact our U.K. operations, including our customers in the United Kingdom. We may also face new regulatory costs and challenges that could have an adverse effect on our operations. Brexit has already created economic uncertainty, and its consequences could adversely impact our business, financial condition and results of operations.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results of operations.</w:t>
      </w:r>
    </w:p>
    <w:p>
      <w:pPr>
        <w:spacing w:after="0" w:line="225" w:lineRule="exact"/>
        <w:rPr>
          <w:sz w:val="20"/>
          <w:szCs w:val="20"/>
          <w:color w:val="auto"/>
        </w:rPr>
      </w:pPr>
    </w:p>
    <w:p>
      <w:pPr>
        <w:ind w:right="100" w:firstLine="761"/>
        <w:spacing w:after="0" w:line="297" w:lineRule="auto"/>
        <w:rPr>
          <w:sz w:val="20"/>
          <w:szCs w:val="20"/>
          <w:color w:val="auto"/>
        </w:rPr>
      </w:pPr>
      <w:r>
        <w:rPr>
          <w:rFonts w:ascii="Arial" w:cs="Arial" w:eastAsia="Arial" w:hAnsi="Arial"/>
          <w:sz w:val="16"/>
          <w:szCs w:val="16"/>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portion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 adverse tax consequences.</w:t>
      </w:r>
    </w:p>
    <w:p>
      <w:pPr>
        <w:spacing w:after="0" w:line="225" w:lineRule="exact"/>
        <w:rPr>
          <w:sz w:val="20"/>
          <w:szCs w:val="20"/>
          <w:color w:val="auto"/>
        </w:rPr>
      </w:pPr>
    </w:p>
    <w:p>
      <w:pPr>
        <w:ind w:right="80" w:firstLine="761"/>
        <w:spacing w:after="0" w:line="270" w:lineRule="auto"/>
        <w:rPr>
          <w:sz w:val="20"/>
          <w:szCs w:val="20"/>
          <w:color w:val="auto"/>
        </w:rPr>
      </w:pPr>
      <w:r>
        <w:rPr>
          <w:rFonts w:ascii="Arial" w:cs="Arial" w:eastAsia="Arial" w:hAnsi="Arial"/>
          <w:sz w:val="17"/>
          <w:szCs w:val="17"/>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78"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The Tax Cuts and Jobs Act, or the Tax Act, makes broad and complex changes to the U.S. tax code including, among other things, changes to U.S. federal tax rates, imposes additional limitations on the deductibility of interest, has both positive and negative changes to the utilization of future net operating loss, or NOL, carryforwards, allows for the expensing of certain capital expenditures, and puts into effect the migration from a “worldwide” system of taxation to a territorial system.</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70" w:lineRule="exact"/>
        <w:rPr>
          <w:sz w:val="20"/>
          <w:szCs w:val="20"/>
          <w:color w:val="auto"/>
        </w:rPr>
      </w:pPr>
    </w:p>
    <w:p>
      <w:pPr>
        <w:ind w:right="20" w:firstLine="761"/>
        <w:spacing w:after="0" w:line="253" w:lineRule="auto"/>
        <w:rPr>
          <w:sz w:val="20"/>
          <w:szCs w:val="20"/>
          <w:color w:val="auto"/>
        </w:rPr>
      </w:pPr>
      <w:r>
        <w:rPr>
          <w:rFonts w:ascii="Arial" w:cs="Arial" w:eastAsia="Arial" w:hAnsi="Arial"/>
          <w:sz w:val="18"/>
          <w:szCs w:val="18"/>
          <w:color w:val="auto"/>
        </w:rPr>
        <w:t xml:space="preserve">An increasing number of states have considered or adopted laws that attempt to impose tax collection obligations on out-of-state companies. Additionally, the Supreme Court of the United States recently ruled in </w:t>
      </w:r>
      <w:r>
        <w:rPr>
          <w:rFonts w:ascii="Arial" w:cs="Arial" w:eastAsia="Arial" w:hAnsi="Arial"/>
          <w:sz w:val="18"/>
          <w:szCs w:val="18"/>
          <w:i w:val="1"/>
          <w:iCs w:val="1"/>
          <w:color w:val="auto"/>
        </w:rPr>
        <w:t>South Dakota v. Wayfair, Inc. et al</w:t>
      </w:r>
      <w:r>
        <w:rPr>
          <w:rFonts w:ascii="Arial" w:cs="Arial" w:eastAsia="Arial" w:hAnsi="Arial"/>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ind w:right="60" w:firstLine="761"/>
        <w:spacing w:after="0" w:line="269" w:lineRule="auto"/>
        <w:rPr>
          <w:sz w:val="20"/>
          <w:szCs w:val="20"/>
          <w:color w:val="auto"/>
        </w:rPr>
      </w:pPr>
      <w:r>
        <w:rPr>
          <w:rFonts w:ascii="Arial" w:cs="Arial" w:eastAsia="Arial" w:hAnsi="Arial"/>
          <w:sz w:val="17"/>
          <w:szCs w:val="17"/>
          <w:color w:val="auto"/>
        </w:rPr>
        <w:t>As of December 31, 2019, we had NOL carryforwards for federal and state income tax purposes of approximately $56.6 million and $42.0 million, respectively, which may be available to offset taxable income in the future, and which expire in various years beginning in 2031 for federal purposes and 2029 for state purposes if not utilized.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17" w:lineRule="exact"/>
        <w:rPr>
          <w:sz w:val="20"/>
          <w:szCs w:val="20"/>
          <w:color w:val="auto"/>
        </w:rPr>
      </w:pPr>
    </w:p>
    <w:p>
      <w:pPr>
        <w:ind w:left="1140" w:hanging="376"/>
        <w:spacing w:after="0"/>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40" w:lineRule="exact"/>
        <w:rPr>
          <w:rFonts w:ascii="Arial" w:cs="Arial" w:eastAsia="Arial" w:hAnsi="Arial"/>
          <w:sz w:val="16"/>
          <w:szCs w:val="16"/>
          <w:color w:val="auto"/>
        </w:rPr>
      </w:pP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Act;</w:t>
      </w:r>
    </w:p>
    <w:p>
      <w:pPr>
        <w:spacing w:after="0" w:line="117" w:lineRule="exact"/>
        <w:rPr>
          <w:rFonts w:ascii="Arial" w:cs="Arial" w:eastAsia="Arial" w:hAnsi="Arial"/>
          <w:sz w:val="18"/>
          <w:szCs w:val="18"/>
          <w:color w:val="auto"/>
        </w:rPr>
      </w:pPr>
    </w:p>
    <w:p>
      <w:pPr>
        <w:ind w:left="1140" w:right="20" w:hanging="376"/>
        <w:spacing w:after="0" w:line="308" w:lineRule="auto"/>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Any of these developments could adversely affect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jc w:val="both"/>
        <w:ind w:right="180" w:firstLine="761"/>
        <w:spacing w:after="0" w:line="312" w:lineRule="auto"/>
        <w:rPr>
          <w:sz w:val="20"/>
          <w:szCs w:val="20"/>
          <w:color w:val="auto"/>
        </w:rPr>
      </w:pPr>
      <w:r>
        <w:rPr>
          <w:rFonts w:ascii="Arial" w:cs="Arial" w:eastAsia="Arial" w:hAnsi="Arial"/>
          <w:sz w:val="16"/>
          <w:szCs w:val="16"/>
          <w:color w:val="auto"/>
        </w:rPr>
        <w:t>U.S. generally accepted accounting principles, or GAAP, are subject to interpretation by the Financial Accounting Standards Board,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248" w:lineRule="exact"/>
        <w:rPr>
          <w:sz w:val="20"/>
          <w:szCs w:val="20"/>
          <w:color w:val="auto"/>
        </w:rPr>
      </w:pPr>
    </w:p>
    <w:p>
      <w:pPr>
        <w:ind w:right="60" w:firstLine="761"/>
        <w:spacing w:after="0" w:line="288"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described in Note 2 in the Notes to Consolidated Financial Statements included in “Part II, Item</w:t>
      </w:r>
    </w:p>
    <w:p>
      <w:pPr>
        <w:ind w:firstLine="8"/>
        <w:spacing w:after="0" w:line="292"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Financial Statements” of this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revenue recognition, deferred contract costs, and the valuation of our stock-based compensation awards,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require additional capital to support the growth of our business, and this capital might not be available on acceptable terms, if at all.</w:t>
      </w:r>
    </w:p>
    <w:p>
      <w:pPr>
        <w:spacing w:after="0" w:line="237" w:lineRule="exact"/>
        <w:rPr>
          <w:sz w:val="20"/>
          <w:szCs w:val="20"/>
          <w:color w:val="auto"/>
        </w:rPr>
      </w:pPr>
    </w:p>
    <w:p>
      <w:pPr>
        <w:ind w:right="20" w:firstLine="761"/>
        <w:spacing w:after="0" w:line="288" w:lineRule="auto"/>
        <w:rPr>
          <w:sz w:val="20"/>
          <w:szCs w:val="20"/>
          <w:color w:val="auto"/>
        </w:rPr>
      </w:pPr>
      <w:r>
        <w:rPr>
          <w:rFonts w:ascii="Arial" w:cs="Arial" w:eastAsia="Arial" w:hAnsi="Arial"/>
          <w:sz w:val="16"/>
          <w:szCs w:val="16"/>
          <w:color w:val="auto"/>
        </w:rPr>
        <w:t>We have funded our operations since inception primarily through equity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ind w:right="40" w:firstLine="761"/>
        <w:spacing w:after="0" w:line="277"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62" w:lineRule="exact"/>
        <w:rPr>
          <w:sz w:val="20"/>
          <w:szCs w:val="20"/>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pricing of subscriptions to our products;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platform and products;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software;</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 as well as the anticipation of lock-up releases;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120" w:firstLine="761"/>
        <w:spacing w:after="0" w:line="279"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our executive officers, directors and significant holders of our capital stock prior to the completion of our IPO, which will limit the ability of holders of our Class A common stock to influence the outcome of important transactions.</w:t>
      </w:r>
    </w:p>
    <w:p>
      <w:pPr>
        <w:spacing w:after="0" w:line="181" w:lineRule="exact"/>
        <w:rPr>
          <w:sz w:val="20"/>
          <w:szCs w:val="20"/>
          <w:color w:val="auto"/>
        </w:rPr>
      </w:pPr>
    </w:p>
    <w:p>
      <w:pPr>
        <w:ind w:firstLine="761"/>
        <w:spacing w:after="0" w:line="270" w:lineRule="auto"/>
        <w:rPr>
          <w:sz w:val="20"/>
          <w:szCs w:val="20"/>
          <w:color w:val="auto"/>
        </w:rPr>
      </w:pPr>
      <w:r>
        <w:rPr>
          <w:rFonts w:ascii="Arial" w:cs="Arial" w:eastAsia="Arial" w:hAnsi="Arial"/>
          <w:sz w:val="17"/>
          <w:szCs w:val="17"/>
          <w:color w:val="auto"/>
        </w:rPr>
        <w:t>Our Class B common stock has ten votes per share and our Class A common stock has one vote per share. As a result, as of December 31, 2019, holders of our Class B common stock collectively beneficially owned shares representing approximately 97% of the voting power of our outstanding capital stock and our executive officers, directors and holders of 5% or more of our Class B common stock collectively beneficially owned, in the aggregate, shares representing approximately 85% of the voting power of our outstanding capital stock. As a result, the holders of our Class B common stock will be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will limit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82" w:lineRule="exact"/>
        <w:rPr>
          <w:sz w:val="20"/>
          <w:szCs w:val="20"/>
          <w:color w:val="auto"/>
        </w:rPr>
      </w:pPr>
    </w:p>
    <w:p>
      <w:pPr>
        <w:ind w:right="180" w:firstLine="761"/>
        <w:spacing w:after="0" w:line="259" w:lineRule="auto"/>
        <w:rPr>
          <w:sz w:val="20"/>
          <w:szCs w:val="20"/>
          <w:color w:val="auto"/>
        </w:rPr>
      </w:pPr>
      <w:r>
        <w:rPr>
          <w:rFonts w:ascii="Arial" w:cs="Arial" w:eastAsia="Arial" w:hAnsi="Arial"/>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5" w:lineRule="exact"/>
        <w:rPr>
          <w:sz w:val="20"/>
          <w:szCs w:val="20"/>
          <w:color w:val="auto"/>
        </w:rPr>
      </w:pPr>
    </w:p>
    <w:p>
      <w:pPr>
        <w:ind w:right="20" w:firstLine="761"/>
        <w:spacing w:after="0" w:line="259" w:lineRule="auto"/>
        <w:rPr>
          <w:sz w:val="20"/>
          <w:szCs w:val="20"/>
          <w:color w:val="auto"/>
        </w:rPr>
      </w:pPr>
      <w:r>
        <w:rPr>
          <w:rFonts w:ascii="Arial" w:cs="Arial" w:eastAsia="Arial" w:hAnsi="Arial"/>
          <w:sz w:val="18"/>
          <w:szCs w:val="18"/>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29" w:name="page30"/>
    <w:bookmarkEnd w:id="29"/>
    <w:p>
      <w:pPr>
        <w:ind w:right="40"/>
        <w:spacing w:after="0" w:line="276" w:lineRule="auto"/>
        <w:rPr>
          <w:sz w:val="20"/>
          <w:szCs w:val="20"/>
          <w:color w:val="auto"/>
        </w:rPr>
      </w:pPr>
      <w:r>
        <w:rPr>
          <w:rFonts w:ascii="Arial" w:cs="Arial" w:eastAsia="Arial" w:hAnsi="Arial"/>
          <w:sz w:val="17"/>
          <w:szCs w:val="17"/>
          <w:color w:val="auto"/>
        </w:rPr>
        <w:t>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public trading market for our Class A common stock may not develop or be sustained.</w:t>
      </w:r>
    </w:p>
    <w:p>
      <w:pPr>
        <w:spacing w:after="0" w:line="225" w:lineRule="exact"/>
        <w:rPr>
          <w:sz w:val="20"/>
          <w:szCs w:val="20"/>
          <w:color w:val="auto"/>
        </w:rPr>
      </w:pPr>
    </w:p>
    <w:p>
      <w:pPr>
        <w:ind w:firstLine="761"/>
        <w:spacing w:after="0" w:line="255" w:lineRule="auto"/>
        <w:rPr>
          <w:sz w:val="20"/>
          <w:szCs w:val="20"/>
          <w:color w:val="auto"/>
        </w:rPr>
      </w:pPr>
      <w:r>
        <w:rPr>
          <w:rFonts w:ascii="Arial" w:cs="Arial" w:eastAsia="Arial" w:hAnsi="Arial"/>
          <w:sz w:val="18"/>
          <w:szCs w:val="18"/>
          <w:color w:val="auto"/>
        </w:rPr>
        <w:t>Prior to the closing of our IPO in September 2019, no public market for our Class A common stock existed. An active public trading market for our Class A common stock may not continue to develop or, if further developed, it may not be sustained. The lack of an active market may impair the ability of holders of our Class A common stock to sell their shares at the time they wish to sell them or at a price that the holders of our Class A common stock consider reasonable. The lack of an active market may also reduce the fair value of shares of our Class A common stock. An inactive market may also impair our ability to raise capital to continue to fund operations by selling shares and may impair our ability to acquire other companies or technologies by using our shares as consideration.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Class A common stock in the public market could cause the market price of our Class A common stock to decline.</w:t>
      </w:r>
    </w:p>
    <w:p>
      <w:pPr>
        <w:spacing w:after="0" w:line="237" w:lineRule="exact"/>
        <w:rPr>
          <w:sz w:val="20"/>
          <w:szCs w:val="20"/>
          <w:color w:val="auto"/>
        </w:rPr>
      </w:pPr>
    </w:p>
    <w:p>
      <w:pPr>
        <w:ind w:right="20" w:firstLine="761"/>
        <w:spacing w:after="0" w:line="297"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58" w:lineRule="exact"/>
        <w:rPr>
          <w:sz w:val="20"/>
          <w:szCs w:val="20"/>
          <w:color w:val="auto"/>
        </w:rPr>
      </w:pPr>
    </w:p>
    <w:p>
      <w:pPr>
        <w:ind w:right="20" w:firstLine="761"/>
        <w:spacing w:after="0" w:line="289" w:lineRule="auto"/>
        <w:rPr>
          <w:sz w:val="20"/>
          <w:szCs w:val="20"/>
          <w:color w:val="auto"/>
        </w:rPr>
      </w:pPr>
      <w:r>
        <w:rPr>
          <w:rFonts w:ascii="Arial" w:cs="Arial" w:eastAsia="Arial" w:hAnsi="Arial"/>
          <w:sz w:val="16"/>
          <w:szCs w:val="16"/>
          <w:color w:val="auto"/>
        </w:rPr>
        <w:t>In connection with our IPO, all of our directors and officers and the holders of a substantial majority all of our capital stock and securities convertible into our capital stock entered into lock-up agreements that restricted their ability to transfer shares of our capital stock. On December 10, 2019, 20% of the shares subject to these lock-up agreements became eligible for sale in the public market, and the remaining shares (excluding shares purchased by certain investors in our March 2019 tender offer) are expected to be released from the lock-up agreements and become eligible for immediate sale in the public market at the open of trading on March 9, 2020, in each case subject to trading limitations on shares held by our affiliates, continued vesting of any unvested equity awards as of such date, and our insider trading policies. As a result, a substantial number of shares of our Class A common stock will become eligible for sale in the public market in March 2020. The shares purchased by entities affiliated with Dragoneer Investment Group, Index Ventures, ICONIQ Capital Management and Institutional Venture Partners in our March 2019 tender offer will remain subject to lock-up agreements that restrict their ability to transfer such shares for 18 months from September 18, 2019, the date of the Final Prospectus for our IPO.</w:t>
      </w:r>
    </w:p>
    <w:p>
      <w:pPr>
        <w:spacing w:after="0" w:line="167"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In addition, 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the lock-up agreements described above and compliance with applicable securities laws.</w:t>
      </w:r>
    </w:p>
    <w:p>
      <w:pPr>
        <w:spacing w:after="0" w:line="187" w:lineRule="exact"/>
        <w:rPr>
          <w:sz w:val="20"/>
          <w:szCs w:val="20"/>
          <w:color w:val="auto"/>
        </w:rPr>
      </w:pPr>
    </w:p>
    <w:p>
      <w:pPr>
        <w:ind w:right="840" w:firstLine="761"/>
        <w:spacing w:after="0" w:line="264" w:lineRule="auto"/>
        <w:rPr>
          <w:sz w:val="20"/>
          <w:szCs w:val="20"/>
          <w:color w:val="auto"/>
        </w:rPr>
      </w:pPr>
      <w:r>
        <w:rPr>
          <w:rFonts w:ascii="Arial" w:cs="Arial" w:eastAsia="Arial" w:hAnsi="Arial"/>
          <w:sz w:val="18"/>
          <w:szCs w:val="18"/>
          <w:color w:val="auto"/>
        </w:rPr>
        <w:t>Further, as of December 31, 2019, holders of a substantial number of shares had rights, subject to certain conditions, to require us to file registration statements covering the sale of their shares or to include their shares in registration statements that we may file for ourselves or other stockholders.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70" w:lineRule="exact"/>
        <w:rPr>
          <w:sz w:val="20"/>
          <w:szCs w:val="20"/>
          <w:color w:val="auto"/>
        </w:rPr>
      </w:pPr>
    </w:p>
    <w:p>
      <w:pPr>
        <w:ind w:right="160" w:firstLine="761"/>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170" w:lineRule="exact"/>
        <w:rPr>
          <w:sz w:val="20"/>
          <w:szCs w:val="20"/>
          <w:color w:val="auto"/>
        </w:rPr>
      </w:pPr>
    </w:p>
    <w:p>
      <w:pPr>
        <w:ind w:right="180" w:firstLine="761"/>
        <w:spacing w:after="0" w:line="273" w:lineRule="auto"/>
        <w:rPr>
          <w:sz w:val="20"/>
          <w:szCs w:val="20"/>
          <w:color w:val="auto"/>
        </w:rPr>
      </w:pPr>
      <w:r>
        <w:rPr>
          <w:rFonts w:ascii="Arial" w:cs="Arial" w:eastAsia="Arial" w:hAnsi="Arial"/>
          <w:sz w:val="17"/>
          <w:szCs w:val="17"/>
          <w:color w:val="auto"/>
        </w:rPr>
        <w:t>The market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ind w:right="140" w:firstLine="761"/>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170" w:lineRule="exact"/>
        <w:rPr>
          <w:sz w:val="20"/>
          <w:szCs w:val="20"/>
          <w:color w:val="auto"/>
        </w:rPr>
      </w:pPr>
    </w:p>
    <w:p>
      <w:pPr>
        <w:ind w:firstLine="761"/>
        <w:spacing w:after="0" w:line="270"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and we may take advantage of certain exemptions from various reporting requirements that are applicable to other public companies that are not “emerging growth companies,” including the auditor attestation requirements of Section 404 of the Sarbanes-Oxley Act, or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78" w:lineRule="exact"/>
        <w:rPr>
          <w:sz w:val="20"/>
          <w:szCs w:val="20"/>
          <w:color w:val="auto"/>
        </w:rPr>
      </w:pPr>
    </w:p>
    <w:p>
      <w:pPr>
        <w:ind w:right="40" w:firstLine="761"/>
        <w:spacing w:after="0" w:line="259" w:lineRule="auto"/>
        <w:rPr>
          <w:sz w:val="20"/>
          <w:szCs w:val="20"/>
          <w:color w:val="auto"/>
        </w:rPr>
      </w:pPr>
      <w:r>
        <w:rPr>
          <w:rFonts w:ascii="Arial" w:cs="Arial" w:eastAsia="Arial" w:hAnsi="Arial"/>
          <w:sz w:val="18"/>
          <w:szCs w:val="18"/>
          <w:color w:val="auto"/>
        </w:rPr>
        <w:t>We will remain an emerging growth company until the earliest of: (1) December 31, 2024; (2) the last day of the first fiscal year in which our annual gross revenue is $1.07 billion or more; (3) the date on which we have, during the previous rolling three-year period, issued more than $1 billion in non-convertible debt securities; and (4) the last day of the fiscal year in which the market value of our Class A common stock held by non-affiliates exceeded $700 million as of June 30 of such fiscal year.</w:t>
      </w:r>
    </w:p>
    <w:p>
      <w:pPr>
        <w:spacing w:after="0" w:line="187" w:lineRule="exact"/>
        <w:rPr>
          <w:sz w:val="20"/>
          <w:szCs w:val="20"/>
          <w:color w:val="auto"/>
        </w:rPr>
      </w:pPr>
    </w:p>
    <w:p>
      <w:pPr>
        <w:ind w:right="100" w:firstLine="761"/>
        <w:spacing w:after="0" w:line="259"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70" w:lineRule="exact"/>
        <w:rPr>
          <w:sz w:val="20"/>
          <w:szCs w:val="20"/>
          <w:color w:val="auto"/>
        </w:rPr>
      </w:pPr>
    </w:p>
    <w:p>
      <w:pPr>
        <w:ind w:right="20" w:firstLine="761"/>
        <w:spacing w:after="0" w:line="293"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ind w:right="180"/>
        <w:spacing w:after="0" w:line="264"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81" w:lineRule="exact"/>
        <w:rPr>
          <w:sz w:val="20"/>
          <w:szCs w:val="20"/>
          <w:color w:val="auto"/>
        </w:rPr>
      </w:pPr>
    </w:p>
    <w:p>
      <w:pPr>
        <w:ind w:firstLine="761"/>
        <w:spacing w:after="0" w:line="289" w:lineRule="auto"/>
        <w:rPr>
          <w:sz w:val="20"/>
          <w:szCs w:val="20"/>
          <w:color w:val="auto"/>
        </w:rPr>
      </w:pPr>
      <w:r>
        <w:rPr>
          <w:rFonts w:ascii="Arial" w:cs="Arial" w:eastAsia="Arial" w:hAnsi="Arial"/>
          <w:sz w:val="16"/>
          <w:szCs w:val="16"/>
          <w:color w:val="auto"/>
        </w:rPr>
        <w:t>We are required, pursuant to Section 404 to furnish a report by management on, among other things, the effectiveness of our internal control over financial reporting for the fiscal year ending December 31, 2020.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67" w:lineRule="exact"/>
        <w:rPr>
          <w:sz w:val="20"/>
          <w:szCs w:val="20"/>
          <w:color w:val="auto"/>
        </w:rPr>
      </w:pPr>
    </w:p>
    <w:p>
      <w:pPr>
        <w:ind w:right="100" w:firstLine="761"/>
        <w:spacing w:after="0" w:line="270"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47" w:lineRule="exact"/>
        <w:rPr>
          <w:sz w:val="20"/>
          <w:szCs w:val="20"/>
          <w:color w:val="auto"/>
        </w:rPr>
      </w:pPr>
    </w:p>
    <w:p>
      <w:pPr>
        <w:ind w:right="40" w:firstLine="761"/>
        <w:spacing w:after="0" w:line="26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73" w:lineRule="exact"/>
        <w:rPr>
          <w:sz w:val="20"/>
          <w:szCs w:val="20"/>
          <w:color w:val="auto"/>
        </w:rPr>
      </w:pPr>
    </w:p>
    <w:p>
      <w:pPr>
        <w:ind w:left="1140" w:right="80" w:hanging="376"/>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28" w:lineRule="exact"/>
        <w:rPr>
          <w:rFonts w:ascii="Arial" w:cs="Arial" w:eastAsia="Arial" w:hAnsi="Arial"/>
          <w:sz w:val="17"/>
          <w:szCs w:val="17"/>
          <w:color w:val="auto"/>
        </w:rPr>
      </w:pPr>
    </w:p>
    <w:p>
      <w:pPr>
        <w:ind w:left="1140" w:right="40" w:hanging="376"/>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62" w:lineRule="exact"/>
        <w:rPr>
          <w:rFonts w:ascii="Arial" w:cs="Arial" w:eastAsia="Arial" w:hAnsi="Arial"/>
          <w:sz w:val="18"/>
          <w:szCs w:val="18"/>
          <w:color w:val="auto"/>
        </w:rPr>
      </w:pPr>
    </w:p>
    <w:p>
      <w:pPr>
        <w:ind w:left="1140" w:right="180" w:hanging="376"/>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provide that our directors may be removed for cause only upon the vote of at least 66 2/3% of our outstanding shares of voting stock;</w:t>
      </w:r>
    </w:p>
    <w:p>
      <w:pPr>
        <w:spacing w:after="0" w:line="128" w:lineRule="exact"/>
        <w:rPr>
          <w:rFonts w:ascii="Arial" w:cs="Arial" w:eastAsia="Arial" w:hAnsi="Arial"/>
          <w:sz w:val="17"/>
          <w:szCs w:val="17"/>
          <w:color w:val="auto"/>
        </w:rPr>
      </w:pPr>
    </w:p>
    <w:p>
      <w:pPr>
        <w:ind w:left="1140" w:right="160" w:hanging="376"/>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2" w:lineRule="exact"/>
        <w:rPr>
          <w:rFonts w:ascii="Arial" w:cs="Arial" w:eastAsia="Arial" w:hAnsi="Arial"/>
          <w:sz w:val="18"/>
          <w:szCs w:val="18"/>
          <w:color w:val="auto"/>
        </w:rPr>
      </w:pPr>
    </w:p>
    <w:p>
      <w:pPr>
        <w:ind w:left="1140" w:right="40" w:hanging="376"/>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 w:name="page33"/>
    <w:bookmarkEnd w:id="32"/>
    <w:p>
      <w:pPr>
        <w:ind w:firstLine="761"/>
        <w:spacing w:after="0" w:line="25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9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47" w:lineRule="exact"/>
        <w:rPr>
          <w:sz w:val="20"/>
          <w:szCs w:val="20"/>
          <w:color w:val="auto"/>
        </w:rPr>
      </w:pPr>
    </w:p>
    <w:p>
      <w:pPr>
        <w:ind w:right="160" w:firstLine="761"/>
        <w:spacing w:after="0" w:line="271"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79" w:lineRule="exact"/>
        <w:rPr>
          <w:sz w:val="20"/>
          <w:szCs w:val="20"/>
          <w:color w:val="auto"/>
        </w:rPr>
      </w:pPr>
    </w:p>
    <w:p>
      <w:pPr>
        <w:ind w:right="20" w:firstLine="761"/>
        <w:spacing w:after="0" w:line="253"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The Court of Chancery’s decision has been appealed to the Delaware Supreme Court. If the Delaware Supreme Court reverses the Court of Chancery’s decision and holds that such a provision is cognizable under Delaware law, we will enforce the federal district court exclusive forum provision. Until such time as the Delaware courts declare the federal district court exclusive forum provision legally cognizable, we do not intend to enforce that provision of our amended and restated certificate of incorporation.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right="80" w:firstLine="761"/>
        <w:spacing w:after="0" w:line="259" w:lineRule="auto"/>
        <w:rPr>
          <w:sz w:val="20"/>
          <w:szCs w:val="20"/>
          <w:color w:val="auto"/>
        </w:rPr>
      </w:pPr>
      <w:r>
        <w:rPr>
          <w:rFonts w:ascii="Arial" w:cs="Arial" w:eastAsia="Arial" w:hAnsi="Arial"/>
          <w:sz w:val="18"/>
          <w:szCs w:val="18"/>
          <w:color w:val="auto"/>
        </w:rPr>
        <w:t>Our headquarters is located in New York City, where we lease approximately 97,000 square feet pursuant to three separate subleases. One of these subleases, for approximately 33,000 square feet, will expire in December 2022. The other two subleases, together for approximately 64,000 square feet, will both expire in December 2023. We have other offices including Boston, Dublin and Paris. These offices are leased and we do not own any real property. We believe that our current facilities are adequate to meet our current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20" w:firstLine="761"/>
        <w:spacing w:after="0" w:line="276"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29" w:lineRule="exact"/>
        <w:rPr>
          <w:sz w:val="20"/>
          <w:szCs w:val="20"/>
          <w:color w:val="auto"/>
        </w:rPr>
      </w:pPr>
    </w:p>
    <w:p>
      <w:pPr>
        <w:ind w:right="100" w:firstLine="761"/>
        <w:spacing w:after="0" w:line="259" w:lineRule="auto"/>
        <w:rPr>
          <w:sz w:val="20"/>
          <w:szCs w:val="20"/>
          <w:color w:val="auto"/>
        </w:rPr>
      </w:pPr>
      <w:r>
        <w:rPr>
          <w:rFonts w:ascii="Arial" w:cs="Arial" w:eastAsia="Arial" w:hAnsi="Arial"/>
          <w:sz w:val="18"/>
          <w:szCs w:val="18"/>
          <w:color w:val="auto"/>
        </w:rPr>
        <w:t>Our Class A common stock began trading on The Nasdaq Global Select Market, or Nasdaq, under the symbol “DDOG” on September 19, 2019. Prior to that date, there was no public trading market for our Class A common stock. Our Class B common stock is not listed or traded on any exchange, but each share of Class B common stock is convertible at any time at the option of the holder into one share of Class A common stock, and is automatically converted upon sale or transfer into one share of Class A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160" w:firstLine="761"/>
        <w:spacing w:after="0" w:line="259" w:lineRule="auto"/>
        <w:rPr>
          <w:sz w:val="20"/>
          <w:szCs w:val="20"/>
          <w:color w:val="auto"/>
        </w:rPr>
      </w:pPr>
      <w:r>
        <w:rPr>
          <w:rFonts w:ascii="Arial" w:cs="Arial" w:eastAsia="Arial" w:hAnsi="Arial"/>
          <w:sz w:val="18"/>
          <w:szCs w:val="18"/>
          <w:color w:val="auto"/>
        </w:rPr>
        <w:t>As of February 14, 2020, there were 43 stockholders of record of our Class A common stock, and the closing price of our Class A common stock was $47.03 per share as reported on Nasdaq. Because many of our shares of Class A common stock are held by brokers and other institutions on behalf of stockholders, we are unable to estimate the total number of stockholders represented by these record holders. As of February 14, 2020, there were 771 stockholders of record of our Class B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40" w:firstLine="761"/>
        <w:spacing w:after="0" w:line="257" w:lineRule="auto"/>
        <w:rPr>
          <w:sz w:val="20"/>
          <w:szCs w:val="20"/>
          <w:color w:val="auto"/>
        </w:rPr>
      </w:pPr>
      <w:r>
        <w:rPr>
          <w:rFonts w:ascii="Arial" w:cs="Arial" w:eastAsia="Arial" w:hAnsi="Arial"/>
          <w:sz w:val="18"/>
          <w:szCs w:val="18"/>
          <w:color w:val="auto"/>
        </w:rPr>
        <w:t>We have never declared or paid any dividends on our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180" w:firstLine="761"/>
        <w:spacing w:after="0" w:line="264" w:lineRule="auto"/>
        <w:rPr>
          <w:sz w:val="20"/>
          <w:szCs w:val="20"/>
          <w:color w:val="auto"/>
        </w:rPr>
      </w:pPr>
      <w:r>
        <w:rPr>
          <w:rFonts w:ascii="Arial" w:cs="Arial" w:eastAsia="Arial" w:hAnsi="Arial"/>
          <w:sz w:val="18"/>
          <w:szCs w:val="18"/>
          <w:color w:val="auto"/>
        </w:rPr>
        <w:t>On November 6, 2019, we issued 244,445 shares of Class A common stock as consideration in an acquisition. The issuance was deemed exempt from registration under the Securities Act pursuant to the exemption provided by Section 4(a)(2) of the Securities Act as a transaction by an issuer not involving a public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761"/>
        <w:spacing w:after="0" w:line="257" w:lineRule="auto"/>
        <w:rPr>
          <w:sz w:val="20"/>
          <w:szCs w:val="20"/>
          <w:color w:val="auto"/>
        </w:rPr>
      </w:pPr>
      <w:r>
        <w:rPr>
          <w:rFonts w:ascii="Arial" w:cs="Arial" w:eastAsia="Arial" w:hAnsi="Arial"/>
          <w:sz w:val="18"/>
          <w:szCs w:val="18"/>
          <w:color w:val="auto"/>
        </w:rPr>
        <w:t>In September 2019, we closed our IPO of 27,600,000 shares of our Class A common stock at an offering price of $27.00 per share, including 3,600,000 shares pursuant to the underwriters’ option to purchase additional shares of our Class A common stock, resulting in aggregate net proceeds to us of $705.9 million after deducting underwriting discounts and commissions of $37.3 million and net offering expenses of $2.0 million. All of the shares issued and sold in our IPO were registered under the Securities Act pursuant to a registration statement on Form S-1 (File No. 333-233428), which was declared effective by the SEC on September 18, 2019.</w:t>
      </w:r>
    </w:p>
    <w:p>
      <w:pPr>
        <w:spacing w:after="0" w:line="188" w:lineRule="exact"/>
        <w:rPr>
          <w:sz w:val="20"/>
          <w:szCs w:val="20"/>
          <w:color w:val="auto"/>
        </w:rPr>
      </w:pPr>
    </w:p>
    <w:p>
      <w:pPr>
        <w:ind w:right="120" w:firstLine="761"/>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from those disclosed in the Final Prospectus for our IPO dated as of September 18, 2019 and filed with the SEC pursuant to Rule 424(b)(4) on September 19,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center"/>
        <w:ind w:right="94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420" w:firstLine="761"/>
        <w:spacing w:after="0" w:line="264" w:lineRule="auto"/>
        <w:rPr>
          <w:sz w:val="20"/>
          <w:szCs w:val="20"/>
          <w:color w:val="auto"/>
        </w:rPr>
      </w:pPr>
      <w:r>
        <w:rPr>
          <w:rFonts w:ascii="Arial" w:cs="Arial" w:eastAsia="Arial" w:hAnsi="Arial"/>
          <w:sz w:val="18"/>
          <w:szCs w:val="18"/>
          <w:color w:val="auto"/>
        </w:rPr>
        <w:t>The graph below shows a comparison, from September 19, 2019 (the date our Class A common stock commenced trading on Nasdaq) through December 31, 2019, of the cumulative total return to stockholders of our Class A common stock relative to the Nasdaq Composite Index, or the Nasdaq Composite, and the Nasdaq Computer Index, or the Nasdaq Computer.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5" w:name="page36"/>
    <w:bookmarkEnd w:id="35"/>
    <w:p>
      <w:pPr>
        <w:ind w:right="240" w:firstLine="761"/>
        <w:spacing w:after="0" w:line="286" w:lineRule="auto"/>
        <w:rPr>
          <w:sz w:val="20"/>
          <w:szCs w:val="20"/>
          <w:color w:val="auto"/>
        </w:rPr>
      </w:pPr>
      <w:r>
        <w:rPr>
          <w:rFonts w:ascii="Arial" w:cs="Arial" w:eastAsia="Arial" w:hAnsi="Arial"/>
          <w:sz w:val="17"/>
          <w:szCs w:val="17"/>
          <w:color w:val="auto"/>
        </w:rPr>
        <w:t>The graph assumes that $100 was invested in each of our Class A common stock, the Nasdaq Composite and the Nasdaq Computer at their respective closing prices on September 19, 2019 and 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131445</wp:posOffset>
            </wp:positionV>
            <wp:extent cx="4896485" cy="3215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96485"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firstLine="761"/>
        <w:spacing w:after="0" w:line="264"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Datadog, Inc. under the Securities Act or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firstLine="761"/>
        <w:spacing w:after="0" w:line="272" w:lineRule="auto"/>
        <w:rPr>
          <w:sz w:val="20"/>
          <w:szCs w:val="20"/>
          <w:color w:val="auto"/>
        </w:rPr>
      </w:pPr>
      <w:r>
        <w:rPr>
          <w:rFonts w:ascii="Arial" w:cs="Arial" w:eastAsia="Arial" w:hAnsi="Arial"/>
          <w:sz w:val="17"/>
          <w:szCs w:val="17"/>
          <w:color w:val="auto"/>
        </w:rPr>
        <w:t>The following selected consolidated financial data should be read in conjunction with “Part II, Item 7. Management’s Discussion and Analysis of Financial Condition and Results of Operations” and the consolidated financial statements and related notes included in “Part II, Item 8. Financial Statements” of this Annual Report on Form 10-K. The consolidated statements of operations data for the fiscal years ended December 31, 2019, 2018, and 2017, and the consolidated balance sheet data as of December 31, 2019 and 2018 are derived from our audited consolidated financial statements and related notes included elsewhere in this Form 10-K. The selected consolidated financial data in this section are not intended to replace our consolidated financial statements and the related notes, and are qualified in their entirety by the consolidated financial statements and related notes included elsewhere in this Annual Report on Form 10-K. Our historical results are not necessarily indicative of our results in any future period.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6" w:name="page37"/>
    <w:bookmarkEnd w:id="36"/>
    <w:p>
      <w:pPr>
        <w:jc w:val="both"/>
        <w:ind w:right="260" w:firstLine="761"/>
        <w:spacing w:after="0" w:line="286" w:lineRule="auto"/>
        <w:rPr>
          <w:sz w:val="20"/>
          <w:szCs w:val="20"/>
          <w:color w:val="auto"/>
        </w:rPr>
      </w:pPr>
      <w:r>
        <w:rPr>
          <w:rFonts w:ascii="Arial" w:cs="Arial" w:eastAsia="Arial" w:hAnsi="Arial"/>
          <w:sz w:val="17"/>
          <w:szCs w:val="17"/>
          <w:color w:val="auto"/>
        </w:rPr>
        <w:t xml:space="preserve">The summary consolidated financial data for the year ended December 31, 2019 reflects the adoption of </w:t>
      </w:r>
      <w:r>
        <w:rPr>
          <w:rFonts w:ascii="Arial" w:cs="Arial" w:eastAsia="Arial" w:hAnsi="Arial"/>
          <w:sz w:val="17"/>
          <w:szCs w:val="17"/>
          <w:color w:val="231F20"/>
        </w:rPr>
        <w:t>ASU 2016-02,</w:t>
      </w:r>
      <w:r>
        <w:rPr>
          <w:rFonts w:ascii="Arial" w:cs="Arial" w:eastAsia="Arial" w:hAnsi="Arial"/>
          <w:sz w:val="17"/>
          <w:szCs w:val="17"/>
          <w:color w:val="auto"/>
        </w:rPr>
        <w:t xml:space="preserve"> </w:t>
      </w:r>
      <w:r>
        <w:rPr>
          <w:rFonts w:ascii="Arial" w:cs="Arial" w:eastAsia="Arial" w:hAnsi="Arial"/>
          <w:sz w:val="17"/>
          <w:szCs w:val="17"/>
          <w:i w:val="1"/>
          <w:iCs w:val="1"/>
          <w:color w:val="231F20"/>
        </w:rPr>
        <w:t>Leases (ASC 842)</w:t>
      </w:r>
      <w:r>
        <w:rPr>
          <w:rFonts w:ascii="Arial" w:cs="Arial" w:eastAsia="Arial" w:hAnsi="Arial"/>
          <w:sz w:val="17"/>
          <w:szCs w:val="17"/>
          <w:color w:val="auto"/>
        </w:rPr>
        <w:t>. See Note 2 to our consolidated financial statements elsewhere in this Annual Report on Form 10-K for a summary of adjustments. The summary consolidated financial data for the years ended December 31, 2018 and 2017 do not reflect the adoption of ASC 842</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center"/>
              <w:ind w:left="353"/>
              <w:spacing w:after="0"/>
              <w:rPr>
                <w:sz w:val="20"/>
                <w:szCs w:val="20"/>
                <w:color w:val="auto"/>
              </w:rPr>
            </w:pPr>
            <w:r>
              <w:rPr>
                <w:rFonts w:ascii="Arial" w:cs="Arial" w:eastAsia="Arial" w:hAnsi="Arial"/>
                <w:sz w:val="14"/>
                <w:szCs w:val="14"/>
                <w:b w:val="1"/>
                <w:bCs w:val="1"/>
                <w:color w:val="auto"/>
                <w:w w:val="93"/>
              </w:rPr>
              <w:t>Year Ended December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31"/>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w w:val="83"/>
              </w:rPr>
              <w:t>2017</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20" w:type="dxa"/>
            <w:vAlign w:val="bottom"/>
            <w:gridSpan w:val="6"/>
          </w:tcPr>
          <w:p>
            <w:pPr>
              <w:jc w:val="center"/>
              <w:ind w:left="373"/>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362,780</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198,077</w:t>
            </w:r>
          </w:p>
        </w:tc>
        <w:tc>
          <w:tcPr>
            <w:tcW w:w="52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100,761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5"/>
                <w:szCs w:val="15"/>
                <w:color w:val="auto"/>
              </w:rPr>
              <w:t>(1)(2)</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88,949</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46,529</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23,414</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273,831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151,548</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77,347</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111,425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55,176</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5"/>
                <w:szCs w:val="15"/>
                <w:color w:val="auto"/>
              </w:rPr>
              <w:t>(1)</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146,657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88,849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44,213</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35,889</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18,556</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11,356</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tcBorders>
              <w:bottom w:val="single" w:sz="8" w:color="CFF0FC"/>
            </w:tcBorders>
            <w:gridSpan w:val="2"/>
          </w:tcPr>
          <w:p>
            <w:pPr>
              <w:ind w:left="360"/>
              <w:spacing w:after="0"/>
              <w:rPr>
                <w:sz w:val="20"/>
                <w:szCs w:val="20"/>
                <w:color w:val="auto"/>
              </w:rPr>
            </w:pPr>
            <w:r>
              <w:rPr>
                <w:rFonts w:ascii="Arial" w:cs="Arial" w:eastAsia="Arial" w:hAnsi="Arial"/>
                <w:sz w:val="18"/>
                <w:szCs w:val="18"/>
                <w:color w:val="auto"/>
              </w:rPr>
              <w:t>Total operating expenses</w:t>
            </w:r>
            <w:r>
              <w:rPr>
                <w:rFonts w:ascii="Arial" w:cs="Arial" w:eastAsia="Arial" w:hAnsi="Arial"/>
                <w:sz w:val="15"/>
                <w:szCs w:val="15"/>
                <w:color w:val="auto"/>
              </w:rPr>
              <w:t>(3)</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293,971</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162,581</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80,303</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(11,033)</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income, net</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4,164</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793</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(10,240)</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(16,710)</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(10,762)</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ind w:left="1140"/>
              <w:spacing w:after="0"/>
              <w:rPr>
                <w:sz w:val="20"/>
                <w:szCs w:val="20"/>
                <w:color w:val="auto"/>
              </w:rPr>
            </w:pPr>
            <w:r>
              <w:rPr>
                <w:rFonts w:ascii="Arial" w:cs="Arial" w:eastAsia="Arial" w:hAnsi="Arial"/>
                <w:sz w:val="18"/>
                <w:szCs w:val="18"/>
                <w:color w:val="auto"/>
              </w:rPr>
              <w:t>Net loss per share attributable to common stockholders,</w:t>
            </w: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(4)</w:t>
            </w:r>
          </w:p>
        </w:tc>
        <w:tc>
          <w:tcPr>
            <w:tcW w:w="9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52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680" w:type="dxa"/>
            <w:vAlign w:val="bottom"/>
            <w:tcBorders>
              <w:top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Weighted average shares used in calculating basic and</w:t>
            </w:r>
          </w:p>
        </w:tc>
        <w:tc>
          <w:tcPr>
            <w:tcW w:w="7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diluted net loss per share</w:t>
            </w:r>
            <w:r>
              <w:rPr>
                <w:rFonts w:ascii="Arial" w:cs="Arial" w:eastAsia="Arial" w:hAnsi="Arial"/>
                <w:sz w:val="15"/>
                <w:szCs w:val="15"/>
                <w:color w:val="auto"/>
              </w:rPr>
              <w:t>(4)</w:t>
            </w:r>
          </w:p>
        </w:tc>
        <w:tc>
          <w:tcPr>
            <w:tcW w:w="7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139,873</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70,951</w:t>
            </w: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61,321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515"/>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95"/>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2017</w:t>
            </w: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9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582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287</w:t>
            </w:r>
          </w:p>
        </w:tc>
        <w:tc>
          <w:tcPr>
            <w:tcW w:w="3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112</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7,972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1,641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1,160</w:t>
            </w: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5,538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1,910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977</w:t>
            </w:r>
          </w:p>
        </w:tc>
      </w:tr>
      <w:tr>
        <w:trPr>
          <w:trHeight w:val="230"/>
        </w:trPr>
        <w:tc>
          <w:tcPr>
            <w:tcW w:w="20" w:type="dxa"/>
            <w:vAlign w:val="bottom"/>
          </w:tcPr>
          <w:p>
            <w:pPr>
              <w:spacing w:after="0"/>
              <w:rPr>
                <w:sz w:val="19"/>
                <w:szCs w:val="19"/>
                <w:color w:val="auto"/>
              </w:rPr>
            </w:pPr>
          </w:p>
        </w:tc>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4,942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1,406</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819</w:t>
            </w:r>
          </w:p>
        </w:tc>
      </w:tr>
      <w:tr>
        <w:trPr>
          <w:trHeight w:val="223"/>
        </w:trPr>
        <w:tc>
          <w:tcPr>
            <w:tcW w:w="20" w:type="dxa"/>
            <w:vAlign w:val="bottom"/>
          </w:tcPr>
          <w:p>
            <w:pPr>
              <w:spacing w:after="0"/>
              <w:rPr>
                <w:sz w:val="19"/>
                <w:szCs w:val="19"/>
                <w:color w:val="auto"/>
              </w:rPr>
            </w:pPr>
          </w:p>
        </w:tc>
        <w:tc>
          <w:tcPr>
            <w:tcW w:w="42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19,034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5,244</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3,068</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22"/>
              <w:spacing w:after="0" w:line="155" w:lineRule="exact"/>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2017</w:t>
            </w:r>
          </w:p>
        </w:tc>
      </w:tr>
      <w:tr>
        <w:trPr>
          <w:trHeight w:val="156"/>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22"/>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86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99"/>
              </w:rPr>
              <w:t>752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511</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484</w:t>
            </w:r>
          </w:p>
        </w:tc>
      </w:tr>
    </w:tbl>
    <w:p>
      <w:pPr>
        <w:spacing w:after="0" w:line="238" w:lineRule="exact"/>
        <w:rPr>
          <w:sz w:val="20"/>
          <w:szCs w:val="20"/>
          <w:color w:val="auto"/>
        </w:rPr>
      </w:pPr>
    </w:p>
    <w:p>
      <w:pPr>
        <w:ind w:left="380" w:right="120" w:hanging="372"/>
        <w:spacing w:after="0" w:line="238"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a $2.3 million, $0.4 million and $2.3 million benefit within Research and development, Sales and marketing and General and administrative expenses, respectively, related to the release of a non-income tax liability for the year ended December 31, 2019. See Note 9 to our consolidated financial statements included elsewhere in this Annual Report on Form 10-K for further discussion.</w:t>
      </w:r>
    </w:p>
    <w:p>
      <w:pPr>
        <w:spacing w:after="0" w:line="7" w:lineRule="exact"/>
        <w:rPr>
          <w:rFonts w:ascii="Arial" w:cs="Arial" w:eastAsia="Arial" w:hAnsi="Arial"/>
          <w:sz w:val="14"/>
          <w:szCs w:val="14"/>
          <w:color w:val="auto"/>
        </w:rPr>
      </w:pPr>
    </w:p>
    <w:p>
      <w:pPr>
        <w:ind w:left="380" w:hanging="372"/>
        <w:spacing w:after="0" w:line="253"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See Note 13 to our consolidated financial statements included elsewhere in this Annual Report on Form 10-K for an explanation of the calculations of our basic and diluted earnings per share attributable to common stockholders and the weighted-average number of shares used in the computation of the per share amounts.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7" w:name="page38"/>
    <w:bookmarkEnd w:id="37"/>
    <w:tbl>
      <w:tblPr>
        <w:tblLayout w:type="fixed"/>
        <w:tblInd w:w="113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6"/>
              </w:rPr>
              <w:t>2018</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22"/>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3"/>
        </w:trPr>
        <w:tc>
          <w:tcPr>
            <w:tcW w:w="388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597,297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53,639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60,024</w:t>
            </w:r>
          </w:p>
        </w:tc>
      </w:tr>
      <w:tr>
        <w:trPr>
          <w:trHeight w:val="219"/>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1,038,041</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179,750</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127,062</w:t>
            </w:r>
          </w:p>
        </w:tc>
      </w:tr>
      <w:tr>
        <w:trPr>
          <w:trHeight w:val="213"/>
        </w:trPr>
        <w:tc>
          <w:tcPr>
            <w:tcW w:w="388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255,700</w:t>
            </w:r>
          </w:p>
        </w:tc>
        <w:tc>
          <w:tcPr>
            <w:tcW w:w="200" w:type="dxa"/>
            <w:vAlign w:val="bottom"/>
          </w:tcPr>
          <w:p>
            <w:pPr>
              <w:spacing w:after="0"/>
              <w:rPr>
                <w:sz w:val="18"/>
                <w:szCs w:val="18"/>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114,986</w:t>
            </w:r>
          </w:p>
        </w:tc>
        <w:tc>
          <w:tcPr>
            <w:tcW w:w="32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61,958</w:t>
            </w:r>
          </w:p>
        </w:tc>
      </w:tr>
      <w:tr>
        <w:trPr>
          <w:trHeight w:val="219"/>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Working capital</w:t>
            </w:r>
            <w:r>
              <w:rPr>
                <w:rFonts w:ascii="Arial" w:cs="Arial" w:eastAsia="Arial" w:hAnsi="Arial"/>
                <w:sz w:val="15"/>
                <w:szCs w:val="15"/>
                <w:color w:val="auto"/>
              </w:rPr>
              <w:t>(1)</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703,703</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9,717</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43,164</w:t>
            </w:r>
          </w:p>
        </w:tc>
      </w:tr>
      <w:tr>
        <w:trPr>
          <w:trHeight w:val="213"/>
        </w:trPr>
        <w:tc>
          <w:tcPr>
            <w:tcW w:w="3880" w:type="dxa"/>
            <w:vAlign w:val="bottom"/>
            <w:gridSpan w:val="2"/>
          </w:tcPr>
          <w:p>
            <w:pPr>
              <w:spacing w:after="0"/>
              <w:rPr>
                <w:sz w:val="20"/>
                <w:szCs w:val="20"/>
                <w:color w:val="auto"/>
              </w:rPr>
            </w:pPr>
            <w:r>
              <w:rPr>
                <w:rFonts w:ascii="Arial" w:cs="Arial" w:eastAsia="Arial" w:hAnsi="Arial"/>
                <w:sz w:val="16"/>
                <w:szCs w:val="16"/>
                <w:color w:val="auto"/>
              </w:rPr>
              <w:t>Convertible preferred stock</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140,805</w:t>
            </w:r>
          </w:p>
        </w:tc>
        <w:tc>
          <w:tcPr>
            <w:tcW w:w="32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140,805</w:t>
            </w:r>
          </w:p>
        </w:tc>
      </w:tr>
      <w:tr>
        <w:trPr>
          <w:trHeight w:val="219"/>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Total stockholders’ equity (deficit)</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782,341</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(76,041)</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(75,701)</w:t>
            </w:r>
          </w:p>
        </w:tc>
      </w:tr>
    </w:tbl>
    <w:p>
      <w:pPr>
        <w:spacing w:after="0" w:line="224" w:lineRule="exact"/>
        <w:rPr>
          <w:sz w:val="20"/>
          <w:szCs w:val="20"/>
          <w:color w:val="auto"/>
        </w:rPr>
      </w:pPr>
    </w:p>
    <w:p>
      <w:pPr>
        <w:ind w:left="372" w:hanging="372"/>
        <w:spacing w:after="0"/>
        <w:tabs>
          <w:tab w:leader="none" w:pos="372" w:val="left"/>
        </w:tabs>
        <w:numPr>
          <w:ilvl w:val="0"/>
          <w:numId w:val="28"/>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397"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72"/>
          </w:cols>
          <w:pgMar w:left="248" w:top="454" w:right="1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60" w:firstLine="761"/>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 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Annual Report on Form 10-K. You should review the disclosure under the heading “Part I, Item 1A. Risk Factors” in this Annual Report on Form 10-K for a discussion of important factors that could cause our actual results to differ materially from those anticipated in these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2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Our SaaS platform integrates and automates infrastructure monitoring, application performance monitoring and log management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87" w:lineRule="exact"/>
        <w:rPr>
          <w:sz w:val="20"/>
          <w:szCs w:val="20"/>
          <w:color w:val="auto"/>
        </w:rPr>
      </w:pPr>
    </w:p>
    <w:p>
      <w:pPr>
        <w:jc w:val="both"/>
        <w:ind w:right="180" w:firstLine="761"/>
        <w:spacing w:after="0" w:line="279" w:lineRule="auto"/>
        <w:rPr>
          <w:sz w:val="20"/>
          <w:szCs w:val="20"/>
          <w:color w:val="auto"/>
        </w:rPr>
      </w:pPr>
      <w:r>
        <w:rPr>
          <w:rFonts w:ascii="Arial" w:cs="Arial" w:eastAsia="Arial" w:hAnsi="Arial"/>
          <w:sz w:val="17"/>
          <w:szCs w:val="17"/>
          <w:color w:val="auto"/>
        </w:rPr>
        <w:t>We generate revenue from the sale of subscriptions to customers using our cloud-based platform. Our paid subscriptions are available in Pro and Enterprise tiers.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71" w:lineRule="exact"/>
        <w:rPr>
          <w:sz w:val="20"/>
          <w:szCs w:val="20"/>
          <w:color w:val="auto"/>
        </w:rPr>
      </w:pPr>
    </w:p>
    <w:p>
      <w:pPr>
        <w:ind w:right="200" w:firstLine="761"/>
        <w:spacing w:after="0" w:line="259" w:lineRule="auto"/>
        <w:rPr>
          <w:sz w:val="20"/>
          <w:szCs w:val="20"/>
          <w:color w:val="auto"/>
        </w:rPr>
      </w:pPr>
      <w:r>
        <w:rPr>
          <w:rFonts w:ascii="Arial" w:cs="Arial" w:eastAsia="Arial" w:hAnsi="Arial"/>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7" w:lineRule="exact"/>
        <w:rPr>
          <w:sz w:val="20"/>
          <w:szCs w:val="20"/>
          <w:color w:val="auto"/>
        </w:rPr>
      </w:pPr>
    </w:p>
    <w:p>
      <w:pPr>
        <w:ind w:firstLine="761"/>
        <w:spacing w:after="0" w:line="288" w:lineRule="auto"/>
        <w:rPr>
          <w:sz w:val="20"/>
          <w:szCs w:val="20"/>
          <w:color w:val="auto"/>
        </w:rPr>
      </w:pPr>
      <w:r>
        <w:rPr>
          <w:rFonts w:ascii="Arial" w:cs="Arial" w:eastAsia="Arial" w:hAnsi="Arial"/>
          <w:sz w:val="16"/>
          <w:szCs w:val="16"/>
          <w:color w:val="auto"/>
        </w:rPr>
        <w:t>As of December 31, 2019, we had $601.2 million in cash, cash equivalents and restricted cash and $176.7 million in marketable securities. We have grown rapidly in recent periods, with revenues for the fiscal years ended December 31, 2019, 2018 and 2017 of $362.8 million, $198.1 million, and $100.8 million, respectively, representing year-over-year growth of 83% from the fiscal year ended December 31, 2018 to the fiscal year ended December 31, 2019 and 97% from the fiscal year ended December 31, 2017 to the fiscal year ended December 31, 2018. Substantially all of our revenue is subscription software sales. We expect that the rate of growth in our revenue will decline as our business scales, even if our revenue continues to grow in absolute terms. We have continued to make significant expenditures and investments, including in personnel-related costs, sales and marketing, infrastructure and operations, and have incurred net loss in each period since our inception, including net loss of $(16.7) million, $(10.8) million and $(2.6) million for the fiscal years ended December 31, 2019, 2018 and 2017, respectively. Our operating cash flow was $24.2 million, $10.8 million and $13.8 million for the years ended December 31, 2019, 2018 and 2017 respectively. Our free cash flow was $0.8 million, $(5.0) million and $6.0 million for the years ended December 31, 2019, 2018 and 2017 respectively. See the section titled “—Liquidity and Capital Resources—Non-GAAP Free Cash Flow” below.</w:t>
      </w:r>
    </w:p>
    <w:p>
      <w:pPr>
        <w:spacing w:after="0" w:line="169"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Our employee headcount has increased to 1,403 employees as of December 31, 2019 from 886 as of December 31, 2018. We plan to continue to aggressively invest in the growth of our business to take advantage of our market opportunity.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225" w:lineRule="exact"/>
        <w:rPr>
          <w:sz w:val="20"/>
          <w:szCs w:val="20"/>
          <w:color w:val="auto"/>
        </w:rPr>
      </w:pPr>
    </w:p>
    <w:p>
      <w:pPr>
        <w:ind w:right="240" w:firstLine="761"/>
        <w:spacing w:after="0" w:line="297" w:lineRule="auto"/>
        <w:rPr>
          <w:sz w:val="20"/>
          <w:szCs w:val="20"/>
          <w:color w:val="auto"/>
        </w:rPr>
      </w:pPr>
      <w:r>
        <w:rPr>
          <w:rFonts w:ascii="Arial" w:cs="Arial" w:eastAsia="Arial" w:hAnsi="Arial"/>
          <w:sz w:val="16"/>
          <w:szCs w:val="16"/>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December 31, 2019, we had approximately 10,500 customers spanning organizations of a broad range of sizes and industries. Our ability to attract new customers will depend on a number of factors, including the effectiveness and pricing of our products, offerings of our competitors, and the effectiveness of our marketing efforts.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right="20" w:firstLine="761"/>
        <w:spacing w:after="0" w:line="259" w:lineRule="auto"/>
        <w:rPr>
          <w:sz w:val="20"/>
          <w:szCs w:val="20"/>
          <w:color w:val="auto"/>
        </w:rPr>
      </w:pPr>
      <w:r>
        <w:rPr>
          <w:rFonts w:ascii="Arial" w:cs="Arial" w:eastAsia="Arial" w:hAnsi="Arial"/>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225" w:lineRule="exact"/>
        <w:rPr>
          <w:sz w:val="20"/>
          <w:szCs w:val="20"/>
          <w:color w:val="auto"/>
        </w:rPr>
      </w:pPr>
    </w:p>
    <w:p>
      <w:pPr>
        <w:ind w:firstLine="761"/>
        <w:spacing w:after="0" w:line="255" w:lineRule="auto"/>
        <w:rPr>
          <w:sz w:val="20"/>
          <w:szCs w:val="20"/>
          <w:color w:val="auto"/>
        </w:rPr>
      </w:pPr>
      <w:r>
        <w:rPr>
          <w:rFonts w:ascii="Arial" w:cs="Arial" w:eastAsia="Arial" w:hAnsi="Arial"/>
          <w:sz w:val="18"/>
          <w:szCs w:val="18"/>
          <w:color w:val="auto"/>
        </w:rPr>
        <w:t>Our base of customers represents a significant opportunity for further sales expansion. As of December 31, 2019, we had 858 customers with annual run-rate revenue, or ARR, of $100,000 or more, up from 453 as of December 31, 2018.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and monthly subscriptions. ARR and MRR should be viewed independently of revenue, and do not represent our revenue under U.S. GAAP on a monthly or annualized basis, as they are operating metrics that can be impacted by contract start and end dates and renewal rates. ARR and MRR are not intended to be replacements or forecasts of revenue.</w:t>
      </w:r>
    </w:p>
    <w:p>
      <w:pPr>
        <w:spacing w:after="0" w:line="189" w:lineRule="exact"/>
        <w:rPr>
          <w:sz w:val="20"/>
          <w:szCs w:val="20"/>
          <w:color w:val="auto"/>
        </w:rPr>
      </w:pPr>
    </w:p>
    <w:p>
      <w:pPr>
        <w:ind w:right="180" w:firstLine="761"/>
        <w:spacing w:after="0" w:line="255" w:lineRule="auto"/>
        <w:rPr>
          <w:sz w:val="20"/>
          <w:szCs w:val="20"/>
          <w:color w:val="auto"/>
        </w:rPr>
      </w:pPr>
      <w:r>
        <w:rPr>
          <w:rFonts w:ascii="Arial" w:cs="Arial" w:eastAsia="Arial" w:hAnsi="Arial"/>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Sustaining Innovation and Technology Leadership</w:t>
      </w:r>
    </w:p>
    <w:p>
      <w:pPr>
        <w:spacing w:after="0" w:line="225" w:lineRule="exact"/>
        <w:rPr>
          <w:sz w:val="20"/>
          <w:szCs w:val="20"/>
          <w:color w:val="auto"/>
        </w:rPr>
      </w:pPr>
    </w:p>
    <w:p>
      <w:pPr>
        <w:ind w:firstLine="761"/>
        <w:spacing w:after="0" w:line="270" w:lineRule="auto"/>
        <w:rPr>
          <w:sz w:val="20"/>
          <w:szCs w:val="20"/>
          <w:color w:val="auto"/>
        </w:rPr>
      </w:pPr>
      <w:r>
        <w:rPr>
          <w:rFonts w:ascii="Arial" w:cs="Arial" w:eastAsia="Arial" w:hAnsi="Arial"/>
          <w:sz w:val="17"/>
          <w:szCs w:val="17"/>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proven initial success of our platform approach, through expansion beyond our initial infrastructure monitoring solution, to include APM in 2017 and logs in 2018. In 2019, we launched user experience monitoring and network performance monitoring, and announced the addition of security monitoring to our platform. As of December 31, 2019, approximately 60% of our customers were using more than one product, up from approximately 25% a year earlier. We believe these metrics indicate strong momentum in the uptake of our newer platform products.</w:t>
      </w:r>
    </w:p>
    <w:p>
      <w:pPr>
        <w:spacing w:after="0" w:line="182"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225" w:lineRule="exact"/>
        <w:rPr>
          <w:sz w:val="20"/>
          <w:szCs w:val="20"/>
          <w:color w:val="auto"/>
        </w:rPr>
      </w:pPr>
    </w:p>
    <w:p>
      <w:pPr>
        <w:ind w:right="20" w:firstLine="761"/>
        <w:spacing w:after="0" w:line="276" w:lineRule="auto"/>
        <w:rPr>
          <w:sz w:val="20"/>
          <w:szCs w:val="20"/>
          <w:color w:val="auto"/>
        </w:rPr>
      </w:pPr>
      <w:r>
        <w:rPr>
          <w:rFonts w:ascii="Arial" w:cs="Arial" w:eastAsia="Arial" w:hAnsi="Arial"/>
          <w:sz w:val="17"/>
          <w:szCs w:val="17"/>
          <w:color w:val="auto"/>
        </w:rPr>
        <w:t>We believe there is a significant opportunity to expand usage of our platform outside of North America. Revenue, as determined based on the billing address of our customers, from regions outside of North America was 25% for the year ended December 31, 2019.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including in Dublin, London, Paris, Amsterdam, Singapore, Sydney and Tokyo.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firstLine="761"/>
        <w:spacing w:after="0" w:line="273" w:lineRule="auto"/>
        <w:rPr>
          <w:sz w:val="20"/>
          <w:szCs w:val="20"/>
          <w:color w:val="auto"/>
        </w:rPr>
      </w:pPr>
      <w:r>
        <w:rPr>
          <w:rFonts w:ascii="Arial" w:cs="Arial" w:eastAsia="Arial" w:hAnsi="Arial"/>
          <w:sz w:val="17"/>
          <w:szCs w:val="17"/>
          <w:color w:val="auto"/>
        </w:rPr>
        <w:t>We generate revenue from the sale of subscriptions to customers using our cloud-based platform. The terms of our subscription agreements 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78" w:lineRule="exact"/>
        <w:rPr>
          <w:sz w:val="20"/>
          <w:szCs w:val="20"/>
          <w:color w:val="auto"/>
        </w:rPr>
      </w:pPr>
    </w:p>
    <w:p>
      <w:pPr>
        <w:ind w:right="60" w:firstLine="761"/>
        <w:spacing w:after="0" w:line="279" w:lineRule="auto"/>
        <w:rPr>
          <w:sz w:val="20"/>
          <w:szCs w:val="20"/>
          <w:color w:val="auto"/>
        </w:rPr>
      </w:pPr>
      <w:r>
        <w:rPr>
          <w:rFonts w:ascii="Arial" w:cs="Arial" w:eastAsia="Arial" w:hAnsi="Arial"/>
          <w:sz w:val="17"/>
          <w:szCs w:val="17"/>
          <w:color w:val="auto"/>
        </w:rPr>
        <w:t>Usage is measured primarily by the number of hosts or by the volume of data indexed. A host is generally defined as a server, either in the cloud or on-premise. Our infrastructure monitoring, APM and network performance monitoring products are priced per host, our logs product is primarily priced per log events indexed and secondarily by events ingested. Customers also have the option to purchase additional products, such as additional container or serverless monitoring, custom metrics packages, anomaly detection, synthetic monitoring and app analytics.</w:t>
      </w:r>
    </w:p>
    <w:p>
      <w:pPr>
        <w:spacing w:after="0" w:line="171" w:lineRule="exact"/>
        <w:rPr>
          <w:sz w:val="20"/>
          <w:szCs w:val="20"/>
          <w:color w:val="auto"/>
        </w:rPr>
      </w:pPr>
    </w:p>
    <w:p>
      <w:pPr>
        <w:ind w:firstLine="761"/>
        <w:spacing w:after="0" w:line="270" w:lineRule="auto"/>
        <w:rPr>
          <w:sz w:val="20"/>
          <w:szCs w:val="20"/>
          <w:color w:val="auto"/>
        </w:rPr>
      </w:pPr>
      <w:r>
        <w:rPr>
          <w:rFonts w:ascii="Arial" w:cs="Arial" w:eastAsia="Arial" w:hAnsi="Arial"/>
          <w:sz w:val="17"/>
          <w:szCs w:val="17"/>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2" w:lineRule="exact"/>
        <w:rPr>
          <w:sz w:val="20"/>
          <w:szCs w:val="20"/>
          <w:color w:val="auto"/>
        </w:rPr>
      </w:pPr>
    </w:p>
    <w:p>
      <w:pPr>
        <w:ind w:right="820" w:firstLine="761"/>
        <w:spacing w:after="0" w:line="277" w:lineRule="auto"/>
        <w:rPr>
          <w:sz w:val="20"/>
          <w:szCs w:val="20"/>
          <w:color w:val="auto"/>
        </w:rPr>
      </w:pPr>
      <w:r>
        <w:rPr>
          <w:rFonts w:ascii="Arial" w:cs="Arial" w:eastAsia="Arial" w:hAnsi="Arial"/>
          <w:sz w:val="18"/>
          <w:szCs w:val="18"/>
          <w:color w:val="auto"/>
        </w:rPr>
        <w:t>Due to ease of implementation of our products, professional services generally are not required and revenue from such services has been immaterial to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20" w:firstLine="761"/>
        <w:spacing w:after="0" w:line="259" w:lineRule="auto"/>
        <w:rPr>
          <w:sz w:val="20"/>
          <w:szCs w:val="20"/>
          <w:color w:val="auto"/>
        </w:rPr>
      </w:pPr>
      <w:r>
        <w:rPr>
          <w:rFonts w:ascii="Arial" w:cs="Arial" w:eastAsia="Arial" w:hAnsi="Arial"/>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7" w:lineRule="exact"/>
        <w:rPr>
          <w:sz w:val="20"/>
          <w:szCs w:val="20"/>
          <w:color w:val="auto"/>
        </w:rPr>
      </w:pPr>
    </w:p>
    <w:p>
      <w:pPr>
        <w:ind w:right="240" w:firstLine="761"/>
        <w:spacing w:after="0" w:line="264" w:lineRule="auto"/>
        <w:rPr>
          <w:sz w:val="20"/>
          <w:szCs w:val="20"/>
          <w:color w:val="auto"/>
        </w:rPr>
      </w:pPr>
      <w:r>
        <w:rPr>
          <w:rFonts w:ascii="Arial" w:cs="Arial" w:eastAsia="Arial" w:hAnsi="Arial"/>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right="300" w:firstLine="761"/>
        <w:spacing w:after="0" w:line="264"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40" w:firstLine="761"/>
        <w:spacing w:after="0" w:line="286"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ind w:left="7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firstLine="761"/>
        <w:spacing w:after="0" w:line="259" w:lineRule="auto"/>
        <w:rPr>
          <w:sz w:val="20"/>
          <w:szCs w:val="20"/>
          <w:color w:val="auto"/>
        </w:rPr>
      </w:pPr>
      <w:r>
        <w:rPr>
          <w:rFonts w:ascii="Arial" w:cs="Arial" w:eastAsia="Arial" w:hAnsi="Arial"/>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180" w:firstLine="761"/>
        <w:spacing w:after="0" w:line="255" w:lineRule="auto"/>
        <w:rPr>
          <w:sz w:val="20"/>
          <w:szCs w:val="20"/>
          <w:color w:val="auto"/>
        </w:rPr>
      </w:pPr>
      <w:r>
        <w:rPr>
          <w:rFonts w:ascii="Arial" w:cs="Arial" w:eastAsia="Arial" w:hAnsi="Arial"/>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and continue to be our largest operating expense for the foreseeable future as we expand our sales and marketing efforts. However, we expect that our sales and marketing expense will decrease as a percentage of our revenue over the long term.</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40" w:firstLine="761"/>
        <w:spacing w:after="0" w:line="312" w:lineRule="auto"/>
        <w:rPr>
          <w:sz w:val="20"/>
          <w:szCs w:val="20"/>
          <w:color w:val="auto"/>
        </w:rPr>
      </w:pPr>
      <w:r>
        <w:rPr>
          <w:rFonts w:ascii="Arial" w:cs="Arial" w:eastAsia="Arial" w:hAnsi="Arial"/>
          <w:sz w:val="16"/>
          <w:szCs w:val="16"/>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47"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color w:val="auto"/>
        </w:rPr>
        <w:t>We expect to incur additional expenses as a result of operating as a newly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Other income, net consists of income earned on our money market funds included in cash and cash equivalents and on our marketable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right="140" w:firstLine="761"/>
        <w:spacing w:after="0" w:line="264" w:lineRule="auto"/>
        <w:rPr>
          <w:sz w:val="20"/>
          <w:szCs w:val="20"/>
          <w:color w:val="auto"/>
        </w:rPr>
      </w:pPr>
      <w:r>
        <w:rPr>
          <w:rFonts w:ascii="Arial" w:cs="Arial" w:eastAsia="Arial" w:hAnsi="Arial"/>
          <w:sz w:val="18"/>
          <w:szCs w:val="18"/>
          <w:color w:val="auto"/>
        </w:rPr>
        <w:t>Provision for income taxes consists of U.S. federal and state income taxes and income taxes in certain foreign jurisdictions in which we conduct business. We maintain a full valuation allowance on our federal and state deferred tax assets as we have concluded that it is not more likely than not that the deferred tax assets will be realized.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Years Ended December 31,</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93"/>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2017</w:t>
            </w:r>
          </w:p>
        </w:tc>
      </w:tr>
      <w:tr>
        <w:trPr>
          <w:trHeight w:val="223"/>
        </w:trPr>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7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362,780</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198,077</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100,761</w:t>
            </w:r>
          </w:p>
        </w:tc>
      </w:tr>
      <w:tr>
        <w:trPr>
          <w:trHeight w:val="230"/>
        </w:trPr>
        <w:tc>
          <w:tcPr>
            <w:tcW w:w="580" w:type="dxa"/>
            <w:vAlign w:val="bottom"/>
          </w:tcPr>
          <w:p>
            <w:pPr>
              <w:spacing w:after="0"/>
              <w:rPr>
                <w:sz w:val="19"/>
                <w:szCs w:val="19"/>
                <w:color w:val="auto"/>
              </w:rPr>
            </w:pPr>
          </w:p>
        </w:tc>
        <w:tc>
          <w:tcPr>
            <w:tcW w:w="4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5"/>
                <w:szCs w:val="15"/>
                <w:color w:val="auto"/>
              </w:rPr>
              <w:t>(1)(2)</w:t>
            </w:r>
          </w:p>
        </w:tc>
        <w:tc>
          <w:tcPr>
            <w:tcW w:w="14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88,949</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46,529</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23,414</w:t>
            </w:r>
          </w:p>
        </w:tc>
      </w:tr>
      <w:tr>
        <w:trPr>
          <w:trHeight w:val="223"/>
        </w:trPr>
        <w:tc>
          <w:tcPr>
            <w:tcW w:w="580" w:type="dxa"/>
            <w:vAlign w:val="bottom"/>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273,831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151,548</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77,347</w:t>
            </w:r>
          </w:p>
        </w:tc>
      </w:tr>
      <w:tr>
        <w:trPr>
          <w:trHeight w:val="230"/>
        </w:trPr>
        <w:tc>
          <w:tcPr>
            <w:tcW w:w="58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w:t>
            </w: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55,176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24,734</w:t>
            </w:r>
          </w:p>
        </w:tc>
      </w:tr>
      <w:tr>
        <w:trPr>
          <w:trHeight w:val="230"/>
        </w:trPr>
        <w:tc>
          <w:tcPr>
            <w:tcW w:w="580" w:type="dxa"/>
            <w:vAlign w:val="bottom"/>
          </w:tcPr>
          <w:p>
            <w:pPr>
              <w:spacing w:after="0"/>
              <w:rPr>
                <w:sz w:val="19"/>
                <w:szCs w:val="19"/>
                <w:color w:val="auto"/>
              </w:rPr>
            </w:pPr>
          </w:p>
        </w:tc>
        <w:tc>
          <w:tcPr>
            <w:tcW w:w="4260" w:type="dxa"/>
            <w:vAlign w:val="bottom"/>
            <w:gridSpan w:val="2"/>
          </w:tcPr>
          <w:p>
            <w:pPr>
              <w:ind w:left="24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5"/>
                <w:szCs w:val="15"/>
                <w:color w:val="auto"/>
              </w:rPr>
              <w:t>(1)</w:t>
            </w: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146,657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88,849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44,213</w:t>
            </w:r>
          </w:p>
        </w:tc>
      </w:tr>
      <w:tr>
        <w:trPr>
          <w:trHeight w:val="230"/>
        </w:trPr>
        <w:tc>
          <w:tcPr>
            <w:tcW w:w="580" w:type="dxa"/>
            <w:vAlign w:val="bottom"/>
          </w:tcPr>
          <w:p>
            <w:pPr>
              <w:spacing w:after="0"/>
              <w:rPr>
                <w:sz w:val="19"/>
                <w:szCs w:val="19"/>
                <w:color w:val="auto"/>
              </w:rPr>
            </w:pPr>
          </w:p>
        </w:tc>
        <w:tc>
          <w:tcPr>
            <w:tcW w:w="4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14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35,889</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18,556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11,356</w:t>
            </w:r>
          </w:p>
        </w:tc>
      </w:tr>
      <w:tr>
        <w:trPr>
          <w:trHeight w:val="223"/>
        </w:trPr>
        <w:tc>
          <w:tcPr>
            <w:tcW w:w="580" w:type="dxa"/>
            <w:vAlign w:val="bottom"/>
          </w:tcPr>
          <w:p>
            <w:pPr>
              <w:spacing w:after="0"/>
              <w:rPr>
                <w:sz w:val="19"/>
                <w:szCs w:val="19"/>
                <w:color w:val="auto"/>
              </w:rPr>
            </w:pPr>
          </w:p>
        </w:tc>
        <w:tc>
          <w:tcPr>
            <w:tcW w:w="426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Total operating expenses</w:t>
            </w:r>
            <w:r>
              <w:rPr>
                <w:rFonts w:ascii="Arial" w:cs="Arial" w:eastAsia="Arial" w:hAnsi="Arial"/>
                <w:sz w:val="15"/>
                <w:szCs w:val="15"/>
                <w:color w:val="auto"/>
              </w:rPr>
              <w:t>(3)</w:t>
            </w:r>
          </w:p>
        </w:tc>
        <w:tc>
          <w:tcPr>
            <w:tcW w:w="14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293,971</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162,581</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80,303</w:t>
            </w:r>
          </w:p>
        </w:tc>
      </w:tr>
      <w:tr>
        <w:trPr>
          <w:trHeight w:val="223"/>
        </w:trPr>
        <w:tc>
          <w:tcPr>
            <w:tcW w:w="580" w:type="dxa"/>
            <w:vAlign w:val="bottom"/>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(11,033)</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w:t>
            </w:r>
          </w:p>
        </w:tc>
      </w:tr>
      <w:tr>
        <w:trPr>
          <w:trHeight w:val="230"/>
        </w:trPr>
        <w:tc>
          <w:tcPr>
            <w:tcW w:w="580" w:type="dxa"/>
            <w:vAlign w:val="bottom"/>
          </w:tcPr>
          <w:p>
            <w:pPr>
              <w:spacing w:after="0"/>
              <w:rPr>
                <w:sz w:val="19"/>
                <w:szCs w:val="19"/>
                <w:color w:val="auto"/>
              </w:rPr>
            </w:pPr>
          </w:p>
        </w:tc>
        <w:tc>
          <w:tcPr>
            <w:tcW w:w="4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income, net</w:t>
            </w:r>
          </w:p>
        </w:tc>
        <w:tc>
          <w:tcPr>
            <w:tcW w:w="14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843</w:t>
            </w:r>
          </w:p>
        </w:tc>
      </w:tr>
      <w:tr>
        <w:trPr>
          <w:trHeight w:val="223"/>
        </w:trPr>
        <w:tc>
          <w:tcPr>
            <w:tcW w:w="580" w:type="dxa"/>
            <w:vAlign w:val="bottom"/>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(10,240)</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w:t>
            </w:r>
          </w:p>
        </w:tc>
      </w:tr>
      <w:tr>
        <w:trPr>
          <w:trHeight w:val="230"/>
        </w:trPr>
        <w:tc>
          <w:tcPr>
            <w:tcW w:w="580" w:type="dxa"/>
            <w:vAlign w:val="bottom"/>
          </w:tcPr>
          <w:p>
            <w:pPr>
              <w:spacing w:after="0"/>
              <w:rPr>
                <w:sz w:val="19"/>
                <w:szCs w:val="19"/>
                <w:color w:val="auto"/>
              </w:rPr>
            </w:pPr>
          </w:p>
        </w:tc>
        <w:tc>
          <w:tcPr>
            <w:tcW w:w="4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14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r>
      <w:tr>
        <w:trPr>
          <w:trHeight w:val="223"/>
        </w:trPr>
        <w:tc>
          <w:tcPr>
            <w:tcW w:w="580" w:type="dxa"/>
            <w:vAlign w:val="bottom"/>
          </w:tcPr>
          <w:p>
            <w:pPr>
              <w:spacing w:after="0"/>
              <w:rPr>
                <w:sz w:val="19"/>
                <w:szCs w:val="19"/>
                <w:color w:val="auto"/>
              </w:rPr>
            </w:pPr>
          </w:p>
        </w:tc>
        <w:tc>
          <w:tcPr>
            <w:tcW w:w="4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4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(16,710)</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(10,762)</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w:t>
            </w:r>
          </w:p>
        </w:tc>
      </w:tr>
      <w:tr>
        <w:trPr>
          <w:trHeight w:val="20"/>
        </w:trPr>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3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r>
    </w:tbl>
    <w:p>
      <w:pPr>
        <w:spacing w:after="0" w:line="22"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3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95"/>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2017</w:t>
            </w:r>
          </w:p>
        </w:tc>
      </w:tr>
      <w:tr>
        <w:trPr>
          <w:trHeight w:val="156"/>
        </w:trPr>
        <w:tc>
          <w:tcPr>
            <w:tcW w:w="3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19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680" w:type="dxa"/>
            <w:vAlign w:val="bottom"/>
            <w:gridSpan w:val="2"/>
            <w:shd w:val="clear" w:color="auto" w:fill="CFF0FC"/>
          </w:tcPr>
          <w:p>
            <w:pPr>
              <w:jc w:val="right"/>
              <w:ind w:right="61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112</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7,972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1,160</w:t>
            </w: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977</w:t>
            </w:r>
          </w:p>
        </w:tc>
      </w:tr>
      <w:tr>
        <w:trPr>
          <w:trHeight w:val="230"/>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8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819</w:t>
            </w:r>
          </w:p>
        </w:tc>
      </w:tr>
      <w:tr>
        <w:trPr>
          <w:trHeight w:val="223"/>
        </w:trPr>
        <w:tc>
          <w:tcPr>
            <w:tcW w:w="38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19,034</w:t>
            </w: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5,244</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3,068</w:t>
            </w:r>
          </w:p>
        </w:tc>
      </w:tr>
      <w:tr>
        <w:trPr>
          <w:trHeight w:val="20"/>
        </w:trPr>
        <w:tc>
          <w:tcPr>
            <w:tcW w:w="3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34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02"/>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2017</w:t>
            </w:r>
          </w:p>
        </w:tc>
      </w:tr>
      <w:tr>
        <w:trPr>
          <w:trHeight w:val="156"/>
        </w:trPr>
        <w:tc>
          <w:tcPr>
            <w:tcW w:w="34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202"/>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20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3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484</w:t>
            </w:r>
          </w:p>
        </w:tc>
      </w:tr>
    </w:tbl>
    <w:p>
      <w:pPr>
        <w:spacing w:after="0" w:line="211" w:lineRule="exact"/>
        <w:rPr>
          <w:sz w:val="20"/>
          <w:szCs w:val="20"/>
          <w:color w:val="auto"/>
        </w:rPr>
      </w:pPr>
    </w:p>
    <w:p>
      <w:pPr>
        <w:ind w:left="380" w:hanging="372"/>
        <w:spacing w:after="0" w:line="238"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a $2.3 million, $0.4 million and $2.3 million benefit within Research and development, Sales and marketing and General and administrative expenses, respectively, related to the release of a non-income tax liability for the year ended December 31, 2019. See Note 9 to our consolidated financial statements included elsewhere in this Annual Report on Form 10-K for further discussion.</w:t>
      </w: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43" w:name="page44"/>
    <w:bookmarkEnd w:id="43"/>
    <w:p>
      <w:pPr>
        <w:ind w:left="760"/>
        <w:spacing w:after="0"/>
        <w:rPr>
          <w:sz w:val="20"/>
          <w:szCs w:val="20"/>
          <w:color w:val="auto"/>
        </w:rPr>
      </w:pPr>
      <w:r>
        <w:rPr>
          <w:rFonts w:ascii="Arial" w:cs="Arial" w:eastAsia="Arial" w:hAnsi="Arial"/>
          <w:sz w:val="17"/>
          <w:szCs w:val="17"/>
          <w:color w:val="auto"/>
        </w:rPr>
        <w:t>The following table sets forth our consolidated statements of operations data expressed as a percentage of revenue for the periods indicated:</w:t>
      </w:r>
    </w:p>
    <w:p>
      <w:pPr>
        <w:spacing w:after="0" w:line="363"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54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2017</w:t>
            </w:r>
          </w:p>
        </w:tc>
      </w:tr>
      <w:tr>
        <w:trPr>
          <w:trHeight w:val="156"/>
        </w:trPr>
        <w:tc>
          <w:tcPr>
            <w:tcW w:w="5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40" w:type="dxa"/>
            <w:vAlign w:val="bottom"/>
            <w:gridSpan w:val="4"/>
          </w:tcPr>
          <w:p>
            <w:pPr>
              <w:ind w:left="400"/>
              <w:spacing w:after="0" w:line="155" w:lineRule="exact"/>
              <w:rPr>
                <w:sz w:val="20"/>
                <w:szCs w:val="20"/>
                <w:color w:val="auto"/>
              </w:rPr>
            </w:pPr>
            <w:r>
              <w:rPr>
                <w:rFonts w:ascii="Arial" w:cs="Arial" w:eastAsia="Arial" w:hAnsi="Arial"/>
                <w:sz w:val="14"/>
                <w:szCs w:val="14"/>
                <w:b w:val="1"/>
                <w:bCs w:val="1"/>
                <w:color w:val="auto"/>
                <w:w w:val="90"/>
              </w:rPr>
              <w:t>(as a percentage of total revenue)</w:t>
            </w:r>
          </w:p>
        </w:tc>
        <w:tc>
          <w:tcPr>
            <w:tcW w:w="1520" w:type="dxa"/>
            <w:vAlign w:val="bottom"/>
          </w:tcPr>
          <w:p>
            <w:pPr>
              <w:spacing w:after="0"/>
              <w:rPr>
                <w:sz w:val="13"/>
                <w:szCs w:val="13"/>
                <w:color w:val="auto"/>
              </w:rPr>
            </w:pPr>
          </w:p>
        </w:tc>
      </w:tr>
      <w:tr>
        <w:trPr>
          <w:trHeight w:val="230"/>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6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100%</w:t>
            </w: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640" w:type="dxa"/>
            <w:vAlign w:val="bottom"/>
          </w:tcPr>
          <w:p>
            <w:pPr>
              <w:jc w:val="right"/>
              <w:ind w:right="171"/>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520" w:type="dxa"/>
            <w:vAlign w:val="bottom"/>
          </w:tcPr>
          <w:p>
            <w:pPr>
              <w:jc w:val="right"/>
              <w:ind w:right="171"/>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520" w:type="dxa"/>
            <w:vAlign w:val="bottom"/>
          </w:tcPr>
          <w:p>
            <w:pPr>
              <w:jc w:val="right"/>
              <w:ind w:right="171"/>
              <w:spacing w:after="0"/>
              <w:rPr>
                <w:sz w:val="20"/>
                <w:szCs w:val="20"/>
                <w:color w:val="auto"/>
              </w:rPr>
            </w:pPr>
            <w:r>
              <w:rPr>
                <w:rFonts w:ascii="Arial" w:cs="Arial" w:eastAsia="Arial" w:hAnsi="Arial"/>
                <w:sz w:val="18"/>
                <w:szCs w:val="18"/>
                <w:color w:val="auto"/>
              </w:rPr>
              <w:t>23</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rPr>
              <w:t>77</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6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25</w:t>
            </w:r>
          </w:p>
        </w:tc>
      </w:tr>
      <w:tr>
        <w:trPr>
          <w:trHeight w:val="230"/>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jc w:val="right"/>
              <w:ind w:right="171"/>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520" w:type="dxa"/>
            <w:vAlign w:val="bottom"/>
          </w:tcPr>
          <w:p>
            <w:pPr>
              <w:jc w:val="right"/>
              <w:ind w:right="171"/>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1520" w:type="dxa"/>
            <w:vAlign w:val="bottom"/>
          </w:tcPr>
          <w:p>
            <w:pPr>
              <w:jc w:val="right"/>
              <w:ind w:right="171"/>
              <w:spacing w:after="0"/>
              <w:rPr>
                <w:sz w:val="20"/>
                <w:szCs w:val="20"/>
                <w:color w:val="auto"/>
              </w:rPr>
            </w:pPr>
            <w:r>
              <w:rPr>
                <w:rFonts w:ascii="Arial" w:cs="Arial" w:eastAsia="Arial" w:hAnsi="Arial"/>
                <w:sz w:val="18"/>
                <w:szCs w:val="18"/>
                <w:color w:val="auto"/>
              </w:rPr>
              <w:t>44</w:t>
            </w:r>
          </w:p>
        </w:tc>
      </w:tr>
      <w:tr>
        <w:trPr>
          <w:trHeight w:val="230"/>
        </w:trPr>
        <w:tc>
          <w:tcPr>
            <w:tcW w:w="6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11</w:t>
            </w:r>
          </w:p>
        </w:tc>
      </w:tr>
      <w:tr>
        <w:trPr>
          <w:trHeight w:val="223"/>
        </w:trPr>
        <w:tc>
          <w:tcPr>
            <w:tcW w:w="54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CFF0FC"/>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FF0FC"/>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rPr>
              <w:t>80</w:t>
            </w: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8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(3)</w:t>
            </w: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640" w:type="dxa"/>
            <w:vAlign w:val="bottom"/>
          </w:tcPr>
          <w:p>
            <w:pPr>
              <w:jc w:val="right"/>
              <w:ind w:right="17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520" w:type="dxa"/>
            <w:vAlign w:val="bottom"/>
          </w:tcPr>
          <w:p>
            <w:pPr>
              <w:jc w:val="right"/>
              <w:ind w:right="17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520" w:type="dxa"/>
            <w:vAlign w:val="bottom"/>
          </w:tcPr>
          <w:p>
            <w:pPr>
              <w:jc w:val="right"/>
              <w:ind w:right="171"/>
              <w:spacing w:after="0"/>
              <w:rPr>
                <w:sz w:val="20"/>
                <w:szCs w:val="20"/>
                <w:color w:val="auto"/>
              </w:rPr>
            </w:pPr>
            <w:r>
              <w:rPr>
                <w:rFonts w:ascii="Arial" w:cs="Arial" w:eastAsia="Arial" w:hAnsi="Arial"/>
                <w:sz w:val="18"/>
                <w:szCs w:val="18"/>
                <w:color w:val="auto"/>
              </w:rPr>
              <w:t>1</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8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(2)</w:t>
            </w: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(1)</w:t>
            </w: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38"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6350</wp:posOffset>
            </wp:positionV>
            <wp:extent cx="14662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5" w:lineRule="exact"/>
        <w:rPr>
          <w:sz w:val="20"/>
          <w:szCs w:val="20"/>
          <w:color w:val="auto"/>
        </w:rPr>
      </w:pPr>
    </w:p>
    <w:p>
      <w:pPr>
        <w:ind w:left="5820"/>
        <w:spacing w:after="0"/>
        <w:tabs>
          <w:tab w:leader="none" w:pos="7020" w:val="left"/>
          <w:tab w:leader="none" w:pos="8140" w:val="left"/>
          <w:tab w:leader="none" w:pos="92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0</wp:posOffset>
            </wp:positionV>
            <wp:extent cx="3053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140"/>
        <w:spacing w:after="0"/>
        <w:tabs>
          <w:tab w:leader="none" w:pos="5460" w:val="left"/>
          <w:tab w:leader="none" w:pos="5860" w:val="left"/>
          <w:tab w:leader="none" w:pos="6660" w:val="left"/>
          <w:tab w:leader="none" w:pos="7080" w:val="left"/>
          <w:tab w:leader="none" w:pos="7880" w:val="left"/>
          <w:tab w:leader="none" w:pos="8300" w:val="left"/>
          <w:tab w:leader="none" w:pos="988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362,780</w:t>
        <w:tab/>
        <w:t>$</w:t>
      </w:r>
      <w:r>
        <w:rPr>
          <w:sz w:val="20"/>
          <w:szCs w:val="20"/>
          <w:color w:val="auto"/>
        </w:rPr>
        <w:tab/>
      </w:r>
      <w:r>
        <w:rPr>
          <w:rFonts w:ascii="Arial" w:cs="Arial" w:eastAsia="Arial" w:hAnsi="Arial"/>
          <w:sz w:val="18"/>
          <w:szCs w:val="18"/>
          <w:color w:val="auto"/>
        </w:rPr>
        <w:t>198,077</w:t>
        <w:tab/>
        <w:t>$</w:t>
      </w:r>
      <w:r>
        <w:rPr>
          <w:sz w:val="20"/>
          <w:szCs w:val="20"/>
          <w:color w:val="auto"/>
        </w:rPr>
        <w:tab/>
      </w:r>
      <w:r>
        <w:rPr>
          <w:rFonts w:ascii="Arial" w:cs="Arial" w:eastAsia="Arial" w:hAnsi="Arial"/>
          <w:sz w:val="18"/>
          <w:szCs w:val="18"/>
          <w:color w:val="auto"/>
        </w:rPr>
        <w:t>164,703</w:t>
      </w:r>
      <w:r>
        <w:rPr>
          <w:sz w:val="20"/>
          <w:szCs w:val="20"/>
          <w:color w:val="auto"/>
        </w:rPr>
        <w:tab/>
      </w:r>
      <w:r>
        <w:rPr>
          <w:rFonts w:ascii="Arial" w:cs="Arial" w:eastAsia="Arial" w:hAnsi="Arial"/>
          <w:sz w:val="17"/>
          <w:szCs w:val="17"/>
          <w:color w:val="auto"/>
        </w:rPr>
        <w:t>83%</w:t>
      </w:r>
    </w:p>
    <w:p>
      <w:pPr>
        <w:spacing w:after="0" w:line="236"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Revenue increased by $164.7 million, or 83%, for the year ended December 31, 2019 compared to the year ended December 31, 2018. The increase in revenue was primarily due to growth from existing customers, with the remaining increase attributable to new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w w:val="96"/>
              </w:rPr>
              <w:t>Years Ended December 31,</w:t>
            </w:r>
          </w:p>
        </w:tc>
        <w:tc>
          <w:tcPr>
            <w:tcW w:w="28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1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960" w:type="dxa"/>
            <w:vAlign w:val="bottom"/>
          </w:tcPr>
          <w:p>
            <w:pPr>
              <w:jc w:val="right"/>
              <w:ind w:right="456"/>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(dollars in thousands)</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88,949</w:t>
            </w:r>
          </w:p>
        </w:tc>
        <w:tc>
          <w:tcPr>
            <w:tcW w:w="4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46,529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42,420</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Gross margin</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79"/>
              <w:spacing w:after="0"/>
              <w:rPr>
                <w:sz w:val="20"/>
                <w:szCs w:val="20"/>
                <w:color w:val="auto"/>
              </w:rPr>
            </w:pPr>
            <w:r>
              <w:rPr>
                <w:rFonts w:ascii="Arial" w:cs="Arial" w:eastAsia="Arial" w:hAnsi="Arial"/>
                <w:sz w:val="18"/>
                <w:szCs w:val="18"/>
                <w:color w:val="auto"/>
              </w:rPr>
              <w:t>75%</w:t>
            </w: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80" w:firstLine="761"/>
        <w:spacing w:after="0" w:line="257" w:lineRule="auto"/>
        <w:rPr>
          <w:sz w:val="20"/>
          <w:szCs w:val="20"/>
          <w:color w:val="auto"/>
        </w:rPr>
      </w:pPr>
      <w:r>
        <w:rPr>
          <w:rFonts w:ascii="Arial" w:cs="Arial" w:eastAsia="Arial" w:hAnsi="Arial"/>
          <w:sz w:val="18"/>
          <w:szCs w:val="18"/>
          <w:color w:val="auto"/>
        </w:rPr>
        <w:t>Cost of revenue increased by $42.4 million, or 91%, for the year ended December 31, 2019 compared to the year ended December 31, 2018. This increase was primarily due to an increase of $35.2 million in third-party cloud infrastructure hosting and software costs, an increase of $3.2 million in personnel expenses as a result of increased headcount, an increase of $2.5 million of depreciation and amortization expense, an increase of $0.8 million in credit card processing fees and other fees, and an increase of $0.7 million in allocated overhead costs as a result of an increase in overall costs necessary to support the growth of the business and related infrastructure.</w:t>
      </w:r>
    </w:p>
    <w:p>
      <w:pPr>
        <w:spacing w:after="0" w:line="188" w:lineRule="exact"/>
        <w:rPr>
          <w:sz w:val="20"/>
          <w:szCs w:val="20"/>
          <w:color w:val="auto"/>
        </w:rPr>
      </w:pPr>
    </w:p>
    <w:p>
      <w:pPr>
        <w:ind w:right="60" w:firstLine="761"/>
        <w:spacing w:after="0" w:line="277" w:lineRule="auto"/>
        <w:rPr>
          <w:sz w:val="20"/>
          <w:szCs w:val="20"/>
          <w:color w:val="auto"/>
        </w:rPr>
      </w:pPr>
      <w:r>
        <w:rPr>
          <w:rFonts w:ascii="Arial" w:cs="Arial" w:eastAsia="Arial" w:hAnsi="Arial"/>
          <w:sz w:val="18"/>
          <w:szCs w:val="18"/>
          <w:color w:val="auto"/>
        </w:rPr>
        <w:t>Our gross margin declined by 2% for the year ended December 31, 2019 compared to the year ended December 31, 2018, primarily as the result of the timing and amount of our investments to expand the capacity of our third-party cloud infrastructure providers.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w w:val="96"/>
              </w:rPr>
              <w:t>Years Ended December 31,</w:t>
            </w:r>
          </w:p>
        </w:tc>
        <w:tc>
          <w:tcPr>
            <w:tcW w:w="2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1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3"/>
                <w:szCs w:val="13"/>
                <w:color w:val="auto"/>
              </w:rPr>
            </w:pPr>
          </w:p>
        </w:tc>
        <w:tc>
          <w:tcPr>
            <w:tcW w:w="960" w:type="dxa"/>
            <w:vAlign w:val="bottom"/>
          </w:tcPr>
          <w:p>
            <w:pPr>
              <w:jc w:val="right"/>
              <w:ind w:right="476"/>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(dollars in thousands)</w:t>
            </w: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111,425</w:t>
            </w:r>
          </w:p>
        </w:tc>
        <w:tc>
          <w:tcPr>
            <w:tcW w:w="4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55,176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56,249</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Percentage of revenue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99"/>
              <w:spacing w:after="0"/>
              <w:rPr>
                <w:sz w:val="20"/>
                <w:szCs w:val="20"/>
                <w:color w:val="auto"/>
              </w:rPr>
            </w:pPr>
            <w:r>
              <w:rPr>
                <w:rFonts w:ascii="Arial" w:cs="Arial" w:eastAsia="Arial" w:hAnsi="Arial"/>
                <w:sz w:val="18"/>
                <w:szCs w:val="18"/>
                <w:color w:val="auto"/>
              </w:rPr>
              <w:t>31%</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320" w:firstLine="761"/>
        <w:spacing w:after="0" w:line="259" w:lineRule="auto"/>
        <w:rPr>
          <w:sz w:val="20"/>
          <w:szCs w:val="20"/>
          <w:color w:val="auto"/>
        </w:rPr>
      </w:pPr>
      <w:r>
        <w:rPr>
          <w:rFonts w:ascii="Arial" w:cs="Arial" w:eastAsia="Arial" w:hAnsi="Arial"/>
          <w:sz w:val="18"/>
          <w:szCs w:val="18"/>
          <w:color w:val="auto"/>
        </w:rPr>
        <w:t>Research and development expense increased by $56.2 million, or 102%, for the year ended December 31, 2019 compared to the year ended December 31, 2018. This increase was primarily due to an increase of $38.5 million in personnel costs for our engineering, product and design teams as a result of increased headcount, and an increase of $17.7 million in cloud infrastructure related investments and in allocated overhead costs necessary for supporting the growth of the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w w:val="96"/>
              </w:rPr>
              <w:t>Years Ended December 31,</w:t>
            </w:r>
          </w:p>
        </w:tc>
        <w:tc>
          <w:tcPr>
            <w:tcW w:w="2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1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3"/>
                <w:szCs w:val="13"/>
                <w:color w:val="auto"/>
              </w:rPr>
            </w:pPr>
          </w:p>
        </w:tc>
        <w:tc>
          <w:tcPr>
            <w:tcW w:w="960" w:type="dxa"/>
            <w:vAlign w:val="bottom"/>
          </w:tcPr>
          <w:p>
            <w:pPr>
              <w:jc w:val="right"/>
              <w:ind w:right="476"/>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(dollars in thousands)</w:t>
            </w: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146,657</w:t>
            </w:r>
          </w:p>
        </w:tc>
        <w:tc>
          <w:tcPr>
            <w:tcW w:w="4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88,849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57,808</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Percentage of revenue</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99"/>
              <w:spacing w:after="0"/>
              <w:rPr>
                <w:sz w:val="20"/>
                <w:szCs w:val="20"/>
                <w:color w:val="auto"/>
              </w:rPr>
            </w:pPr>
            <w:r>
              <w:rPr>
                <w:rFonts w:ascii="Arial" w:cs="Arial" w:eastAsia="Arial" w:hAnsi="Arial"/>
                <w:sz w:val="18"/>
                <w:szCs w:val="18"/>
                <w:color w:val="auto"/>
              </w:rPr>
              <w:t>40%</w:t>
            </w: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761"/>
        <w:spacing w:after="0" w:line="257" w:lineRule="auto"/>
        <w:rPr>
          <w:sz w:val="20"/>
          <w:szCs w:val="20"/>
          <w:color w:val="auto"/>
        </w:rPr>
      </w:pPr>
      <w:r>
        <w:rPr>
          <w:rFonts w:ascii="Arial" w:cs="Arial" w:eastAsia="Arial" w:hAnsi="Arial"/>
          <w:sz w:val="18"/>
          <w:szCs w:val="18"/>
          <w:color w:val="auto"/>
        </w:rPr>
        <w:t>Sales and marketing expense increased by $57.8 million, or 65%, for the year ended December 31, 2019 compared to the year ended December 31, 2018. This increase was primarily due to an increase of $39.6 million in personnel costs for our sales and marketing organization as a result of increased headcount and increased variable compensation for our sales personnel, an increase of $10.4 million in allocated overhead costs as a result of an increase in overall costs necessary to support the growth of the business and related infrastructure, and an increase of $7.8 million in marketing and promotional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w w:val="96"/>
              </w:rPr>
              <w:t>Years Ended December 31,</w:t>
            </w:r>
          </w:p>
        </w:tc>
        <w:tc>
          <w:tcPr>
            <w:tcW w:w="2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1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3"/>
                <w:szCs w:val="13"/>
                <w:color w:val="auto"/>
              </w:rPr>
            </w:pPr>
          </w:p>
        </w:tc>
        <w:tc>
          <w:tcPr>
            <w:tcW w:w="960" w:type="dxa"/>
            <w:vAlign w:val="bottom"/>
          </w:tcPr>
          <w:p>
            <w:pPr>
              <w:jc w:val="right"/>
              <w:ind w:right="476"/>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(dollars in thousands)</w:t>
            </w: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35,889</w:t>
            </w:r>
          </w:p>
        </w:tc>
        <w:tc>
          <w:tcPr>
            <w:tcW w:w="4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18,556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17,333</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Percentage of revenue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99"/>
              <w:spacing w:after="0"/>
              <w:rPr>
                <w:sz w:val="20"/>
                <w:szCs w:val="20"/>
                <w:color w:val="auto"/>
              </w:rPr>
            </w:pPr>
            <w:r>
              <w:rPr>
                <w:rFonts w:ascii="Arial" w:cs="Arial" w:eastAsia="Arial" w:hAnsi="Arial"/>
                <w:sz w:val="18"/>
                <w:szCs w:val="18"/>
                <w:color w:val="auto"/>
              </w:rPr>
              <w:t>10%</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60" w:firstLine="761"/>
        <w:spacing w:after="0" w:line="279" w:lineRule="auto"/>
        <w:rPr>
          <w:sz w:val="20"/>
          <w:szCs w:val="20"/>
          <w:color w:val="auto"/>
        </w:rPr>
      </w:pPr>
      <w:r>
        <w:rPr>
          <w:rFonts w:ascii="Arial" w:cs="Arial" w:eastAsia="Arial" w:hAnsi="Arial"/>
          <w:sz w:val="17"/>
          <w:szCs w:val="17"/>
          <w:color w:val="auto"/>
        </w:rPr>
        <w:t>General and administrative expense increased by $17.3 million, or 93%, for the year ended December 31, 2019 compared to the year ended December 31, 2018. This increase was primarily due to an increase of $8.6 million in personnel expenses as a result of increased headcount, an increase of $6.9 million related to outside professional fees primarily related to legal and accounting services, an increase of $1.8 million in allocated overhead expenses related to an increase in overall costs necessary to support the growth of the business and related infrastructure.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2018 and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38"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6350</wp:posOffset>
            </wp:positionV>
            <wp:extent cx="1466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5" w:lineRule="exact"/>
        <w:rPr>
          <w:sz w:val="20"/>
          <w:szCs w:val="20"/>
          <w:color w:val="auto"/>
        </w:rPr>
      </w:pPr>
    </w:p>
    <w:p>
      <w:pPr>
        <w:ind w:left="5820"/>
        <w:spacing w:after="0"/>
        <w:tabs>
          <w:tab w:leader="none" w:pos="7020" w:val="left"/>
          <w:tab w:leader="none" w:pos="8140" w:val="left"/>
          <w:tab w:leader="none" w:pos="92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0</wp:posOffset>
            </wp:positionV>
            <wp:extent cx="30530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140"/>
        <w:spacing w:after="0"/>
        <w:tabs>
          <w:tab w:leader="none" w:pos="5460" w:val="left"/>
          <w:tab w:leader="none" w:pos="5860" w:val="left"/>
          <w:tab w:leader="none" w:pos="6660" w:val="left"/>
          <w:tab w:leader="none" w:pos="7080" w:val="left"/>
          <w:tab w:leader="none" w:pos="7880" w:val="left"/>
          <w:tab w:leader="none" w:pos="8380" w:val="left"/>
          <w:tab w:leader="none" w:pos="988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198,077</w:t>
        <w:tab/>
        <w:t>$</w:t>
      </w:r>
      <w:r>
        <w:rPr>
          <w:sz w:val="20"/>
          <w:szCs w:val="20"/>
          <w:color w:val="auto"/>
        </w:rPr>
        <w:tab/>
      </w:r>
      <w:r>
        <w:rPr>
          <w:rFonts w:ascii="Arial" w:cs="Arial" w:eastAsia="Arial" w:hAnsi="Arial"/>
          <w:sz w:val="18"/>
          <w:szCs w:val="18"/>
          <w:color w:val="auto"/>
        </w:rPr>
        <w:t>100,761</w:t>
        <w:tab/>
        <w:t>$</w:t>
      </w:r>
      <w:r>
        <w:rPr>
          <w:sz w:val="20"/>
          <w:szCs w:val="20"/>
          <w:color w:val="auto"/>
        </w:rPr>
        <w:tab/>
      </w:r>
      <w:r>
        <w:rPr>
          <w:rFonts w:ascii="Arial" w:cs="Arial" w:eastAsia="Arial" w:hAnsi="Arial"/>
          <w:sz w:val="18"/>
          <w:szCs w:val="18"/>
          <w:color w:val="auto"/>
        </w:rPr>
        <w:t>97,316</w:t>
      </w:r>
      <w:r>
        <w:rPr>
          <w:sz w:val="20"/>
          <w:szCs w:val="20"/>
          <w:color w:val="auto"/>
        </w:rPr>
        <w:tab/>
      </w:r>
      <w:r>
        <w:rPr>
          <w:rFonts w:ascii="Arial" w:cs="Arial" w:eastAsia="Arial" w:hAnsi="Arial"/>
          <w:sz w:val="17"/>
          <w:szCs w:val="17"/>
          <w:color w:val="auto"/>
        </w:rPr>
        <w:t>97%</w:t>
      </w:r>
    </w:p>
    <w:p>
      <w:pPr>
        <w:spacing w:after="0" w:line="236" w:lineRule="exact"/>
        <w:rPr>
          <w:sz w:val="20"/>
          <w:szCs w:val="20"/>
          <w:color w:val="auto"/>
        </w:rPr>
      </w:pPr>
    </w:p>
    <w:p>
      <w:pPr>
        <w:ind w:right="20" w:firstLine="761"/>
        <w:spacing w:after="0" w:line="264" w:lineRule="auto"/>
        <w:rPr>
          <w:sz w:val="20"/>
          <w:szCs w:val="20"/>
          <w:color w:val="auto"/>
        </w:rPr>
      </w:pPr>
      <w:r>
        <w:rPr>
          <w:rFonts w:ascii="Arial" w:cs="Arial" w:eastAsia="Arial" w:hAnsi="Arial"/>
          <w:sz w:val="18"/>
          <w:szCs w:val="18"/>
          <w:color w:val="auto"/>
        </w:rPr>
        <w:t>Revenue increased by $97.3 million, or 97%, for the year ended December 31, 2018 compared to the year ended December 31, 2017. Approximately 60% of the increase in revenue was attributable to the growth from existing customers, and the remaining increase in revenue was attributable to new customers.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w w:val="96"/>
              </w:rPr>
              <w:t>Years Ended December 31,</w:t>
            </w:r>
          </w:p>
        </w:tc>
        <w:tc>
          <w:tcPr>
            <w:tcW w:w="2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1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960" w:type="dxa"/>
            <w:vAlign w:val="bottom"/>
          </w:tcPr>
          <w:p>
            <w:pPr>
              <w:jc w:val="right"/>
              <w:ind w:right="476"/>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(dollars in thousands)</w:t>
            </w: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46,529</w:t>
            </w:r>
          </w:p>
        </w:tc>
        <w:tc>
          <w:tcPr>
            <w:tcW w:w="4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23,414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23,115</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26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299"/>
              <w:spacing w:after="0"/>
              <w:rPr>
                <w:sz w:val="20"/>
                <w:szCs w:val="20"/>
                <w:color w:val="auto"/>
              </w:rPr>
            </w:pPr>
            <w:r>
              <w:rPr>
                <w:rFonts w:ascii="Arial" w:cs="Arial" w:eastAsia="Arial" w:hAnsi="Arial"/>
                <w:sz w:val="18"/>
                <w:szCs w:val="18"/>
                <w:color w:val="auto"/>
              </w:rPr>
              <w:t>77%</w:t>
            </w: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firstLine="761"/>
        <w:spacing w:after="0" w:line="257" w:lineRule="auto"/>
        <w:rPr>
          <w:sz w:val="20"/>
          <w:szCs w:val="20"/>
          <w:color w:val="auto"/>
        </w:rPr>
      </w:pPr>
      <w:r>
        <w:rPr>
          <w:rFonts w:ascii="Arial" w:cs="Arial" w:eastAsia="Arial" w:hAnsi="Arial"/>
          <w:sz w:val="18"/>
          <w:szCs w:val="18"/>
          <w:color w:val="auto"/>
        </w:rPr>
        <w:t>Cost of revenue increased by $23.1 million, or 99%, for the year ended December 31, 2018 compared to the year ended December 31, 2017. This increase was primarily due to an increase of $17.2 million in third-party cloud infrastructure hosting and software costs, an increase of $2.5 million in personnel expenses as a result of increased headcount, an increase of $1.8 million of depreciation and amortization expense, an increase of $0.9 million in credit card processing fees and other fees, and an increase of $0.7 million in allocated overhead costs as a result of an increase in overall costs necessary to support the growth of the business and related infrastructure.</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gross margin remained relatively constant for the fiscal year ended December 31, 2018 compared to the fiscal year ended December 31,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w w:val="96"/>
              </w:rPr>
              <w:t>Years Ended December 31,</w:t>
            </w:r>
          </w:p>
        </w:tc>
        <w:tc>
          <w:tcPr>
            <w:tcW w:w="2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1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960" w:type="dxa"/>
            <w:vAlign w:val="bottom"/>
          </w:tcPr>
          <w:p>
            <w:pPr>
              <w:jc w:val="right"/>
              <w:ind w:right="476"/>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(dollars in thousands)</w:t>
            </w: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55,176</w:t>
            </w:r>
          </w:p>
        </w:tc>
        <w:tc>
          <w:tcPr>
            <w:tcW w:w="4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24,734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30,442</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Percentage of revenue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99"/>
              <w:spacing w:after="0"/>
              <w:rPr>
                <w:sz w:val="20"/>
                <w:szCs w:val="20"/>
                <w:color w:val="auto"/>
              </w:rPr>
            </w:pPr>
            <w:r>
              <w:rPr>
                <w:rFonts w:ascii="Arial" w:cs="Arial" w:eastAsia="Arial" w:hAnsi="Arial"/>
                <w:sz w:val="18"/>
                <w:szCs w:val="18"/>
                <w:color w:val="auto"/>
              </w:rPr>
              <w:t>28%</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340" w:firstLine="761"/>
        <w:spacing w:after="0" w:line="259" w:lineRule="auto"/>
        <w:rPr>
          <w:sz w:val="20"/>
          <w:szCs w:val="20"/>
          <w:color w:val="auto"/>
        </w:rPr>
      </w:pPr>
      <w:r>
        <w:rPr>
          <w:rFonts w:ascii="Arial" w:cs="Arial" w:eastAsia="Arial" w:hAnsi="Arial"/>
          <w:sz w:val="18"/>
          <w:szCs w:val="18"/>
          <w:color w:val="auto"/>
        </w:rPr>
        <w:t>Research and development expense increased by $30.4 million, or 123%, for the year ended December 31, 2018 compared to the year ended December 31, 2017. This increase was primarily due to an increase of $21.7 million in personnel costs for our engineering, product and design teams as a result of increased headcount and an increase of $8.7 million in cloud infrastructure related investments and in allocated overhead costs necessary for supporting the growth of the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w w:val="96"/>
              </w:rPr>
              <w:t>Years Ended December 31,</w:t>
            </w:r>
          </w:p>
        </w:tc>
        <w:tc>
          <w:tcPr>
            <w:tcW w:w="2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1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960" w:type="dxa"/>
            <w:vAlign w:val="bottom"/>
          </w:tcPr>
          <w:p>
            <w:pPr>
              <w:jc w:val="right"/>
              <w:ind w:right="476"/>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(dollars in thousands)</w:t>
            </w: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88,849</w:t>
            </w:r>
          </w:p>
        </w:tc>
        <w:tc>
          <w:tcPr>
            <w:tcW w:w="4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44,213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44,636</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Percentage of revenue</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99"/>
              <w:spacing w:after="0"/>
              <w:rPr>
                <w:sz w:val="20"/>
                <w:szCs w:val="20"/>
                <w:color w:val="auto"/>
              </w:rPr>
            </w:pPr>
            <w:r>
              <w:rPr>
                <w:rFonts w:ascii="Arial" w:cs="Arial" w:eastAsia="Arial" w:hAnsi="Arial"/>
                <w:sz w:val="18"/>
                <w:szCs w:val="18"/>
                <w:color w:val="auto"/>
              </w:rPr>
              <w:t>45%</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Sales and marketing expense increased by $44.6 million, or 101%, for the year ended December 31, 2018 compared to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This increase was primarily due to an increase of $26.1 million in personnel costs for our sales and marketing organization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headcount and increased variable compensation for our sales personnel, an increase of $11.6 million in marketing and promotional activities, and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of $6.9 million in allocated overhead costs as a result of an increase in overall costs necessary to support the growth of the business and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infrastructure.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w w:val="96"/>
              </w:rPr>
              <w:t>Years Ended December 31,</w:t>
            </w:r>
          </w:p>
        </w:tc>
        <w:tc>
          <w:tcPr>
            <w:tcW w:w="2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1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960" w:type="dxa"/>
            <w:vAlign w:val="bottom"/>
          </w:tcPr>
          <w:p>
            <w:pPr>
              <w:jc w:val="right"/>
              <w:ind w:right="476"/>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(dollars in thousands)</w:t>
            </w: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18,556</w:t>
            </w:r>
          </w:p>
        </w:tc>
        <w:tc>
          <w:tcPr>
            <w:tcW w:w="4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11,356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7,200</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Percentage of revenue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99"/>
              <w:spacing w:after="0"/>
              <w:rPr>
                <w:sz w:val="20"/>
                <w:szCs w:val="20"/>
                <w:color w:val="auto"/>
              </w:rPr>
            </w:pPr>
            <w:r>
              <w:rPr>
                <w:rFonts w:ascii="Arial" w:cs="Arial" w:eastAsia="Arial" w:hAnsi="Arial"/>
                <w:sz w:val="18"/>
                <w:szCs w:val="18"/>
                <w:color w:val="auto"/>
              </w:rPr>
              <w:t>9%</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80" w:firstLine="761"/>
        <w:spacing w:after="0" w:line="279" w:lineRule="auto"/>
        <w:rPr>
          <w:sz w:val="20"/>
          <w:szCs w:val="20"/>
          <w:color w:val="auto"/>
        </w:rPr>
      </w:pPr>
      <w:r>
        <w:rPr>
          <w:rFonts w:ascii="Arial" w:cs="Arial" w:eastAsia="Arial" w:hAnsi="Arial"/>
          <w:sz w:val="17"/>
          <w:szCs w:val="17"/>
          <w:color w:val="auto"/>
        </w:rPr>
        <w:t>General and administrative expense increased by $7.2 million, or 63%, for the year ended December 31, 2018 compared to the year ended December 31, 2017. This increase was primarily due to an increase of $4.7 million in personnel expenses as a result of increased headcount, an increase of $0.9 million related to outside professional fees primarily related to legal and accounting services, an increase of $1.6 million in allocated overhead expenses related to an increase in overall costs necessary to support the growth of the business and related infrastructure.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29" w:lineRule="exact"/>
        <w:rPr>
          <w:sz w:val="20"/>
          <w:szCs w:val="20"/>
          <w:color w:val="auto"/>
        </w:rPr>
      </w:pPr>
    </w:p>
    <w:p>
      <w:pPr>
        <w:ind w:right="20" w:firstLine="761"/>
        <w:spacing w:after="0" w:line="255" w:lineRule="auto"/>
        <w:rPr>
          <w:sz w:val="20"/>
          <w:szCs w:val="20"/>
          <w:color w:val="auto"/>
        </w:rPr>
      </w:pPr>
      <w:r>
        <w:rPr>
          <w:rFonts w:ascii="Arial" w:cs="Arial" w:eastAsia="Arial" w:hAnsi="Arial"/>
          <w:sz w:val="18"/>
          <w:szCs w:val="18"/>
          <w:color w:val="auto"/>
        </w:rPr>
        <w:t>The following tables summarize our selected unaudited quarterly consolidated statements of operations data for each of the eight quarters in the period ended December 31, 2019. The information for each of these quarters has been prepared on the same basis as our audited annual consolidated financial statements and reflect, in the opinion of management, all adjustments of a normal, recurring nature that are necessary for the fair statement of the results of operations for these periods. This data should be read in conjunction with our audited consolidated financial statements included in “Part II, Item 8. Financial Statements” of this Annual Report on Form 10-K. Historical results are not necessarily indicative of the results that may be expected for the full fiscal year or any other period.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right"/>
              <w:ind w:right="71"/>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880" w:type="dxa"/>
            <w:vAlign w:val="bottom"/>
          </w:tcPr>
          <w:p>
            <w:pPr>
              <w:jc w:val="right"/>
              <w:ind w:right="233"/>
              <w:spacing w:after="0" w:line="133" w:lineRule="exact"/>
              <w:rPr>
                <w:sz w:val="20"/>
                <w:szCs w:val="20"/>
                <w:color w:val="auto"/>
              </w:rPr>
            </w:pPr>
            <w:r>
              <w:rPr>
                <w:rFonts w:ascii="Arial" w:cs="Arial" w:eastAsia="Arial" w:hAnsi="Arial"/>
                <w:sz w:val="14"/>
                <w:szCs w:val="14"/>
                <w:b w:val="1"/>
                <w:bCs w:val="1"/>
                <w:color w:val="auto"/>
                <w:w w:val="96"/>
              </w:rPr>
              <w:t>June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173"/>
              <w:spacing w:after="0" w:line="133"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1"/>
                <w:szCs w:val="11"/>
                <w:color w:val="auto"/>
              </w:rPr>
            </w:pPr>
          </w:p>
        </w:tc>
        <w:tc>
          <w:tcPr>
            <w:tcW w:w="1020" w:type="dxa"/>
            <w:vAlign w:val="bottom"/>
            <w:gridSpan w:val="2"/>
          </w:tcPr>
          <w:p>
            <w:pPr>
              <w:jc w:val="right"/>
              <w:ind w:right="51"/>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940" w:type="dxa"/>
            <w:vAlign w:val="bottom"/>
          </w:tcPr>
          <w:p>
            <w:pPr>
              <w:jc w:val="right"/>
              <w:ind w:right="192"/>
              <w:spacing w:after="0" w:line="133"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20" w:type="dxa"/>
            <w:vAlign w:val="bottom"/>
            <w:gridSpan w:val="9"/>
          </w:tcPr>
          <w:p>
            <w:pPr>
              <w:ind w:left="540"/>
              <w:spacing w:after="0" w:line="155" w:lineRule="exact"/>
              <w:rPr>
                <w:sz w:val="20"/>
                <w:szCs w:val="20"/>
                <w:color w:val="auto"/>
              </w:rPr>
            </w:pPr>
            <w:r>
              <w:rPr>
                <w:rFonts w:ascii="Arial" w:cs="Arial" w:eastAsia="Arial" w:hAnsi="Arial"/>
                <w:sz w:val="14"/>
                <w:szCs w:val="14"/>
                <w:b w:val="1"/>
                <w:bCs w:val="1"/>
                <w:color w:val="auto"/>
                <w:w w:val="91"/>
              </w:rPr>
              <w:t>(in thousands, except per share data; unaudited)</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113,644</w:t>
            </w:r>
          </w:p>
        </w:tc>
        <w:tc>
          <w:tcPr>
            <w:tcW w:w="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95,864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83,222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70,050</w:t>
            </w:r>
          </w:p>
        </w:tc>
        <w:tc>
          <w:tcPr>
            <w:tcW w:w="3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61,610</w:t>
            </w:r>
          </w:p>
        </w:tc>
        <w:tc>
          <w:tcPr>
            <w:tcW w:w="4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51,074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45,678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39,715</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(1)(2)</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25,724</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23,297</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20,978</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18,950</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15,839</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12,098</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9,450</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9,142</w:t>
            </w:r>
          </w:p>
        </w:tc>
        <w:tc>
          <w:tcPr>
            <w:tcW w:w="0" w:type="dxa"/>
            <w:vAlign w:val="bottom"/>
          </w:tcPr>
          <w:p>
            <w:pPr>
              <w:spacing w:after="0"/>
              <w:rPr>
                <w:sz w:val="1"/>
                <w:szCs w:val="1"/>
                <w:color w:val="auto"/>
              </w:rPr>
            </w:pPr>
          </w:p>
        </w:tc>
      </w:tr>
      <w:tr>
        <w:trPr>
          <w:trHeight w:val="223"/>
        </w:trPr>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87,920</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72,567</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62,244</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51,100</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45,771</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38,976</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36,228</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30,573</w:t>
            </w: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4"/>
              </w:rPr>
              <w:t>Research and development</w:t>
            </w:r>
            <w:r>
              <w:rPr>
                <w:rFonts w:ascii="Arial" w:cs="Arial" w:eastAsia="Arial" w:hAnsi="Arial"/>
                <w:sz w:val="15"/>
                <w:szCs w:val="15"/>
                <w:color w:val="auto"/>
                <w:w w:val="94"/>
              </w:rPr>
              <w:t>(1)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35,894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28,684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24,032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22,815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17,720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14,159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12,426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10,871</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41,596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38,836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36,118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30,107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29,102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25,130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19,335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15,282</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6"/>
              </w:rPr>
              <w:t>General and administrative</w:t>
            </w:r>
            <w:r>
              <w:rPr>
                <w:rFonts w:ascii="Arial" w:cs="Arial" w:eastAsia="Arial" w:hAnsi="Arial"/>
                <w:sz w:val="15"/>
                <w:szCs w:val="15"/>
                <w:color w:val="auto"/>
                <w:w w:val="96"/>
              </w:rPr>
              <w:t>(1)</w:t>
            </w: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12,696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9,265</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6,088</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7,840</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5,623</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4,322</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4,344</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w w:val="97"/>
              </w:rPr>
              <w:t>Total operating expenses</w:t>
            </w:r>
            <w:r>
              <w:rPr>
                <w:rFonts w:ascii="Arial" w:cs="Arial" w:eastAsia="Arial" w:hAnsi="Arial"/>
                <w:sz w:val="15"/>
                <w:szCs w:val="15"/>
                <w:color w:val="auto"/>
                <w:w w:val="97"/>
              </w:rPr>
              <w:t>(3)</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90,186</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76,785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66,238</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60,762</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52,445</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43,611</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36,105</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30,420</w:t>
            </w:r>
          </w:p>
        </w:tc>
        <w:tc>
          <w:tcPr>
            <w:tcW w:w="0" w:type="dxa"/>
            <w:vAlign w:val="bottom"/>
          </w:tcPr>
          <w:p>
            <w:pPr>
              <w:spacing w:after="0"/>
              <w:rPr>
                <w:sz w:val="1"/>
                <w:szCs w:val="1"/>
                <w:color w:val="auto"/>
              </w:rPr>
            </w:pPr>
          </w:p>
        </w:tc>
      </w:tr>
      <w:tr>
        <w:trPr>
          <w:trHeight w:val="223"/>
        </w:trPr>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(loss) income</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income, net</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3,518</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9"/>
        </w:trPr>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before</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(9,432)</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(6,493)</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(3,949)</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(9,491)</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(6,587)</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(4,673)</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420" w:type="dxa"/>
            <w:vAlign w:val="bottom"/>
            <w:tcBorders>
              <w:bottom w:val="single" w:sz="8" w:color="CFF0FC"/>
            </w:tcBorders>
            <w:gridSpan w:val="2"/>
          </w:tcPr>
          <w:p>
            <w:pPr>
              <w:ind w:left="100"/>
              <w:spacing w:after="0"/>
              <w:rPr>
                <w:sz w:val="20"/>
                <w:szCs w:val="20"/>
                <w:color w:val="auto"/>
              </w:rPr>
            </w:pPr>
            <w:r>
              <w:rPr>
                <w:rFonts w:ascii="Arial" w:cs="Arial" w:eastAsia="Arial" w:hAnsi="Arial"/>
                <w:sz w:val="18"/>
                <w:szCs w:val="18"/>
                <w:color w:val="auto"/>
              </w:rPr>
              <w:t>basic</w:t>
            </w:r>
          </w:p>
        </w:tc>
        <w:tc>
          <w:tcPr>
            <w:tcW w:w="6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6"/>
        </w:trPr>
        <w:tc>
          <w:tcPr>
            <w:tcW w:w="24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Net income (loss) per share,</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diluted</w:t>
            </w:r>
          </w:p>
        </w:tc>
        <w:tc>
          <w:tcPr>
            <w:tcW w:w="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w w:val="89"/>
              </w:rPr>
              <w:t>Weighted average shares used in</w:t>
            </w: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calculating basic net income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(loss) per share</w:t>
            </w:r>
          </w:p>
        </w:tc>
        <w:tc>
          <w:tcPr>
            <w:tcW w:w="6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294,515</w:t>
            </w:r>
          </w:p>
        </w:tc>
        <w:tc>
          <w:tcPr>
            <w:tcW w:w="1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103,876</w:t>
            </w:r>
          </w:p>
        </w:tc>
        <w:tc>
          <w:tcPr>
            <w:tcW w:w="10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82,043</w:t>
            </w:r>
          </w:p>
        </w:tc>
        <w:tc>
          <w:tcPr>
            <w:tcW w:w="10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77,061</w:t>
            </w:r>
          </w:p>
        </w:tc>
        <w:tc>
          <w:tcPr>
            <w:tcW w:w="1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74,640</w:t>
            </w:r>
          </w:p>
        </w:tc>
        <w:tc>
          <w:tcPr>
            <w:tcW w:w="12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73,353</w:t>
            </w:r>
          </w:p>
        </w:tc>
        <w:tc>
          <w:tcPr>
            <w:tcW w:w="12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71,942</w:t>
            </w:r>
          </w:p>
        </w:tc>
        <w:tc>
          <w:tcPr>
            <w:tcW w:w="10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63,723</w:t>
            </w:r>
          </w:p>
        </w:tc>
        <w:tc>
          <w:tcPr>
            <w:tcW w:w="0" w:type="dxa"/>
            <w:vAlign w:val="bottom"/>
          </w:tcPr>
          <w:p>
            <w:pPr>
              <w:spacing w:after="0"/>
              <w:rPr>
                <w:sz w:val="1"/>
                <w:szCs w:val="1"/>
                <w:color w:val="auto"/>
              </w:rPr>
            </w:pPr>
          </w:p>
        </w:tc>
      </w:tr>
      <w:tr>
        <w:trPr>
          <w:trHeight w:val="196"/>
        </w:trPr>
        <w:tc>
          <w:tcPr>
            <w:tcW w:w="24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w w:val="89"/>
              </w:rPr>
              <w:t>Weighted average shares used in</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calculating diluted net income</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(loss) per share</w:t>
            </w:r>
          </w:p>
        </w:tc>
        <w:tc>
          <w:tcPr>
            <w:tcW w:w="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327,333</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103,876</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82,043</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77,061</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74,640</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73,353</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86,673</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74,433</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33"/>
        </w:trPr>
        <w:tc>
          <w:tcPr>
            <w:tcW w:w="2460" w:type="dxa"/>
            <w:vAlign w:val="bottom"/>
          </w:tcPr>
          <w:p>
            <w:pPr>
              <w:spacing w:after="0"/>
              <w:rPr>
                <w:sz w:val="11"/>
                <w:szCs w:val="11"/>
                <w:color w:val="auto"/>
              </w:rPr>
            </w:pPr>
          </w:p>
        </w:tc>
        <w:tc>
          <w:tcPr>
            <w:tcW w:w="1040" w:type="dxa"/>
            <w:vAlign w:val="bottom"/>
            <w:gridSpan w:val="2"/>
          </w:tcPr>
          <w:p>
            <w:pPr>
              <w:jc w:val="right"/>
              <w:ind w:right="73"/>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940" w:type="dxa"/>
            <w:vAlign w:val="bottom"/>
          </w:tcPr>
          <w:p>
            <w:pPr>
              <w:jc w:val="right"/>
              <w:ind w:right="198"/>
              <w:spacing w:after="0" w:line="133"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900" w:type="dxa"/>
            <w:vAlign w:val="bottom"/>
          </w:tcPr>
          <w:p>
            <w:pPr>
              <w:jc w:val="right"/>
              <w:ind w:right="155"/>
              <w:spacing w:after="0" w:line="133"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2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r>
      <w:tr>
        <w:trPr>
          <w:trHeight w:val="156"/>
        </w:trPr>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left="25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210</w:t>
            </w:r>
          </w:p>
        </w:tc>
        <w:tc>
          <w:tcPr>
            <w:tcW w:w="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161</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99</w:t>
            </w:r>
          </w:p>
        </w:tc>
        <w:tc>
          <w:tcPr>
            <w:tcW w:w="3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46</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4,263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989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8"/>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279</w:t>
            </w: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2,262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299</w:t>
            </w:r>
          </w:p>
        </w:tc>
      </w:tr>
      <w:tr>
        <w:trPr>
          <w:trHeight w:val="230"/>
        </w:trPr>
        <w:tc>
          <w:tcPr>
            <w:tcW w:w="2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2,283</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786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170</w:t>
            </w:r>
          </w:p>
        </w:tc>
      </w:tr>
      <w:tr>
        <w:trPr>
          <w:trHeight w:val="209"/>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9,018</w:t>
            </w:r>
          </w:p>
        </w:tc>
        <w:tc>
          <w:tcPr>
            <w:tcW w:w="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4,677</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2,894</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2,445</w:t>
            </w:r>
          </w:p>
        </w:tc>
        <w:tc>
          <w:tcPr>
            <w:tcW w:w="3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2,193</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1,308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794</w:t>
            </w:r>
          </w:p>
        </w:tc>
      </w:tr>
      <w:tr>
        <w:trPr>
          <w:trHeight w:val="20"/>
        </w:trPr>
        <w:tc>
          <w:tcPr>
            <w:tcW w:w="24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33"/>
        </w:trPr>
        <w:tc>
          <w:tcPr>
            <w:tcW w:w="2460" w:type="dxa"/>
            <w:vAlign w:val="bottom"/>
          </w:tcPr>
          <w:p>
            <w:pPr>
              <w:spacing w:after="0"/>
              <w:rPr>
                <w:sz w:val="11"/>
                <w:szCs w:val="11"/>
                <w:color w:val="auto"/>
              </w:rPr>
            </w:pPr>
          </w:p>
        </w:tc>
        <w:tc>
          <w:tcPr>
            <w:tcW w:w="1040" w:type="dxa"/>
            <w:vAlign w:val="bottom"/>
            <w:gridSpan w:val="2"/>
          </w:tcPr>
          <w:p>
            <w:pPr>
              <w:jc w:val="center"/>
              <w:ind w:right="39"/>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1"/>
                <w:szCs w:val="11"/>
                <w:color w:val="auto"/>
              </w:rPr>
            </w:pPr>
          </w:p>
        </w:tc>
        <w:tc>
          <w:tcPr>
            <w:tcW w:w="880" w:type="dxa"/>
            <w:vAlign w:val="bottom"/>
          </w:tcPr>
          <w:p>
            <w:pPr>
              <w:jc w:val="center"/>
              <w:ind w:right="202"/>
              <w:spacing w:after="0" w:line="133" w:lineRule="exact"/>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1"/>
                <w:szCs w:val="11"/>
                <w:color w:val="auto"/>
              </w:rPr>
            </w:pPr>
          </w:p>
        </w:tc>
        <w:tc>
          <w:tcPr>
            <w:tcW w:w="920" w:type="dxa"/>
            <w:vAlign w:val="bottom"/>
          </w:tcPr>
          <w:p>
            <w:pPr>
              <w:jc w:val="center"/>
              <w:ind w:right="164"/>
              <w:spacing w:after="0" w:line="133" w:lineRule="exact"/>
              <w:rPr>
                <w:sz w:val="20"/>
                <w:szCs w:val="20"/>
                <w:color w:val="auto"/>
              </w:rPr>
            </w:pPr>
            <w:r>
              <w:rPr>
                <w:rFonts w:ascii="Arial" w:cs="Arial" w:eastAsia="Arial" w:hAnsi="Arial"/>
                <w:sz w:val="14"/>
                <w:szCs w:val="14"/>
                <w:b w:val="1"/>
                <w:bCs w:val="1"/>
                <w:color w:val="auto"/>
                <w:w w:val="99"/>
              </w:rPr>
              <w:t>March 31,</w:t>
            </w:r>
          </w:p>
        </w:tc>
        <w:tc>
          <w:tcPr>
            <w:tcW w:w="112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1"/>
                <w:szCs w:val="11"/>
                <w:color w:val="auto"/>
              </w:rPr>
            </w:pPr>
          </w:p>
        </w:tc>
        <w:tc>
          <w:tcPr>
            <w:tcW w:w="860" w:type="dxa"/>
            <w:vAlign w:val="bottom"/>
          </w:tcPr>
          <w:p>
            <w:pPr>
              <w:jc w:val="center"/>
              <w:ind w:right="162"/>
              <w:spacing w:after="0" w:line="133"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1"/>
                <w:szCs w:val="11"/>
                <w:color w:val="auto"/>
              </w:rPr>
            </w:pPr>
          </w:p>
        </w:tc>
        <w:tc>
          <w:tcPr>
            <w:tcW w:w="900" w:type="dxa"/>
            <w:vAlign w:val="bottom"/>
          </w:tcPr>
          <w:p>
            <w:pPr>
              <w:jc w:val="center"/>
              <w:ind w:right="142"/>
              <w:spacing w:after="0" w:line="133"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2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r>
      <w:tr>
        <w:trPr>
          <w:trHeight w:val="156"/>
        </w:trPr>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221</w:t>
            </w: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175</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6"/>
              </w:rPr>
              <w:t>179</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112</w:t>
            </w:r>
          </w:p>
        </w:tc>
      </w:tr>
    </w:tbl>
    <w:p>
      <w:pPr>
        <w:spacing w:after="0" w:line="211" w:lineRule="exact"/>
        <w:rPr>
          <w:sz w:val="20"/>
          <w:szCs w:val="20"/>
          <w:color w:val="auto"/>
        </w:rPr>
      </w:pPr>
    </w:p>
    <w:p>
      <w:pPr>
        <w:ind w:left="380" w:right="40" w:hanging="372"/>
        <w:spacing w:after="0" w:line="238"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a $2.3 million, $0.4 million and $2.3 million benefit within Research and development, Sales and marketing and General and administrative expenses, respectively, related to the release of a non-income tax liability for the three months ended June 30, 2019. See Note 9 to our consolidated financial statements included elsewhere in this Annual Report on Form 10-K for further discussion.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33"/>
        </w:trPr>
        <w:tc>
          <w:tcPr>
            <w:tcW w:w="232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September 30,</w:t>
            </w:r>
          </w:p>
        </w:tc>
        <w:tc>
          <w:tcPr>
            <w:tcW w:w="980" w:type="dxa"/>
            <w:vAlign w:val="bottom"/>
          </w:tcPr>
          <w:p>
            <w:pPr>
              <w:jc w:val="right"/>
              <w:ind w:right="273"/>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March 31,</w:t>
            </w:r>
          </w:p>
        </w:tc>
        <w:tc>
          <w:tcPr>
            <w:tcW w:w="12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September 30,</w:t>
            </w:r>
          </w:p>
        </w:tc>
        <w:tc>
          <w:tcPr>
            <w:tcW w:w="108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June 30,</w:t>
            </w:r>
          </w:p>
        </w:tc>
        <w:tc>
          <w:tcPr>
            <w:tcW w:w="1000" w:type="dxa"/>
            <w:vAlign w:val="bottom"/>
          </w:tcPr>
          <w:p>
            <w:pPr>
              <w:jc w:val="right"/>
              <w:ind w:right="193"/>
              <w:spacing w:after="0" w:line="133" w:lineRule="exact"/>
              <w:rPr>
                <w:sz w:val="20"/>
                <w:szCs w:val="20"/>
                <w:color w:val="auto"/>
              </w:rPr>
            </w:pPr>
            <w:r>
              <w:rPr>
                <w:rFonts w:ascii="Arial" w:cs="Arial" w:eastAsia="Arial" w:hAnsi="Arial"/>
                <w:sz w:val="14"/>
                <w:szCs w:val="14"/>
                <w:b w:val="1"/>
                <w:bCs w:val="1"/>
                <w:color w:val="auto"/>
              </w:rPr>
              <w:t>March 31,</w:t>
            </w:r>
          </w:p>
        </w:tc>
      </w:tr>
      <w:tr>
        <w:trPr>
          <w:trHeight w:val="171"/>
        </w:trPr>
        <w:tc>
          <w:tcPr>
            <w:tcW w:w="2320" w:type="dxa"/>
            <w:vAlign w:val="bottom"/>
          </w:tcPr>
          <w:p>
            <w:pPr>
              <w:spacing w:after="0"/>
              <w:rPr>
                <w:sz w:val="14"/>
                <w:szCs w:val="14"/>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156"/>
        </w:trPr>
        <w:tc>
          <w:tcPr>
            <w:tcW w:w="2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60" w:type="dxa"/>
            <w:vAlign w:val="bottom"/>
            <w:gridSpan w:val="5"/>
          </w:tcPr>
          <w:p>
            <w:pPr>
              <w:jc w:val="center"/>
              <w:ind w:right="240"/>
              <w:spacing w:after="0" w:line="155" w:lineRule="exact"/>
              <w:rPr>
                <w:sz w:val="20"/>
                <w:szCs w:val="20"/>
                <w:color w:val="auto"/>
              </w:rPr>
            </w:pPr>
            <w:r>
              <w:rPr>
                <w:rFonts w:ascii="Arial" w:cs="Arial" w:eastAsia="Arial" w:hAnsi="Arial"/>
                <w:sz w:val="14"/>
                <w:szCs w:val="14"/>
                <w:b w:val="1"/>
                <w:bCs w:val="1"/>
                <w:color w:val="auto"/>
                <w:w w:val="90"/>
              </w:rPr>
              <w:t>(as a percentage of total revenue)</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Cost of revenue</w:t>
            </w: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25</w:t>
            </w:r>
          </w:p>
        </w:tc>
        <w:tc>
          <w:tcPr>
            <w:tcW w:w="1160" w:type="dxa"/>
            <w:vAlign w:val="bottom"/>
            <w:gridSpan w:val="2"/>
          </w:tcPr>
          <w:p>
            <w:pPr>
              <w:jc w:val="right"/>
              <w:ind w:right="156"/>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120" w:type="dxa"/>
            <w:vAlign w:val="bottom"/>
          </w:tcPr>
          <w:p>
            <w:pPr>
              <w:jc w:val="right"/>
              <w:ind w:right="17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23</w:t>
            </w:r>
          </w:p>
        </w:tc>
      </w:tr>
      <w:tr>
        <w:trPr>
          <w:trHeight w:val="223"/>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18"/>
                <w:szCs w:val="18"/>
                <w:color w:val="auto"/>
              </w:rPr>
              <w:t>77</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rPr>
              <w:t>73</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173"/>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77</w:t>
            </w: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3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Research and development</w:t>
            </w:r>
          </w:p>
        </w:tc>
        <w:tc>
          <w:tcPr>
            <w:tcW w:w="106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29</w:t>
            </w:r>
          </w:p>
        </w:tc>
        <w:tc>
          <w:tcPr>
            <w:tcW w:w="1160" w:type="dxa"/>
            <w:vAlign w:val="bottom"/>
            <w:gridSpan w:val="2"/>
            <w:shd w:val="clear" w:color="auto" w:fill="CFF0FC"/>
          </w:tcPr>
          <w:p>
            <w:pPr>
              <w:jc w:val="right"/>
              <w:ind w:right="156"/>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3"/>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27</w:t>
            </w:r>
          </w:p>
        </w:tc>
      </w:tr>
      <w:tr>
        <w:trPr>
          <w:trHeight w:val="230"/>
        </w:trPr>
        <w:tc>
          <w:tcPr>
            <w:tcW w:w="23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43</w:t>
            </w:r>
          </w:p>
        </w:tc>
        <w:tc>
          <w:tcPr>
            <w:tcW w:w="1160" w:type="dxa"/>
            <w:vAlign w:val="bottom"/>
            <w:gridSpan w:val="2"/>
          </w:tcPr>
          <w:p>
            <w:pPr>
              <w:jc w:val="right"/>
              <w:ind w:right="156"/>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120" w:type="dxa"/>
            <w:vAlign w:val="bottom"/>
          </w:tcPr>
          <w:p>
            <w:pPr>
              <w:jc w:val="right"/>
              <w:ind w:right="17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38</w:t>
            </w:r>
          </w:p>
        </w:tc>
      </w:tr>
      <w:tr>
        <w:trPr>
          <w:trHeight w:val="230"/>
        </w:trPr>
        <w:tc>
          <w:tcPr>
            <w:tcW w:w="2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7</w:t>
            </w:r>
          </w:p>
        </w:tc>
        <w:tc>
          <w:tcPr>
            <w:tcW w:w="1160" w:type="dxa"/>
            <w:vAlign w:val="bottom"/>
            <w:gridSpan w:val="2"/>
            <w:shd w:val="clear" w:color="auto" w:fill="CFF0FC"/>
          </w:tcPr>
          <w:p>
            <w:pPr>
              <w:jc w:val="right"/>
              <w:ind w:right="156"/>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11</w:t>
            </w:r>
          </w:p>
        </w:tc>
      </w:tr>
      <w:tr>
        <w:trPr>
          <w:trHeight w:val="223"/>
        </w:trPr>
        <w:tc>
          <w:tcPr>
            <w:tcW w:w="2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76</w:t>
            </w:r>
          </w:p>
        </w:tc>
      </w:tr>
      <w:tr>
        <w:trPr>
          <w:trHeight w:val="223"/>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 income</w:t>
            </w: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Other income, net</w:t>
            </w: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156"/>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20" w:type="dxa"/>
            <w:vAlign w:val="bottom"/>
          </w:tcPr>
          <w:p>
            <w:pPr>
              <w:jc w:val="right"/>
              <w:ind w:right="1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w:t>
            </w:r>
          </w:p>
        </w:tc>
      </w:tr>
      <w:tr>
        <w:trPr>
          <w:trHeight w:val="209"/>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w:t>
            </w: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r>
      <w:tr>
        <w:trPr>
          <w:trHeight w:val="230"/>
        </w:trPr>
        <w:tc>
          <w:tcPr>
            <w:tcW w:w="2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106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w:t>
            </w:r>
          </w:p>
        </w:tc>
        <w:tc>
          <w:tcPr>
            <w:tcW w:w="1160" w:type="dxa"/>
            <w:vAlign w:val="bottom"/>
            <w:gridSpan w:val="2"/>
            <w:shd w:val="clear" w:color="auto" w:fill="CFF0FC"/>
          </w:tcPr>
          <w:p>
            <w:pPr>
              <w:jc w:val="right"/>
              <w:ind w:right="96"/>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96"/>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w:t>
            </w:r>
          </w:p>
        </w:tc>
      </w:tr>
      <w:tr>
        <w:trPr>
          <w:trHeight w:val="223"/>
        </w:trPr>
        <w:tc>
          <w:tcPr>
            <w:tcW w:w="2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225" w:lineRule="exact"/>
        <w:rPr>
          <w:sz w:val="20"/>
          <w:szCs w:val="20"/>
          <w:color w:val="auto"/>
        </w:rPr>
      </w:pPr>
    </w:p>
    <w:p>
      <w:pPr>
        <w:jc w:val="both"/>
        <w:ind w:right="60" w:firstLine="761"/>
        <w:spacing w:after="0" w:line="259" w:lineRule="auto"/>
        <w:rPr>
          <w:sz w:val="20"/>
          <w:szCs w:val="20"/>
          <w:color w:val="auto"/>
        </w:rPr>
      </w:pPr>
      <w:r>
        <w:rPr>
          <w:rFonts w:ascii="Arial" w:cs="Arial" w:eastAsia="Arial" w:hAnsi="Arial"/>
          <w:sz w:val="18"/>
          <w:szCs w:val="18"/>
          <w:color w:val="auto"/>
        </w:rPr>
        <w:t>Total revenue increased sequentially in each of the quarters presented primarily due to the growth from existing customers and the addition of new customers. We recognize revenue ratably over the terms of our subscription contracts. As a result, a substantial portion of the revenue we report in a period is attributable to orders we received during prior periods. Therefore, increases or decreases in new sales, customer expansion or renewals in a period may not be immediately reflected in revenue for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Cost of Revenue Trends</w:t>
      </w:r>
    </w:p>
    <w:p>
      <w:pPr>
        <w:spacing w:after="0" w:line="225" w:lineRule="exact"/>
        <w:rPr>
          <w:sz w:val="20"/>
          <w:szCs w:val="20"/>
          <w:color w:val="auto"/>
        </w:rPr>
      </w:pPr>
    </w:p>
    <w:p>
      <w:pPr>
        <w:ind w:right="100" w:firstLine="761"/>
        <w:spacing w:after="0" w:line="277" w:lineRule="auto"/>
        <w:rPr>
          <w:sz w:val="20"/>
          <w:szCs w:val="20"/>
          <w:color w:val="auto"/>
        </w:rPr>
      </w:pPr>
      <w:r>
        <w:rPr>
          <w:rFonts w:ascii="Arial" w:cs="Arial" w:eastAsia="Arial" w:hAnsi="Arial"/>
          <w:sz w:val="18"/>
          <w:szCs w:val="18"/>
          <w:color w:val="auto"/>
        </w:rPr>
        <w:t>Our quarterly cost of revenue has generally increased quarter-over-quarter in each period presented above primarily as a result of third-party cloud infrastructure hosting and software costs, as well as increased headcount, which resulted in increased personnel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Gross Margin Trends</w:t>
      </w:r>
    </w:p>
    <w:p>
      <w:pPr>
        <w:spacing w:after="0" w:line="225" w:lineRule="exact"/>
        <w:rPr>
          <w:sz w:val="20"/>
          <w:szCs w:val="20"/>
          <w:color w:val="auto"/>
        </w:rPr>
      </w:pPr>
    </w:p>
    <w:p>
      <w:pPr>
        <w:ind w:right="60" w:firstLine="761"/>
        <w:spacing w:after="0" w:line="277" w:lineRule="auto"/>
        <w:rPr>
          <w:sz w:val="20"/>
          <w:szCs w:val="20"/>
          <w:color w:val="auto"/>
        </w:rPr>
      </w:pPr>
      <w:r>
        <w:rPr>
          <w:rFonts w:ascii="Arial" w:cs="Arial" w:eastAsia="Arial" w:hAnsi="Arial"/>
          <w:sz w:val="18"/>
          <w:szCs w:val="18"/>
          <w:color w:val="auto"/>
        </w:rPr>
        <w:t>Our quarterly gross margins have fluctuated between 73% and 79% in each period presented. Our gross margins increased in the last three quarters ended December 31, 2019 as a result of better optimization of cloud spend.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Operating Expense Trends</w:t>
      </w:r>
    </w:p>
    <w:p>
      <w:pPr>
        <w:spacing w:after="0" w:line="225" w:lineRule="exact"/>
        <w:rPr>
          <w:sz w:val="20"/>
          <w:szCs w:val="20"/>
          <w:color w:val="auto"/>
        </w:rPr>
      </w:pPr>
    </w:p>
    <w:p>
      <w:pPr>
        <w:jc w:val="both"/>
        <w:ind w:right="180" w:firstLine="761"/>
        <w:spacing w:after="0" w:line="286" w:lineRule="auto"/>
        <w:rPr>
          <w:sz w:val="20"/>
          <w:szCs w:val="20"/>
          <w:color w:val="auto"/>
        </w:rPr>
      </w:pPr>
      <w:r>
        <w:rPr>
          <w:rFonts w:ascii="Arial" w:cs="Arial" w:eastAsia="Arial" w:hAnsi="Arial"/>
          <w:sz w:val="17"/>
          <w:szCs w:val="17"/>
          <w:color w:val="auto"/>
        </w:rPr>
        <w:t>Operating expenses have generally increased in each sequential quarter presented above primarily due to the increased headcount, infrastructure and related costs to support our growth. We intend to continue to make significant investments in research and development as we add features and enhance our platform. We also intend to invest in our sales and marketing organization to drive future revenue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Other Income, Net Trends</w:t>
      </w:r>
    </w:p>
    <w:p>
      <w:pPr>
        <w:spacing w:after="0" w:line="225" w:lineRule="exact"/>
        <w:rPr>
          <w:sz w:val="20"/>
          <w:szCs w:val="20"/>
          <w:color w:val="auto"/>
        </w:rPr>
      </w:pPr>
    </w:p>
    <w:p>
      <w:pPr>
        <w:ind w:right="420" w:firstLine="761"/>
        <w:spacing w:after="0" w:line="277" w:lineRule="auto"/>
        <w:rPr>
          <w:sz w:val="20"/>
          <w:szCs w:val="20"/>
          <w:color w:val="auto"/>
        </w:rPr>
      </w:pPr>
      <w:r>
        <w:rPr>
          <w:rFonts w:ascii="Arial" w:cs="Arial" w:eastAsia="Arial" w:hAnsi="Arial"/>
          <w:sz w:val="18"/>
          <w:szCs w:val="18"/>
          <w:color w:val="auto"/>
        </w:rPr>
        <w:t>Other income, net stayed flat over the seven quarters ended September 30, 2019. During the last quarter ended December 31, 2019, we earned interest income from investments in money market funds and marketable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761"/>
        <w:spacing w:after="0" w:line="259" w:lineRule="auto"/>
        <w:rPr>
          <w:sz w:val="20"/>
          <w:szCs w:val="20"/>
          <w:color w:val="auto"/>
        </w:rPr>
      </w:pPr>
      <w:r>
        <w:rPr>
          <w:rFonts w:ascii="Arial" w:cs="Arial" w:eastAsia="Arial" w:hAnsi="Arial"/>
          <w:sz w:val="18"/>
          <w:szCs w:val="18"/>
          <w:color w:val="auto"/>
        </w:rPr>
        <w:t>Since inception, we have financed operations primarily through sales of subscriptions and the net proceeds we have received from sales of equity securities as further detailed below. Our cash and cash equivalents primarily consist of bank deposits and money market funds. Our marketable securities consist of U.S. government treasury securities, commercial paper and corporate bonds. As of December 31, 2019, we had cash and cash equivalents of $597.3 million and marketable securities of $176.7 million.</w:t>
      </w:r>
    </w:p>
    <w:p>
      <w:pPr>
        <w:spacing w:after="0" w:line="187" w:lineRule="exact"/>
        <w:rPr>
          <w:sz w:val="20"/>
          <w:szCs w:val="20"/>
          <w:color w:val="auto"/>
        </w:rPr>
      </w:pPr>
    </w:p>
    <w:p>
      <w:pPr>
        <w:ind w:right="280" w:firstLine="761"/>
        <w:spacing w:after="0" w:line="286" w:lineRule="auto"/>
        <w:rPr>
          <w:sz w:val="20"/>
          <w:szCs w:val="20"/>
          <w:color w:val="auto"/>
        </w:rPr>
      </w:pPr>
      <w:r>
        <w:rPr>
          <w:rFonts w:ascii="Arial" w:cs="Arial" w:eastAsia="Arial" w:hAnsi="Arial"/>
          <w:sz w:val="17"/>
          <w:szCs w:val="17"/>
          <w:color w:val="auto"/>
        </w:rPr>
        <w:t>In September 2019, we closed our IPO of 27,600,000 shares of our Class A common stock at an offering price of $27.00 per share, including 3,600,000 shares pursuant to the underwriters’ option to purchase shares of our Class A common stock, resulting in aggregate net proceeds to us of $705.9 million after deducting underwriting discounts and commissions of $37.3 million and net offering expenses of $2.0 million.</w:t>
      </w:r>
    </w:p>
    <w:p>
      <w:pPr>
        <w:spacing w:after="0" w:line="166" w:lineRule="exact"/>
        <w:rPr>
          <w:sz w:val="20"/>
          <w:szCs w:val="20"/>
          <w:color w:val="auto"/>
        </w:rPr>
      </w:pPr>
    </w:p>
    <w:p>
      <w:pPr>
        <w:ind w:right="20" w:firstLine="761"/>
        <w:spacing w:after="0" w:line="290" w:lineRule="auto"/>
        <w:rPr>
          <w:sz w:val="20"/>
          <w:szCs w:val="20"/>
          <w:color w:val="auto"/>
        </w:rPr>
      </w:pPr>
      <w:r>
        <w:rPr>
          <w:rFonts w:ascii="Arial" w:cs="Arial" w:eastAsia="Arial" w:hAnsi="Arial"/>
          <w:sz w:val="16"/>
          <w:szCs w:val="16"/>
          <w:color w:val="auto"/>
        </w:rPr>
        <w:t>We believe that our existing cash and cash equivalents, marketable securities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customers, the expansion of sales and marketing activities, the timing and extent of spending to support development efforts, the introduction of new and enhanced products, and the continuing market adoption of our platform. 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66" w:lineRule="exact"/>
        <w:rPr>
          <w:sz w:val="20"/>
          <w:szCs w:val="20"/>
          <w:color w:val="auto"/>
        </w:rPr>
      </w:pPr>
    </w:p>
    <w:p>
      <w:pPr>
        <w:ind w:right="380" w:firstLine="761"/>
        <w:spacing w:after="0" w:line="279" w:lineRule="auto"/>
        <w:rPr>
          <w:sz w:val="20"/>
          <w:szCs w:val="20"/>
          <w:color w:val="auto"/>
        </w:rPr>
      </w:pPr>
      <w:r>
        <w:rPr>
          <w:rFonts w:ascii="Arial" w:cs="Arial" w:eastAsia="Arial" w:hAnsi="Arial"/>
          <w:sz w:val="17"/>
          <w:szCs w:val="17"/>
          <w:color w:val="auto"/>
        </w:rPr>
        <w:t>A substantial source of our cash from operations is from our deferred revenue, which is included in the liabilities section of our consolidated balance sheet. Deferred revenue consists of the unearned portion of customer billings, which is recognized as revenue in accordance with our revenue recognition policy. As of December 31, 2019, we had deferred revenue of $138.5 million, of which $134.1 million was recorded as a current liability and expected to be recognized as revenue in the next 12 months, provided all other revenue recognition criteria have been met.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35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57"/>
              <w:spacing w:after="0" w:line="155"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2017</w:t>
            </w: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jc w:val="center"/>
              <w:ind w:right="25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operating activities</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24,234</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10,829</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13,832</w:t>
            </w: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96"/>
              <w:spacing w:after="0"/>
              <w:rPr>
                <w:sz w:val="20"/>
                <w:szCs w:val="20"/>
                <w:color w:val="auto"/>
              </w:rPr>
            </w:pPr>
            <w:r>
              <w:rPr>
                <w:rFonts w:ascii="Arial" w:cs="Arial" w:eastAsia="Arial" w:hAnsi="Arial"/>
                <w:sz w:val="18"/>
                <w:szCs w:val="18"/>
                <w:color w:val="auto"/>
              </w:rPr>
              <w:t>(202,220)</w:t>
            </w:r>
          </w:p>
        </w:tc>
        <w:tc>
          <w:tcPr>
            <w:tcW w:w="1260" w:type="dxa"/>
            <w:vAlign w:val="bottom"/>
          </w:tcPr>
          <w:p>
            <w:pPr>
              <w:jc w:val="right"/>
              <w:ind w:right="57"/>
              <w:spacing w:after="0"/>
              <w:rPr>
                <w:sz w:val="20"/>
                <w:szCs w:val="20"/>
                <w:color w:val="auto"/>
              </w:rPr>
            </w:pPr>
            <w:r>
              <w:rPr>
                <w:rFonts w:ascii="Arial" w:cs="Arial" w:eastAsia="Arial" w:hAnsi="Arial"/>
                <w:sz w:val="18"/>
                <w:szCs w:val="18"/>
                <w:color w:val="auto"/>
              </w:rPr>
              <w:t>(17,456)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(12,760)</w:t>
            </w: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714,216</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7,782</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462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520" w:firstLine="761"/>
        <w:spacing w:after="0" w:line="286" w:lineRule="auto"/>
        <w:rPr>
          <w:sz w:val="20"/>
          <w:szCs w:val="20"/>
          <w:color w:val="auto"/>
        </w:rPr>
      </w:pPr>
      <w:r>
        <w:rPr>
          <w:rFonts w:ascii="Arial" w:cs="Arial" w:eastAsia="Arial" w:hAnsi="Arial"/>
          <w:sz w:val="17"/>
          <w:szCs w:val="17"/>
          <w:color w:val="auto"/>
        </w:rPr>
        <w:t>Our largest source of operating cash is cash collection from sales of subscriptions to our customers. Our primary uses of cash from operating activities are for personnel expenses, marketing expenses, hosting expenses and overhead expenses. We have generated positive cash flows and have supplemented working capital requirements through net proceeds from the sale of equity securities.</w:t>
      </w:r>
    </w:p>
    <w:p>
      <w:pPr>
        <w:spacing w:after="0" w:line="166" w:lineRule="exact"/>
        <w:rPr>
          <w:sz w:val="20"/>
          <w:szCs w:val="20"/>
          <w:color w:val="auto"/>
        </w:rPr>
      </w:pPr>
    </w:p>
    <w:p>
      <w:pPr>
        <w:ind w:firstLine="761"/>
        <w:spacing w:after="0" w:line="290" w:lineRule="auto"/>
        <w:rPr>
          <w:sz w:val="20"/>
          <w:szCs w:val="20"/>
          <w:color w:val="auto"/>
        </w:rPr>
      </w:pPr>
      <w:r>
        <w:rPr>
          <w:rFonts w:ascii="Arial" w:cs="Arial" w:eastAsia="Arial" w:hAnsi="Arial"/>
          <w:sz w:val="16"/>
          <w:szCs w:val="16"/>
          <w:color w:val="auto"/>
        </w:rPr>
        <w:t>Cash provided by operating activities for the fiscal year ended December 31, 2019 of $24.2 million was primarily related to our net loss of $16.7 million, adjusted for non-cash charges of $50.5 million and net cash outflows of $9.5 million provided by changes in our operating assets and liabilities. Non-cash charges primarily consisted of stock-based compensation, depreciation and amortization of property and equipment, amortization of capitalized software, amortization of acquired intangibles and amortization of deferred contract costs. The main drivers of the changes in operating assets and liabilities were related to a $67.8 million increase in deferred revenue, resulting primarily from increased billings for subscriptions, a $6.4 million increase in accrued expenses and other liabilities, and a $2.5 million increase in accounts payable. These amounts were partially offset by a $47.5 million increase in accounts receivable, net, due to increases in sales, a $20.1 million increase in deferred contract costs related to commissions paid on new bookings, a $10.0 million increase in prepaid expenses and other current assets, primarily driven by prepaid hosting services, and a $8.5 million increase in other assets.</w:t>
      </w:r>
    </w:p>
    <w:p>
      <w:pPr>
        <w:spacing w:after="0" w:line="166" w:lineRule="exact"/>
        <w:rPr>
          <w:sz w:val="20"/>
          <w:szCs w:val="20"/>
          <w:color w:val="auto"/>
        </w:rPr>
      </w:pPr>
    </w:p>
    <w:p>
      <w:pPr>
        <w:ind w:right="680" w:firstLine="761"/>
        <w:spacing w:after="0" w:line="277" w:lineRule="auto"/>
        <w:rPr>
          <w:sz w:val="20"/>
          <w:szCs w:val="20"/>
          <w:color w:val="auto"/>
        </w:rPr>
      </w:pPr>
      <w:r>
        <w:rPr>
          <w:rFonts w:ascii="Arial" w:cs="Arial" w:eastAsia="Arial" w:hAnsi="Arial"/>
          <w:sz w:val="18"/>
          <w:szCs w:val="18"/>
          <w:color w:val="auto"/>
        </w:rPr>
        <w:t>Cash provided by operating activities for the fiscal year ended December 31, 2018 of $10.8 million was primarily related to our net loss of $10.8 million, adjusted for non-cash charges of $14.4 million and net cash inflows of $7.2 million provided by changes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spacing w:after="0" w:line="255" w:lineRule="auto"/>
        <w:rPr>
          <w:sz w:val="20"/>
          <w:szCs w:val="20"/>
          <w:color w:val="auto"/>
        </w:rPr>
      </w:pPr>
      <w:r>
        <w:rPr>
          <w:rFonts w:ascii="Arial" w:cs="Arial" w:eastAsia="Arial" w:hAnsi="Arial"/>
          <w:sz w:val="18"/>
          <w:szCs w:val="18"/>
          <w:color w:val="auto"/>
        </w:rPr>
        <w:t>in our operating assets and liabilities. Non-cash charges primarily consisted of stock-based compensation, net of amounts capitalized, depreciation and amortization of property and equipment, amortization of capitalized software, and amortization of acquired intangibles. The main drivers of the changes in operating assets and liabilities were related to a $31.6 million increase in deferred revenue, resulting primarily from increased billings for subscriptions, a $7.2 million increase in accounts payable, and a $10.9 million increase in accrued expenses and other liabilities, due to an increase in headcount. These amounts were partially offset by a $25.3 million increase in accounts receivable, net, due to increases in sales, a $1.3 million increase in prepaid expenses and other current assets, primarily driven by prepaid hosting services, an $8.9 million increase in deferred contract costs related to commissions paid on new bookings, and a $7.0 million increase in other assets.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Cash provided by operating activities for the fiscal year ended December 31, 2017 of $13.8 million was primarily related to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$2.6 million, adjusted for non-cash charges of $7.4 million and net cash inflows of $9.0 million provided by changes in our operating assets and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Non-cash charges primarily consisted of stock-based compensation, net of amounts capitalized, depreciation and amortization of property and equipment,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capitalized software, and amortization of acquired intangibles. The main drivers of the changes in operating assets and liabilities were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related to a $29.8 million increase in deferred revenue, resulting primarily from increased billings for subscriptions, a $4.6 million increase in accounts</w:t>
      </w:r>
    </w:p>
    <w:p>
      <w:pPr>
        <w:spacing w:after="0" w:line="21"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payable, and a $2.9 million increase in accrued expenses and other liabilities, due to an increase in headcount. These amounts were partially offset by a $19.3 million increase in accounts receivable, net, due to increases in sales, a $4.3 million increase in prepaid expenses and other current assets, a $3.4 million increase in deferred contract costs related to commissions paid on new bookings, and a $1.5 million increase in other assets.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380" w:firstLine="761"/>
        <w:spacing w:after="0" w:line="312" w:lineRule="auto"/>
        <w:rPr>
          <w:sz w:val="20"/>
          <w:szCs w:val="20"/>
          <w:color w:val="auto"/>
        </w:rPr>
      </w:pPr>
      <w:r>
        <w:rPr>
          <w:rFonts w:ascii="Arial" w:cs="Arial" w:eastAsia="Arial" w:hAnsi="Arial"/>
          <w:sz w:val="16"/>
          <w:szCs w:val="16"/>
          <w:color w:val="auto"/>
        </w:rPr>
        <w:t>Cash used in investing activities for the years ended December 31, 2019, 2018 and 2017 was $202.2 million, $17.5 million and $12.8 million, respectively, and was primarily the result of investment in marketable securities, increases in capital expenditures to purchase property and equipment to support additional office space and site operations, increases in capitalization of software development costs and increases in acquired intangibles.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60" w:firstLine="761"/>
        <w:spacing w:after="0" w:line="259" w:lineRule="auto"/>
        <w:rPr>
          <w:sz w:val="20"/>
          <w:szCs w:val="20"/>
          <w:color w:val="auto"/>
        </w:rPr>
      </w:pPr>
      <w:r>
        <w:rPr>
          <w:rFonts w:ascii="Arial" w:cs="Arial" w:eastAsia="Arial" w:hAnsi="Arial"/>
          <w:sz w:val="18"/>
          <w:szCs w:val="18"/>
          <w:color w:val="auto"/>
        </w:rPr>
        <w:t>Cash provided by financing activities for the year ended December 31, 2019 was $714.2 million and was primarily the result of aggregate net proceeds from our IPO in the amount of $706.3 million and proceeds from the exercise of stock options in the amount of $7.9 million. Cash provided by financing activities for the fiscal years ended December 31, 2018 and 2017 was $7.8 million and $0.5 million, respectively, and was primarily the result of proceeds from the exercise of stock options.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Non-GAAP Free Cash Flow</w:t>
      </w:r>
    </w:p>
    <w:p>
      <w:pPr>
        <w:spacing w:after="0" w:line="229" w:lineRule="exact"/>
        <w:rPr>
          <w:sz w:val="20"/>
          <w:szCs w:val="20"/>
          <w:color w:val="auto"/>
        </w:rPr>
      </w:pPr>
    </w:p>
    <w:p>
      <w:pPr>
        <w:ind w:firstLine="761"/>
        <w:spacing w:after="0" w:line="269" w:lineRule="auto"/>
        <w:rPr>
          <w:sz w:val="20"/>
          <w:szCs w:val="20"/>
          <w:color w:val="auto"/>
        </w:rPr>
      </w:pPr>
      <w:r>
        <w:rPr>
          <w:rFonts w:ascii="Arial" w:cs="Arial" w:eastAsia="Arial" w:hAnsi="Arial"/>
          <w:sz w:val="17"/>
          <w:szCs w:val="17"/>
          <w:color w:val="auto"/>
        </w:rPr>
        <w:t>We report our financial results in accordance with U.S. GAAP. To supplement our consolidated financial statements, we provide investors with the amount of free cash flow, which is a non-GAAP financial measure. Free cash flow represents net cash used in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 The following table presents a reconciliation of free cash flow to net cash used in operating activities, the most directly comparable GAAP measure, for each of the periods indicated.</w:t>
      </w:r>
    </w:p>
    <w:p>
      <w:pPr>
        <w:spacing w:after="0" w:line="180" w:lineRule="exact"/>
        <w:rPr>
          <w:sz w:val="20"/>
          <w:szCs w:val="20"/>
          <w:color w:val="auto"/>
        </w:rPr>
      </w:pPr>
    </w:p>
    <w:p>
      <w:pPr>
        <w:ind w:right="500" w:firstLine="761"/>
        <w:spacing w:after="0" w:line="277" w:lineRule="auto"/>
        <w:rPr>
          <w:sz w:val="20"/>
          <w:szCs w:val="20"/>
          <w:color w:val="auto"/>
        </w:rPr>
      </w:pPr>
      <w:r>
        <w:rPr>
          <w:rFonts w:ascii="Arial" w:cs="Arial" w:eastAsia="Arial" w:hAnsi="Arial"/>
          <w:sz w:val="18"/>
          <w:szCs w:val="18"/>
          <w:color w:val="auto"/>
        </w:rPr>
        <w:t>The following table presents our cash flows for the periods presented and a reconciliation of free cash flow to net cash provided by operating activities, the most directly comparable financial measure calculated in accordance with GAAP:</w:t>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center"/>
              <w:ind w:left="856"/>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36"/>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24,234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10,829</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13,832</w:t>
            </w:r>
          </w:p>
        </w:tc>
      </w:tr>
      <w:tr>
        <w:trPr>
          <w:trHeight w:val="230"/>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Less: Purchases of property and equipment</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(2,351)</w:t>
            </w: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Capitalized software development costs</w:t>
            </w:r>
          </w:p>
        </w:tc>
        <w:tc>
          <w:tcPr>
            <w:tcW w:w="7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(10,128)</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(5,452)</w:t>
            </w: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7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6,029</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679"/>
              <w:spacing w:after="0"/>
              <w:rPr>
                <w:sz w:val="20"/>
                <w:szCs w:val="20"/>
                <w:color w:val="auto"/>
              </w:rPr>
            </w:pPr>
            <w:r>
              <w:rPr>
                <w:rFonts w:ascii="Arial" w:cs="Arial" w:eastAsia="Arial" w:hAnsi="Arial"/>
                <w:sz w:val="14"/>
                <w:szCs w:val="14"/>
                <w:b w:val="1"/>
                <w:bCs w:val="1"/>
                <w:color w:val="auto"/>
                <w:w w:val="91"/>
              </w:rPr>
              <w:t>Payments Due By Period</w:t>
            </w: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0"/>
              </w:rPr>
              <w:t>Less than 1</w:t>
            </w:r>
          </w:p>
        </w:tc>
        <w:tc>
          <w:tcPr>
            <w:tcW w:w="80" w:type="dxa"/>
            <w:vAlign w:val="bottom"/>
          </w:tcPr>
          <w:p>
            <w:pPr>
              <w:spacing w:after="0"/>
              <w:rPr>
                <w:sz w:val="11"/>
                <w:szCs w:val="11"/>
                <w:color w:val="auto"/>
              </w:rPr>
            </w:pPr>
          </w:p>
        </w:tc>
        <w:tc>
          <w:tcPr>
            <w:tcW w:w="108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3"/>
              </w:rPr>
              <w:t>1-3 Years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w w:val="99"/>
              </w:rPr>
              <w:t>3-5 Years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177"/>
              <w:spacing w:after="0" w:line="133" w:lineRule="exact"/>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Years</w:t>
            </w: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ind w:right="11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commitments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66,837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14,576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48,244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4,017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 commitments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213,229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74,875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138,354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280,066</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89,451</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186,598</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4,017</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761"/>
        <w:spacing w:after="0" w:line="257"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Our operating lease commitments relate primarily to our office space. The significant operating lease obligations relate to leases for our New York, Boston, Paris and Dublin office spaces. Purchase commitments relate mainly to hosting agreements as well as computer software used to facilitate our operations at the enterprise level.</w:t>
      </w:r>
    </w:p>
    <w:p>
      <w:pPr>
        <w:spacing w:after="0" w:line="229" w:lineRule="exact"/>
        <w:rPr>
          <w:sz w:val="20"/>
          <w:szCs w:val="20"/>
          <w:color w:val="auto"/>
        </w:rPr>
      </w:pPr>
    </w:p>
    <w:p>
      <w:pPr>
        <w:ind w:right="100" w:firstLine="761"/>
        <w:spacing w:after="0" w:line="277" w:lineRule="auto"/>
        <w:rPr>
          <w:sz w:val="20"/>
          <w:szCs w:val="20"/>
          <w:color w:val="auto"/>
        </w:rPr>
      </w:pPr>
      <w:r>
        <w:rPr>
          <w:rFonts w:ascii="Arial" w:cs="Arial" w:eastAsia="Arial" w:hAnsi="Arial"/>
          <w:sz w:val="18"/>
          <w:szCs w:val="18"/>
          <w:color w:val="auto"/>
        </w:rPr>
        <w:t>In January 2020, we entered into an agreement with Microsoft Azure, pursuant to which we are required to purchase an aggregate of at least $21.0 million of cloud services through January 2023. This agreement is not reflected in the table above.</w:t>
      </w:r>
    </w:p>
    <w:p>
      <w:pPr>
        <w:spacing w:after="0" w:line="197" w:lineRule="exact"/>
        <w:rPr>
          <w:sz w:val="20"/>
          <w:szCs w:val="20"/>
          <w:color w:val="auto"/>
        </w:rPr>
      </w:pPr>
    </w:p>
    <w:p>
      <w:pPr>
        <w:ind w:right="80" w:firstLine="761"/>
        <w:spacing w:after="0" w:line="257" w:lineRule="auto"/>
        <w:rPr>
          <w:sz w:val="20"/>
          <w:szCs w:val="20"/>
          <w:color w:val="auto"/>
        </w:rPr>
      </w:pPr>
      <w:r>
        <w:rPr>
          <w:rFonts w:ascii="Arial" w:cs="Arial" w:eastAsia="Arial" w:hAnsi="Arial"/>
          <w:sz w:val="18"/>
          <w:szCs w:val="18"/>
          <w:color w:val="auto"/>
        </w:rPr>
        <w:t>We have also excluded unrecognized tax benefits from the contractual obligations table above. A variety of factors could affect the timing of payments for the liabilities related to unrecognized tax benefits. Therefore, we cannot reasonably estimate the timing of such payments. We believe that these matters will likely not be resolved in the next 12 months and accordingly we have classified the estimated liability as non-current in the consolidated balance sheet. For further information see Note 12 in our Notes to Consolidated Financial Statements included in “Part II, Item 8. Financial Statements” of this Annual Report on Form 10-K.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500" w:firstLine="761"/>
        <w:spacing w:after="0" w:line="286" w:lineRule="auto"/>
        <w:rPr>
          <w:sz w:val="20"/>
          <w:szCs w:val="20"/>
          <w:color w:val="auto"/>
        </w:rPr>
      </w:pPr>
      <w:r>
        <w:rPr>
          <w:rFonts w:ascii="Arial" w:cs="Arial" w:eastAsia="Arial" w:hAnsi="Arial"/>
          <w:sz w:val="17"/>
          <w:szCs w:val="17"/>
          <w:color w:val="auto"/>
        </w:rPr>
        <w:t>As of December 31, 2019 we did not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761"/>
        <w:spacing w:after="0" w:line="259"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7" w:lineRule="exact"/>
        <w:rPr>
          <w:sz w:val="20"/>
          <w:szCs w:val="20"/>
          <w:color w:val="auto"/>
        </w:rPr>
      </w:pPr>
    </w:p>
    <w:p>
      <w:pPr>
        <w:ind w:right="180" w:firstLine="761"/>
        <w:spacing w:after="0" w:line="308" w:lineRule="auto"/>
        <w:rPr>
          <w:sz w:val="20"/>
          <w:szCs w:val="20"/>
          <w:color w:val="auto"/>
        </w:rPr>
      </w:pPr>
      <w:r>
        <w:rPr>
          <w:rFonts w:ascii="Arial" w:cs="Arial" w:eastAsia="Arial" w:hAnsi="Arial"/>
          <w:sz w:val="17"/>
          <w:szCs w:val="17"/>
          <w:color w:val="auto"/>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761"/>
        <w:spacing w:after="0" w:line="273" w:lineRule="auto"/>
        <w:rPr>
          <w:sz w:val="20"/>
          <w:szCs w:val="20"/>
          <w:color w:val="auto"/>
        </w:rPr>
      </w:pPr>
      <w:r>
        <w:rPr>
          <w:rFonts w:ascii="Arial" w:cs="Arial" w:eastAsia="Arial" w:hAnsi="Arial"/>
          <w:sz w:val="17"/>
          <w:szCs w:val="17"/>
          <w:color w:val="auto"/>
        </w:rPr>
        <w:t>We generate revenue from the sale of subscriptions to customers using our cloud-based platform. The terms of our subscription agreements 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78" w:lineRule="exact"/>
        <w:rPr>
          <w:sz w:val="20"/>
          <w:szCs w:val="20"/>
          <w:color w:val="auto"/>
        </w:rPr>
      </w:pPr>
    </w:p>
    <w:p>
      <w:pPr>
        <w:ind w:right="260" w:firstLine="761"/>
        <w:spacing w:after="0" w:line="264" w:lineRule="auto"/>
        <w:rPr>
          <w:sz w:val="20"/>
          <w:szCs w:val="20"/>
          <w:color w:val="auto"/>
        </w:rPr>
      </w:pPr>
      <w:r>
        <w:rPr>
          <w:rFonts w:ascii="Arial" w:cs="Arial" w:eastAsia="Arial" w:hAnsi="Arial"/>
          <w:sz w:val="18"/>
          <w:szCs w:val="18"/>
          <w:color w:val="auto"/>
        </w:rPr>
        <w:t xml:space="preserve">We elected to early adopt Financial Accounting Standards Board, Accounting Standards Codification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or Topic 606, effective January 1, 2017, using the full retrospective method of adoption. As such, the consolidated financial statements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 accordance with Topic 606 for the period presented.</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account for revenue contracts with customers through the following steps:</w:t>
      </w:r>
    </w:p>
    <w:p>
      <w:pPr>
        <w:spacing w:after="0" w:line="117" w:lineRule="exact"/>
        <w:rPr>
          <w:sz w:val="20"/>
          <w:szCs w:val="20"/>
          <w:color w:val="auto"/>
        </w:rPr>
      </w:pPr>
    </w:p>
    <w:p>
      <w:pPr>
        <w:ind w:left="1140" w:hanging="376"/>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recognize revenue when or as, we satisfy a performance obligation.</w:t>
      </w:r>
    </w:p>
    <w:p>
      <w:pPr>
        <w:spacing w:after="0" w:line="225" w:lineRule="exact"/>
        <w:rPr>
          <w:sz w:val="20"/>
          <w:szCs w:val="20"/>
          <w:color w:val="auto"/>
        </w:rPr>
      </w:pPr>
    </w:p>
    <w:p>
      <w:pPr>
        <w:ind w:right="80" w:firstLine="761"/>
        <w:spacing w:after="0" w:line="302" w:lineRule="auto"/>
        <w:rPr>
          <w:sz w:val="20"/>
          <w:szCs w:val="20"/>
          <w:color w:val="auto"/>
        </w:rPr>
      </w:pPr>
      <w:r>
        <w:rPr>
          <w:rFonts w:ascii="Arial" w:cs="Arial" w:eastAsia="Arial" w:hAnsi="Arial"/>
          <w:sz w:val="16"/>
          <w:szCs w:val="16"/>
          <w:color w:val="auto"/>
        </w:rPr>
        <w:t>Our subscriptions are generally non-cancellable. Once we have determined the transaction price, the total transaction price is allocated to each performance obligation in the contract on a relative stand-alone selling price basis, or SSP. The determination of a relative stand-alone SSP for each distinct performance obligation requires judgment. We determine SSP for performance obligations based on overall pricing objectives, which take into consideration market conditions and customer-specific factors. This includes a review of internal discounting tables, the service(s) being sold, and customer demographics.</w:t>
      </w:r>
    </w:p>
    <w:p>
      <w:pPr>
        <w:spacing w:after="0" w:line="154" w:lineRule="exact"/>
        <w:rPr>
          <w:sz w:val="20"/>
          <w:szCs w:val="20"/>
          <w:color w:val="auto"/>
        </w:rPr>
      </w:pPr>
    </w:p>
    <w:p>
      <w:pPr>
        <w:ind w:right="120" w:firstLine="761"/>
        <w:spacing w:after="0" w:line="286" w:lineRule="auto"/>
        <w:rPr>
          <w:sz w:val="20"/>
          <w:szCs w:val="20"/>
          <w:color w:val="auto"/>
        </w:rPr>
      </w:pPr>
      <w:r>
        <w:rPr>
          <w:rFonts w:ascii="Arial" w:cs="Arial" w:eastAsia="Arial" w:hAnsi="Arial"/>
          <w:sz w:val="17"/>
          <w:szCs w:val="17"/>
          <w:color w:val="auto"/>
        </w:rPr>
        <w:t>Revenue is recognized when control of these services is transferred to customers, in an amount that reflects the consideration we expect to be entitled to receive in exchange for those services. We determined an output method to be the most appropriate measure of progress because it most faithfully represents when the value of the services are simultaneously received and consumed by the customer, and control is transferred.</w:t>
      </w:r>
    </w:p>
    <w:p>
      <w:pPr>
        <w:spacing w:after="0" w:line="166" w:lineRule="exact"/>
        <w:rPr>
          <w:sz w:val="20"/>
          <w:szCs w:val="20"/>
          <w:color w:val="auto"/>
        </w:rPr>
      </w:pPr>
    </w:p>
    <w:p>
      <w:pPr>
        <w:jc w:val="both"/>
        <w:ind w:right="60" w:firstLine="761"/>
        <w:spacing w:after="0" w:line="264" w:lineRule="auto"/>
        <w:rPr>
          <w:sz w:val="20"/>
          <w:szCs w:val="20"/>
          <w:color w:val="auto"/>
        </w:rPr>
      </w:pPr>
      <w:r>
        <w:rPr>
          <w:rFonts w:ascii="Arial" w:cs="Arial" w:eastAsia="Arial" w:hAnsi="Arial"/>
          <w:sz w:val="18"/>
          <w:szCs w:val="18"/>
          <w:color w:val="auto"/>
        </w:rPr>
        <w:t>For committed contractual amounts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we recognize revenue as the services are rendered.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80" w:firstLine="761"/>
        <w:spacing w:after="0" w:line="291" w:lineRule="auto"/>
        <w:rPr>
          <w:sz w:val="20"/>
          <w:szCs w:val="20"/>
          <w:color w:val="auto"/>
        </w:rPr>
      </w:pPr>
      <w:r>
        <w:rPr>
          <w:rFonts w:ascii="Arial" w:cs="Arial" w:eastAsia="Arial" w:hAnsi="Arial"/>
          <w:sz w:val="16"/>
          <w:szCs w:val="16"/>
          <w:color w:val="auto"/>
        </w:rPr>
        <w:t xml:space="preserve">We account for stock-based compensation expense related to stock-based awards based on the estimated fair value of the award on the grant date. We historically issued options to purchase shares of our common stock under our 2012 equity incentive plan, or the 2012 Plan. Following the IPO, we ceased granting awards under the 2012 Plan, and all shares that remained available for issuance under the 2012 Plan at that time were transferred to our 2019 equity incentive plan, or the 2019 Plan. Under the 2019 Plan, we may grant stock options, stock appreciation rights, restricted stock awards, restricted stock units, or RSUs, and performance-based and other awards, each valued or based on </w:t>
      </w:r>
      <w:r>
        <w:rPr>
          <w:rFonts w:ascii="Arial" w:cs="Arial" w:eastAsia="Arial" w:hAnsi="Arial"/>
          <w:sz w:val="16"/>
          <w:szCs w:val="16"/>
          <w:color w:val="231F20"/>
        </w:rPr>
        <w:t>our</w:t>
      </w:r>
      <w:r>
        <w:rPr>
          <w:rFonts w:ascii="Arial" w:cs="Arial" w:eastAsia="Arial" w:hAnsi="Arial"/>
          <w:sz w:val="16"/>
          <w:szCs w:val="16"/>
          <w:color w:val="auto"/>
        </w:rPr>
        <w:t xml:space="preserve"> Class A common stock, to our employees, </w:t>
      </w:r>
      <w:r>
        <w:rPr>
          <w:rFonts w:ascii="Arial" w:cs="Arial" w:eastAsia="Arial" w:hAnsi="Arial"/>
          <w:sz w:val="16"/>
          <w:szCs w:val="16"/>
          <w:color w:val="231F20"/>
        </w:rPr>
        <w:t>directors,</w:t>
      </w:r>
      <w:r>
        <w:rPr>
          <w:rFonts w:ascii="Arial" w:cs="Arial" w:eastAsia="Arial" w:hAnsi="Arial"/>
          <w:sz w:val="16"/>
          <w:szCs w:val="16"/>
          <w:color w:val="auto"/>
        </w:rPr>
        <w:t xml:space="preserve"> consultants, and advisors. Through December 31, 2019, we have only issued stock options and RSUs in connection with the 2012 Plan and 2019 Plan. For further information see Note 11 in our Notes to Consolidated Financial Statements included in “Part II, Item 8. Financial Statements” of this Annual Report on Form 10-K.</w:t>
      </w:r>
    </w:p>
    <w:p>
      <w:pPr>
        <w:spacing w:after="0" w:line="167" w:lineRule="exact"/>
        <w:rPr>
          <w:sz w:val="20"/>
          <w:szCs w:val="20"/>
          <w:color w:val="auto"/>
        </w:rPr>
      </w:pPr>
    </w:p>
    <w:p>
      <w:pPr>
        <w:ind w:right="60" w:firstLine="761"/>
        <w:spacing w:after="0" w:line="259" w:lineRule="auto"/>
        <w:rPr>
          <w:sz w:val="20"/>
          <w:szCs w:val="20"/>
          <w:color w:val="auto"/>
        </w:rPr>
      </w:pPr>
      <w:r>
        <w:rPr>
          <w:rFonts w:ascii="Arial" w:cs="Arial" w:eastAsia="Arial" w:hAnsi="Arial"/>
          <w:sz w:val="18"/>
          <w:szCs w:val="18"/>
          <w:color w:val="auto"/>
        </w:rPr>
        <w:t>Compensation expense related to stock-based transactions, including employee, consultant, and non-employee director stock option awards, is measured and recognized in the consolidated financial statements based on fair value. The fair value of each option award is estimated on the grant date using the Black Scholes option-pricing model. Expense is recognized on a straight-line basis over the vesting period of the award. Forfeitures are accounted for in the period in which the awards are forfeited.</w:t>
      </w:r>
    </w:p>
    <w:p>
      <w:pPr>
        <w:spacing w:after="0" w:line="187" w:lineRule="exact"/>
        <w:rPr>
          <w:sz w:val="20"/>
          <w:szCs w:val="20"/>
          <w:color w:val="auto"/>
        </w:rPr>
      </w:pPr>
    </w:p>
    <w:p>
      <w:pPr>
        <w:ind w:right="120" w:firstLine="761"/>
        <w:spacing w:after="0" w:line="257" w:lineRule="auto"/>
        <w:rPr>
          <w:sz w:val="20"/>
          <w:szCs w:val="20"/>
          <w:color w:val="auto"/>
        </w:rPr>
      </w:pPr>
      <w:r>
        <w:rPr>
          <w:rFonts w:ascii="Arial" w:cs="Arial" w:eastAsia="Arial" w:hAnsi="Arial"/>
          <w:sz w:val="18"/>
          <w:szCs w:val="18"/>
          <w:color w:val="auto"/>
        </w:rPr>
        <w:t>Our option-pricing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in our option-pricing model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These assumptions are estimated as follows:</w:t>
      </w:r>
    </w:p>
    <w:p>
      <w:pPr>
        <w:spacing w:after="0" w:line="117" w:lineRule="exact"/>
        <w:rPr>
          <w:sz w:val="20"/>
          <w:szCs w:val="20"/>
          <w:color w:val="auto"/>
        </w:rPr>
      </w:pPr>
    </w:p>
    <w:p>
      <w:pPr>
        <w:ind w:left="1140" w:right="20" w:hanging="376"/>
        <w:spacing w:after="0" w:line="289" w:lineRule="auto"/>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Fair value</w:t>
      </w:r>
      <w:r>
        <w:rPr>
          <w:rFonts w:ascii="Arial" w:cs="Arial" w:eastAsia="Arial" w:hAnsi="Arial"/>
          <w:sz w:val="16"/>
          <w:szCs w:val="16"/>
          <w:color w:val="auto"/>
        </w:rPr>
        <w:t>. Prior to our IPO, the fair value of common stock underlying the stock options had historically been determined by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with input from our management. Our Board of Directors previously determined the fair value of the common stock at the time of grant of the options by considering a number of objective and subjective factors, including </w:t>
      </w:r>
      <w:r>
        <w:rPr>
          <w:rFonts w:ascii="Arial" w:cs="Arial" w:eastAsia="Arial" w:hAnsi="Arial"/>
          <w:sz w:val="16"/>
          <w:szCs w:val="16"/>
          <w:color w:val="231F20"/>
        </w:rPr>
        <w:t>the results of contemporaneous independent third-party valuations of our common stock, the prices, rights, preferences, and privileges of our redeemable convertible Preferred Stock relative to those of our common stock, the prices of common or convertible preferred stock sold to third-party investors by us and in secondary transactions or repurchased by us in arm’s-length transactions, the lack of marketability of our common stock, actual operating and financial results, current business conditions and projections, the likelihood of achieving a liquidity event, such as an initial public offering or a merger or acquisition of our company given prevailing market conditions</w:t>
      </w:r>
      <w:r>
        <w:rPr>
          <w:rFonts w:ascii="Arial" w:cs="Arial" w:eastAsia="Arial" w:hAnsi="Arial"/>
          <w:sz w:val="16"/>
          <w:szCs w:val="16"/>
          <w:color w:val="000000"/>
        </w:rPr>
        <w:t>. Subsequent to our IPO, the fair value of the underlying</w:t>
      </w:r>
      <w:r>
        <w:rPr>
          <w:rFonts w:ascii="Arial" w:cs="Arial" w:eastAsia="Arial" w:hAnsi="Arial"/>
          <w:sz w:val="16"/>
          <w:szCs w:val="16"/>
          <w:color w:val="231F20"/>
        </w:rPr>
        <w:t xml:space="preserve"> </w:t>
      </w:r>
      <w:r>
        <w:rPr>
          <w:rFonts w:ascii="Arial" w:cs="Arial" w:eastAsia="Arial" w:hAnsi="Arial"/>
          <w:sz w:val="16"/>
          <w:szCs w:val="16"/>
          <w:color w:val="000000"/>
        </w:rPr>
        <w:t>common stock is determined by the closing price, on the date of grant, of our Class A common stock, as reported by the Nasdaq.</w:t>
      </w:r>
    </w:p>
    <w:p>
      <w:pPr>
        <w:spacing w:after="0" w:line="58" w:lineRule="exact"/>
        <w:rPr>
          <w:rFonts w:ascii="Arial" w:cs="Arial" w:eastAsia="Arial" w:hAnsi="Arial"/>
          <w:sz w:val="16"/>
          <w:szCs w:val="16"/>
          <w:color w:val="auto"/>
        </w:rPr>
      </w:pPr>
    </w:p>
    <w:p>
      <w:pPr>
        <w:ind w:left="1140" w:right="80" w:hanging="376"/>
        <w:spacing w:after="0" w:line="312" w:lineRule="auto"/>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Expected volatility is a measure of the amount by which the stock price is expected to fluctuate. Since we do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trading history of our common stock, we estimate the expected volatility of our stock options at the grant date by taking the average historical volatility of a group of comparable publicly traded companies over a period equal to the expected life of the options.</w:t>
      </w:r>
    </w:p>
    <w:p>
      <w:pPr>
        <w:spacing w:after="0" w:line="38" w:lineRule="exact"/>
        <w:rPr>
          <w:rFonts w:ascii="Arial" w:cs="Arial" w:eastAsia="Arial" w:hAnsi="Arial"/>
          <w:sz w:val="16"/>
          <w:szCs w:val="16"/>
          <w:color w:val="auto"/>
        </w:rPr>
      </w:pPr>
    </w:p>
    <w:p>
      <w:pPr>
        <w:ind w:left="1140" w:right="20" w:hanging="376"/>
        <w:spacing w:after="0" w:line="259"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We determine the expected term based on the average period the stock options are expected to remain outstanding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78" w:lineRule="exact"/>
        <w:rPr>
          <w:rFonts w:ascii="Arial" w:cs="Arial" w:eastAsia="Arial" w:hAnsi="Arial"/>
          <w:sz w:val="18"/>
          <w:szCs w:val="18"/>
          <w:color w:val="auto"/>
        </w:rPr>
      </w:pPr>
    </w:p>
    <w:p>
      <w:pPr>
        <w:ind w:left="1140" w:hanging="376"/>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Risk-free rate</w:t>
      </w:r>
      <w:r>
        <w:rPr>
          <w:rFonts w:ascii="Arial" w:cs="Arial" w:eastAsia="Arial" w:hAnsi="Arial"/>
          <w:sz w:val="18"/>
          <w:szCs w:val="18"/>
          <w:color w:val="auto"/>
        </w:rPr>
        <w:t>. We use the U.S. Treasury yield for our risk-free interest rate that corresponds with the expected term.</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 We utilize a dividend yield of zero, as we do not currently issue dividends, nor do we expect to do so in the future.</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assumptions were used to calculate the fair value of stock options granted to employees: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23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080" w:type="dxa"/>
            <w:vAlign w:val="bottom"/>
            <w:tcBorders>
              <w:bottom w:val="single" w:sz="8" w:color="CFF0FC"/>
            </w:tcBorders>
          </w:tcPr>
          <w:p>
            <w:pPr>
              <w:spacing w:after="0"/>
              <w:rPr>
                <w:sz w:val="13"/>
                <w:szCs w:val="13"/>
                <w:color w:val="auto"/>
              </w:rPr>
            </w:pPr>
          </w:p>
        </w:tc>
        <w:tc>
          <w:tcPr>
            <w:tcW w:w="2260" w:type="dxa"/>
            <w:vAlign w:val="bottom"/>
            <w:tcBorders>
              <w:bottom w:val="single" w:sz="8" w:color="auto"/>
            </w:tcBorders>
          </w:tcPr>
          <w:p>
            <w:pPr>
              <w:jc w:val="right"/>
              <w:ind w:right="9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160" w:type="dxa"/>
            <w:vAlign w:val="bottom"/>
            <w:tcBorders>
              <w:bottom w:val="single" w:sz="8" w:color="auto"/>
            </w:tcBorders>
          </w:tcPr>
          <w:p>
            <w:pPr>
              <w:jc w:val="right"/>
              <w:ind w:right="91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300" w:type="dxa"/>
            <w:vAlign w:val="bottom"/>
            <w:tcBorders>
              <w:bottom w:val="single" w:sz="8" w:color="auto"/>
            </w:tcBorders>
          </w:tcPr>
          <w:p>
            <w:pPr>
              <w:jc w:val="right"/>
              <w:ind w:right="994"/>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2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3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Expected volatility</w:t>
            </w:r>
          </w:p>
        </w:tc>
        <w:tc>
          <w:tcPr>
            <w:tcW w:w="2260" w:type="dxa"/>
            <w:vAlign w:val="bottom"/>
          </w:tcPr>
          <w:p>
            <w:pPr>
              <w:jc w:val="right"/>
              <w:ind w:right="33"/>
              <w:spacing w:after="0"/>
              <w:rPr>
                <w:sz w:val="20"/>
                <w:szCs w:val="20"/>
                <w:color w:val="auto"/>
              </w:rPr>
            </w:pPr>
            <w:r>
              <w:rPr>
                <w:rFonts w:ascii="Arial" w:cs="Arial" w:eastAsia="Arial" w:hAnsi="Arial"/>
                <w:sz w:val="18"/>
                <w:szCs w:val="18"/>
                <w:color w:val="auto"/>
              </w:rPr>
              <w:t>38.9% - 39.5%</w:t>
            </w:r>
          </w:p>
        </w:tc>
        <w:tc>
          <w:tcPr>
            <w:tcW w:w="240" w:type="dxa"/>
            <w:vAlign w:val="bottom"/>
          </w:tcPr>
          <w:p>
            <w:pPr>
              <w:spacing w:after="0"/>
              <w:rPr>
                <w:sz w:val="19"/>
                <w:szCs w:val="19"/>
                <w:color w:val="auto"/>
              </w:rPr>
            </w:pPr>
          </w:p>
        </w:tc>
        <w:tc>
          <w:tcPr>
            <w:tcW w:w="2160" w:type="dxa"/>
            <w:vAlign w:val="bottom"/>
          </w:tcPr>
          <w:p>
            <w:pPr>
              <w:jc w:val="right"/>
              <w:ind w:right="36"/>
              <w:spacing w:after="0"/>
              <w:rPr>
                <w:sz w:val="20"/>
                <w:szCs w:val="20"/>
                <w:color w:val="auto"/>
              </w:rPr>
            </w:pPr>
            <w:r>
              <w:rPr>
                <w:rFonts w:ascii="Arial" w:cs="Arial" w:eastAsia="Arial" w:hAnsi="Arial"/>
                <w:sz w:val="18"/>
                <w:szCs w:val="18"/>
                <w:color w:val="auto"/>
              </w:rPr>
              <w:t>38.4% - 39.0%</w:t>
            </w:r>
          </w:p>
        </w:tc>
        <w:tc>
          <w:tcPr>
            <w:tcW w:w="240" w:type="dxa"/>
            <w:vAlign w:val="bottom"/>
          </w:tcPr>
          <w:p>
            <w:pPr>
              <w:spacing w:after="0"/>
              <w:rPr>
                <w:sz w:val="19"/>
                <w:szCs w:val="19"/>
                <w:color w:val="auto"/>
              </w:rPr>
            </w:pPr>
          </w:p>
        </w:tc>
        <w:tc>
          <w:tcPr>
            <w:tcW w:w="2300" w:type="dxa"/>
            <w:vAlign w:val="bottom"/>
          </w:tcPr>
          <w:p>
            <w:pPr>
              <w:jc w:val="right"/>
              <w:ind w:right="54"/>
              <w:spacing w:after="0"/>
              <w:rPr>
                <w:sz w:val="20"/>
                <w:szCs w:val="20"/>
                <w:color w:val="auto"/>
              </w:rPr>
            </w:pPr>
            <w:r>
              <w:rPr>
                <w:rFonts w:ascii="Arial" w:cs="Arial" w:eastAsia="Arial" w:hAnsi="Arial"/>
                <w:sz w:val="18"/>
                <w:szCs w:val="18"/>
                <w:color w:val="auto"/>
              </w:rPr>
              <w:t>37.1% - 38.8%</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2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5.2 - 6.3</w:t>
            </w:r>
          </w:p>
        </w:tc>
        <w:tc>
          <w:tcPr>
            <w:tcW w:w="24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5.8 - 6.1</w:t>
            </w:r>
          </w:p>
        </w:tc>
        <w:tc>
          <w:tcPr>
            <w:tcW w:w="240" w:type="dxa"/>
            <w:vAlign w:val="bottom"/>
            <w:shd w:val="clear" w:color="auto" w:fill="CFF0FC"/>
          </w:tcPr>
          <w:p>
            <w:pPr>
              <w:spacing w:after="0"/>
              <w:rPr>
                <w:sz w:val="19"/>
                <w:szCs w:val="19"/>
                <w:color w:val="auto"/>
              </w:rPr>
            </w:pPr>
          </w:p>
        </w:tc>
        <w:tc>
          <w:tcPr>
            <w:tcW w:w="23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5.1 - 6.1</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60" w:type="dxa"/>
            <w:vAlign w:val="bottom"/>
          </w:tcPr>
          <w:p>
            <w:pPr>
              <w:jc w:val="right"/>
              <w:ind w:right="33"/>
              <w:spacing w:after="0"/>
              <w:rPr>
                <w:sz w:val="20"/>
                <w:szCs w:val="20"/>
                <w:color w:val="auto"/>
              </w:rPr>
            </w:pPr>
            <w:r>
              <w:rPr>
                <w:rFonts w:ascii="Arial" w:cs="Arial" w:eastAsia="Arial" w:hAnsi="Arial"/>
                <w:sz w:val="18"/>
                <w:szCs w:val="18"/>
                <w:color w:val="auto"/>
              </w:rPr>
              <w:t>1.4% -2.6%</w:t>
            </w:r>
          </w:p>
        </w:tc>
        <w:tc>
          <w:tcPr>
            <w:tcW w:w="240" w:type="dxa"/>
            <w:vAlign w:val="bottom"/>
          </w:tcPr>
          <w:p>
            <w:pPr>
              <w:spacing w:after="0"/>
              <w:rPr>
                <w:sz w:val="20"/>
                <w:szCs w:val="20"/>
                <w:color w:val="auto"/>
              </w:rPr>
            </w:pPr>
          </w:p>
        </w:tc>
        <w:tc>
          <w:tcPr>
            <w:tcW w:w="2160" w:type="dxa"/>
            <w:vAlign w:val="bottom"/>
          </w:tcPr>
          <w:p>
            <w:pPr>
              <w:jc w:val="right"/>
              <w:ind w:right="36"/>
              <w:spacing w:after="0"/>
              <w:rPr>
                <w:sz w:val="20"/>
                <w:szCs w:val="20"/>
                <w:color w:val="auto"/>
              </w:rPr>
            </w:pPr>
            <w:r>
              <w:rPr>
                <w:rFonts w:ascii="Arial" w:cs="Arial" w:eastAsia="Arial" w:hAnsi="Arial"/>
                <w:sz w:val="18"/>
                <w:szCs w:val="18"/>
                <w:color w:val="auto"/>
              </w:rPr>
              <w:t>2.6% - 3.0%</w:t>
            </w:r>
          </w:p>
        </w:tc>
        <w:tc>
          <w:tcPr>
            <w:tcW w:w="240" w:type="dxa"/>
            <w:vAlign w:val="bottom"/>
          </w:tcPr>
          <w:p>
            <w:pPr>
              <w:spacing w:after="0"/>
              <w:rPr>
                <w:sz w:val="20"/>
                <w:szCs w:val="20"/>
                <w:color w:val="auto"/>
              </w:rPr>
            </w:pPr>
          </w:p>
        </w:tc>
        <w:tc>
          <w:tcPr>
            <w:tcW w:w="2300" w:type="dxa"/>
            <w:vAlign w:val="bottom"/>
          </w:tcPr>
          <w:p>
            <w:pPr>
              <w:jc w:val="right"/>
              <w:ind w:right="54"/>
              <w:spacing w:after="0"/>
              <w:rPr>
                <w:sz w:val="20"/>
                <w:szCs w:val="20"/>
                <w:color w:val="auto"/>
              </w:rPr>
            </w:pPr>
            <w:r>
              <w:rPr>
                <w:rFonts w:ascii="Arial" w:cs="Arial" w:eastAsia="Arial" w:hAnsi="Arial"/>
                <w:sz w:val="18"/>
                <w:szCs w:val="18"/>
                <w:color w:val="auto"/>
              </w:rPr>
              <w:t>1.8% - 2.2%</w:t>
            </w:r>
          </w:p>
        </w:tc>
        <w:tc>
          <w:tcPr>
            <w:tcW w:w="580" w:type="dxa"/>
            <w:vAlign w:val="bottom"/>
          </w:tcPr>
          <w:p>
            <w:pPr>
              <w:spacing w:after="0"/>
              <w:rPr>
                <w:sz w:val="20"/>
                <w:szCs w:val="20"/>
                <w:color w:val="auto"/>
              </w:rPr>
            </w:pPr>
          </w:p>
        </w:tc>
      </w:tr>
      <w:tr>
        <w:trPr>
          <w:trHeight w:val="674"/>
        </w:trPr>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6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53" w:name="page54"/>
    <w:bookmarkEnd w:id="53"/>
    <w:p>
      <w:pPr>
        <w:ind w:right="160" w:firstLine="761"/>
        <w:spacing w:after="0" w:line="277" w:lineRule="auto"/>
        <w:rPr>
          <w:sz w:val="20"/>
          <w:szCs w:val="20"/>
          <w:color w:val="auto"/>
        </w:rPr>
      </w:pPr>
      <w:r>
        <w:rPr>
          <w:rFonts w:ascii="Arial" w:cs="Arial" w:eastAsia="Arial" w:hAnsi="Arial"/>
          <w:sz w:val="18"/>
          <w:szCs w:val="18"/>
          <w:color w:val="auto"/>
        </w:rPr>
        <w:t>Assumptions used in valuing non-employee stock options are generally consistent with those used for employee stock options with the exception that the expected term is over the contractual life, or 10 years.</w:t>
      </w:r>
    </w:p>
    <w:p>
      <w:pPr>
        <w:spacing w:after="0" w:line="170" w:lineRule="exact"/>
        <w:rPr>
          <w:sz w:val="20"/>
          <w:szCs w:val="20"/>
          <w:color w:val="auto"/>
        </w:rPr>
      </w:pPr>
    </w:p>
    <w:p>
      <w:pPr>
        <w:ind w:firstLine="761"/>
        <w:spacing w:after="0" w:line="257" w:lineRule="auto"/>
        <w:rPr>
          <w:sz w:val="20"/>
          <w:szCs w:val="20"/>
          <w:color w:val="auto"/>
        </w:rPr>
      </w:pPr>
      <w:r>
        <w:rPr>
          <w:rFonts w:ascii="Arial" w:cs="Arial" w:eastAsia="Arial" w:hAnsi="Arial"/>
          <w:sz w:val="18"/>
          <w:szCs w:val="18"/>
          <w:color w:val="auto"/>
        </w:rPr>
        <w:t xml:space="preserve">Prior to January 1, 2018, we estimated a forfeiture rate to calculate stock-based compensation. We adopted ASU No. 2016-09,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 (Topic 718)</w:t>
      </w:r>
      <w:r>
        <w:rPr>
          <w:rFonts w:ascii="Arial" w:cs="Arial" w:eastAsia="Arial" w:hAnsi="Arial"/>
          <w:sz w:val="18"/>
          <w:szCs w:val="18"/>
          <w:color w:val="auto"/>
        </w:rPr>
        <w:t>, effective January 1, 2018, and elected to account for forfeitures as they occur, rather than estimating expected forfeitures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over the course of a vesting period. We recognized a cumulative effect of $0.8 million to accumulated deficit as of January 1, 2018 upon adoption. </w:t>
      </w:r>
      <w:r>
        <w:rPr>
          <w:rFonts w:ascii="Arial" w:cs="Arial" w:eastAsia="Arial" w:hAnsi="Arial"/>
          <w:sz w:val="18"/>
          <w:szCs w:val="18"/>
          <w:color w:val="231F20"/>
        </w:rPr>
        <w:t>For further</w:t>
      </w:r>
      <w:r>
        <w:rPr>
          <w:rFonts w:ascii="Arial" w:cs="Arial" w:eastAsia="Arial" w:hAnsi="Arial"/>
          <w:sz w:val="18"/>
          <w:szCs w:val="18"/>
          <w:color w:val="auto"/>
        </w:rPr>
        <w:t xml:space="preserve"> </w:t>
      </w:r>
      <w:r>
        <w:rPr>
          <w:rFonts w:ascii="Arial" w:cs="Arial" w:eastAsia="Arial" w:hAnsi="Arial"/>
          <w:sz w:val="18"/>
          <w:szCs w:val="18"/>
          <w:color w:val="231F20"/>
        </w:rPr>
        <w:t xml:space="preserve">information see Note 2 </w:t>
      </w:r>
      <w:r>
        <w:rPr>
          <w:rFonts w:ascii="Arial" w:cs="Arial" w:eastAsia="Arial" w:hAnsi="Arial"/>
          <w:sz w:val="18"/>
          <w:szCs w:val="18"/>
          <w:color w:val="000000"/>
        </w:rPr>
        <w:t>in our Notes to Consolidated Financial Statements included in “Part II, Item 8. Financial Statements” of this Annual Report on Form</w:t>
      </w:r>
      <w:r>
        <w:rPr>
          <w:rFonts w:ascii="Arial" w:cs="Arial" w:eastAsia="Arial" w:hAnsi="Arial"/>
          <w:sz w:val="18"/>
          <w:szCs w:val="18"/>
          <w:color w:val="231F20"/>
        </w:rPr>
        <w:t xml:space="preserve"> </w:t>
      </w:r>
      <w:r>
        <w:rPr>
          <w:rFonts w:ascii="Arial" w:cs="Arial" w:eastAsia="Arial" w:hAnsi="Arial"/>
          <w:sz w:val="18"/>
          <w:szCs w:val="18"/>
          <w:color w:val="000000"/>
        </w:rPr>
        <w:t>10-K.</w:t>
      </w:r>
    </w:p>
    <w:p>
      <w:pPr>
        <w:spacing w:after="0" w:line="188" w:lineRule="exact"/>
        <w:rPr>
          <w:sz w:val="20"/>
          <w:szCs w:val="20"/>
          <w:color w:val="auto"/>
        </w:rPr>
      </w:pPr>
    </w:p>
    <w:p>
      <w:pPr>
        <w:ind w:right="40" w:firstLine="761"/>
        <w:spacing w:after="0" w:line="264"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have refinements to our estimates, which could materially impact our future stock-based compensation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225" w:lineRule="exact"/>
        <w:rPr>
          <w:sz w:val="20"/>
          <w:szCs w:val="20"/>
          <w:color w:val="auto"/>
        </w:rPr>
      </w:pPr>
    </w:p>
    <w:p>
      <w:pPr>
        <w:ind w:right="140" w:firstLine="761"/>
        <w:spacing w:after="0" w:line="290" w:lineRule="auto"/>
        <w:rPr>
          <w:sz w:val="20"/>
          <w:szCs w:val="20"/>
          <w:color w:val="auto"/>
        </w:rPr>
      </w:pPr>
      <w:r>
        <w:rPr>
          <w:rFonts w:ascii="Arial" w:cs="Arial" w:eastAsia="Arial" w:hAnsi="Arial"/>
          <w:sz w:val="16"/>
          <w:szCs w:val="16"/>
          <w:color w:val="auto"/>
        </w:rPr>
        <w:t>We capitalize certain costs related to the development of our platform and other software applications for internal use. In accordance with authoritative guidance, we begin to capitalize our costs to develop software when preliminary development efforts are successfully completed, management has authorized and committed project funding, and it is probable that the project will be completed and the software will be used as intended. We stop capitalizing these costs when the software is substantially complete and ready for its intended use, including the completion of all significant testing. These costs are amortized on a straight-line basis over the estimated useful life of the related asset, generally estimated to be two years. We also capitalize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our consolidated statements of operations.</w:t>
      </w:r>
    </w:p>
    <w:p>
      <w:pPr>
        <w:spacing w:after="0" w:line="166" w:lineRule="exact"/>
        <w:rPr>
          <w:sz w:val="20"/>
          <w:szCs w:val="20"/>
          <w:color w:val="auto"/>
        </w:rPr>
      </w:pPr>
    </w:p>
    <w:p>
      <w:pPr>
        <w:jc w:val="both"/>
        <w:ind w:right="20" w:firstLine="761"/>
        <w:spacing w:after="0" w:line="302" w:lineRule="auto"/>
        <w:rPr>
          <w:sz w:val="20"/>
          <w:szCs w:val="20"/>
          <w:color w:val="auto"/>
        </w:rPr>
      </w:pPr>
      <w:r>
        <w:rPr>
          <w:rFonts w:ascii="Arial" w:cs="Arial" w:eastAsia="Arial" w:hAnsi="Arial"/>
          <w:sz w:val="16"/>
          <w:szCs w:val="16"/>
          <w:color w:val="auto"/>
        </w:rPr>
        <w:t>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 estimated useful lives over which the costs are amortized, the amount of internal-use software development costs we capitalize and amortize could change in future periods.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180" w:firstLine="761"/>
        <w:spacing w:after="0" w:line="277" w:lineRule="auto"/>
        <w:rPr>
          <w:sz w:val="20"/>
          <w:szCs w:val="20"/>
          <w:color w:val="auto"/>
        </w:rPr>
      </w:pPr>
      <w:r>
        <w:rPr>
          <w:rFonts w:ascii="Arial" w:cs="Arial" w:eastAsia="Arial" w:hAnsi="Arial"/>
          <w:sz w:val="18"/>
          <w:szCs w:val="18"/>
          <w:color w:val="auto"/>
        </w:rPr>
        <w:t>See Note 2, in our Notes to Consolidated Financial Statements included in “Part II, Item 8. Financial Statements” of this Annual Report on Form 10-K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160" w:firstLine="761"/>
        <w:spacing w:after="0" w:line="273" w:lineRule="auto"/>
        <w:rPr>
          <w:sz w:val="20"/>
          <w:szCs w:val="20"/>
          <w:color w:val="auto"/>
        </w:rPr>
      </w:pPr>
      <w:r>
        <w:rPr>
          <w:rFonts w:ascii="Arial" w:cs="Arial" w:eastAsia="Arial" w:hAnsi="Arial"/>
          <w:sz w:val="17"/>
          <w:szCs w:val="17"/>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20" w:firstLine="761"/>
        <w:spacing w:after="0" w:line="264"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80" w:firstLine="761"/>
        <w:spacing w:after="0" w:line="255" w:lineRule="auto"/>
        <w:rPr>
          <w:sz w:val="20"/>
          <w:szCs w:val="20"/>
          <w:color w:val="auto"/>
        </w:rPr>
      </w:pPr>
      <w:r>
        <w:rPr>
          <w:rFonts w:ascii="Arial" w:cs="Arial" w:eastAsia="Arial" w:hAnsi="Arial"/>
          <w:sz w:val="18"/>
          <w:szCs w:val="18"/>
          <w:color w:val="auto"/>
        </w:rPr>
        <w:t>As of December 31, 2019, we had $588.8 million of cash equivalents invested in money market funds and marketable securities totaling $176.7 million. In addition, we had $3.9 million of restricted cash due to the outstanding letters of credit established in connection with lease agreements for our facilities. Our cash and cash equivalents are held for working capital purposes. We do not enter into investments for trading or speculative purposes. Our investments are exposed to market risk due to a fluctuation in interest rates, which may affect our interest income and the fair market value of our investments. As of December 31, 2019, a hypothetical 10% relative change in interest rates would not have a material impact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firstLine="761"/>
        <w:spacing w:after="0" w:line="291" w:lineRule="auto"/>
        <w:rPr>
          <w:sz w:val="20"/>
          <w:szCs w:val="20"/>
          <w:color w:val="auto"/>
        </w:rPr>
      </w:pPr>
      <w:r>
        <w:rPr>
          <w:rFonts w:ascii="Arial" w:cs="Arial" w:eastAsia="Arial" w:hAnsi="Arial"/>
          <w:sz w:val="16"/>
          <w:szCs w:val="16"/>
          <w:color w:val="auto"/>
        </w:rPr>
        <w:t>Our reporting currency and the functional currency of our wholly 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Canada, France, Ireland, the United Kingdom, Japan and Australia.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20" w:type="dxa"/>
            <w:vAlign w:val="bottom"/>
          </w:tcPr>
          <w:p>
            <w:pPr>
              <w:spacing w:after="0"/>
              <w:rPr>
                <w:sz w:val="14"/>
                <w:szCs w:val="14"/>
                <w:color w:val="auto"/>
              </w:rPr>
            </w:pPr>
          </w:p>
        </w:tc>
      </w:tr>
      <w:tr>
        <w:trPr>
          <w:trHeight w:val="210"/>
        </w:trPr>
        <w:tc>
          <w:tcPr>
            <w:tcW w:w="10520" w:type="dxa"/>
            <w:vAlign w:val="bottom"/>
            <w:gridSpan w:val="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Report of Independent Registered Public Accounting Firm</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0" w:type="dxa"/>
            <w:vAlign w:val="bottom"/>
          </w:tcPr>
          <w:p>
            <w:pPr>
              <w:spacing w:after="0"/>
              <w:rPr>
                <w:sz w:val="18"/>
                <w:szCs w:val="18"/>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Consolidated Balance Sheets as of December 31, 2019 and 2018</w:t>
              </w:r>
            </w:hyperlink>
          </w:p>
        </w:tc>
        <w:tc>
          <w:tcPr>
            <w:tcW w:w="5860" w:type="dxa"/>
            <w:vAlign w:val="bottom"/>
            <w:gridSpan w:val="5"/>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57</w:t>
            </w:r>
          </w:p>
        </w:tc>
        <w:tc>
          <w:tcPr>
            <w:tcW w:w="20" w:type="dxa"/>
            <w:vAlign w:val="bottom"/>
          </w:tcPr>
          <w:p>
            <w:pPr>
              <w:spacing w:after="0"/>
              <w:rPr>
                <w:sz w:val="17"/>
                <w:szCs w:val="17"/>
                <w:color w:val="auto"/>
              </w:rPr>
            </w:pPr>
          </w:p>
        </w:tc>
      </w:tr>
      <w:tr>
        <w:trPr>
          <w:trHeight w:val="196"/>
        </w:trPr>
        <w:tc>
          <w:tcPr>
            <w:tcW w:w="10520" w:type="dxa"/>
            <w:vAlign w:val="bottom"/>
            <w:gridSpan w:val="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Operations for the years ended December 31, 2019, 2018 and 2017</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58</w:t>
            </w:r>
          </w:p>
        </w:tc>
        <w:tc>
          <w:tcPr>
            <w:tcW w:w="20" w:type="dxa"/>
            <w:vAlign w:val="bottom"/>
          </w:tcPr>
          <w:p>
            <w:pPr>
              <w:spacing w:after="0"/>
              <w:rPr>
                <w:sz w:val="17"/>
                <w:szCs w:val="17"/>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520" w:type="dxa"/>
            <w:vAlign w:val="bottom"/>
            <w:gridSpan w:val="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Comprehensive Loss for the years ended December 31, 2019, 2018 and 2017</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59</w:t>
            </w:r>
          </w:p>
        </w:tc>
        <w:tc>
          <w:tcPr>
            <w:tcW w:w="20" w:type="dxa"/>
            <w:vAlign w:val="bottom"/>
          </w:tcPr>
          <w:p>
            <w:pPr>
              <w:spacing w:after="0"/>
              <w:rPr>
                <w:sz w:val="17"/>
                <w:szCs w:val="17"/>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520" w:type="dxa"/>
            <w:vAlign w:val="bottom"/>
            <w:gridSpan w:val="9"/>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Consolidated Statements of Convertible Preferred Stock and Stockholders’ Equity (Deficit) for the years ended December 31, 2019, 2018 and</w:t>
              </w:r>
            </w:hyperlink>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1">
              <w:r>
                <w:rPr>
                  <w:rFonts w:ascii="Arial" w:cs="Arial" w:eastAsia="Arial" w:hAnsi="Arial"/>
                  <w:sz w:val="18"/>
                  <w:szCs w:val="18"/>
                  <w:color w:val="0000EE"/>
                  <w:w w:val="84"/>
                </w:rPr>
                <w:t>2017</w:t>
              </w:r>
            </w:hyperlink>
          </w:p>
        </w:tc>
        <w:tc>
          <w:tcPr>
            <w:tcW w:w="28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60</w:t>
            </w:r>
          </w:p>
        </w:tc>
        <w:tc>
          <w:tcPr>
            <w:tcW w:w="20" w:type="dxa"/>
            <w:vAlign w:val="bottom"/>
          </w:tcPr>
          <w:p>
            <w:pPr>
              <w:spacing w:after="0"/>
              <w:rPr>
                <w:sz w:val="17"/>
                <w:szCs w:val="17"/>
                <w:color w:val="auto"/>
              </w:rPr>
            </w:pPr>
          </w:p>
        </w:tc>
      </w:tr>
      <w:tr>
        <w:trPr>
          <w:trHeight w:val="196"/>
        </w:trPr>
        <w:tc>
          <w:tcPr>
            <w:tcW w:w="69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Statements of Cash Flows for the years ended December 31, 2019, 2018 and 2017</w:t>
              </w:r>
            </w:hyperlink>
          </w:p>
        </w:tc>
        <w:tc>
          <w:tcPr>
            <w:tcW w:w="360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61</w:t>
            </w:r>
          </w:p>
        </w:tc>
        <w:tc>
          <w:tcPr>
            <w:tcW w:w="20" w:type="dxa"/>
            <w:vAlign w:val="bottom"/>
          </w:tcPr>
          <w:p>
            <w:pPr>
              <w:spacing w:after="0"/>
              <w:rPr>
                <w:sz w:val="17"/>
                <w:szCs w:val="17"/>
                <w:color w:val="auto"/>
              </w:rPr>
            </w:pPr>
          </w:p>
        </w:tc>
      </w:tr>
      <w:tr>
        <w:trPr>
          <w:trHeight w:val="196"/>
        </w:trPr>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Notes to Consolidated Financial Statements</w:t>
              </w:r>
            </w:hyperlink>
          </w:p>
        </w:tc>
        <w:tc>
          <w:tcPr>
            <w:tcW w:w="7360" w:type="dxa"/>
            <w:vAlign w:val="bottom"/>
            <w:gridSpan w:val="7"/>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62</w:t>
            </w:r>
          </w:p>
        </w:tc>
        <w:tc>
          <w:tcPr>
            <w:tcW w:w="20" w:type="dxa"/>
            <w:vAlign w:val="bottom"/>
          </w:tcPr>
          <w:p>
            <w:pPr>
              <w:spacing w:after="0"/>
              <w:rPr>
                <w:sz w:val="17"/>
                <w:szCs w:val="17"/>
                <w:color w:val="auto"/>
              </w:rPr>
            </w:pPr>
          </w:p>
        </w:tc>
      </w:tr>
      <w:tr>
        <w:trPr>
          <w:trHeight w:val="885"/>
        </w:trPr>
        <w:tc>
          <w:tcPr>
            <w:tcW w:w="6860" w:type="dxa"/>
            <w:vAlign w:val="bottom"/>
            <w:gridSpan w:val="5"/>
          </w:tcPr>
          <w:p>
            <w:pPr>
              <w:ind w:left="562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6" w:name="page57"/>
    <w:bookmarkEnd w:id="56"/>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Datadog,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the accompanying consolidated balance sheets of Datadog, Inc. and its subsidiaries (the “Company”), as of December 31, 2019 and 2018, and the related consolidated statements of operations, comprehensive loss, convertible preferred stock and stockholders’ equity (deficit),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discussed in Note 2 to the financial statements, effective January 1, 2019, the Company has adopted the FASB Accounting Standards Update 2016-02, Leases, using the modified retrospective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tcPr>
          <w:p>
            <w:pPr>
              <w:jc w:val="right"/>
              <w:ind w:right="40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2018</w:t>
            </w:r>
          </w:p>
        </w:tc>
      </w:tr>
      <w:tr>
        <w:trPr>
          <w:trHeight w:val="169"/>
        </w:trPr>
        <w:tc>
          <w:tcPr>
            <w:tcW w:w="788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ASSETS</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76"/>
        </w:trPr>
        <w:tc>
          <w:tcPr>
            <w:tcW w:w="7880" w:type="dxa"/>
            <w:vAlign w:val="bottom"/>
          </w:tcPr>
          <w:p>
            <w:pPr>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597,297</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53,639</w:t>
            </w:r>
          </w:p>
        </w:tc>
      </w:tr>
      <w:tr>
        <w:trPr>
          <w:trHeight w:val="176"/>
        </w:trPr>
        <w:tc>
          <w:tcPr>
            <w:tcW w:w="7880" w:type="dxa"/>
            <w:vAlign w:val="bottom"/>
          </w:tcPr>
          <w:p>
            <w:pPr>
              <w:ind w:left="260"/>
              <w:spacing w:after="0"/>
              <w:rPr>
                <w:sz w:val="20"/>
                <w:szCs w:val="20"/>
                <w:color w:val="auto"/>
              </w:rPr>
            </w:pPr>
            <w:r>
              <w:rPr>
                <w:rFonts w:ascii="Arial" w:cs="Arial" w:eastAsia="Arial" w:hAnsi="Arial"/>
                <w:sz w:val="15"/>
                <w:szCs w:val="15"/>
                <w:color w:val="auto"/>
              </w:rPr>
              <w:t>Marketable securities</w:t>
            </w: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176,674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w:t>
            </w:r>
          </w:p>
        </w:tc>
      </w:tr>
      <w:tr>
        <w:trPr>
          <w:trHeight w:val="162"/>
        </w:trPr>
        <w:tc>
          <w:tcPr>
            <w:tcW w:w="78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Accounts receivable, net of allowance for doubtful accounts of $817 and $477 as of December 31,</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75"/>
        </w:trPr>
        <w:tc>
          <w:tcPr>
            <w:tcW w:w="78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2019 and 2018, respectively</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102,394</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55,822</w:t>
            </w:r>
          </w:p>
        </w:tc>
      </w:tr>
      <w:tr>
        <w:trPr>
          <w:trHeight w:val="176"/>
        </w:trPr>
        <w:tc>
          <w:tcPr>
            <w:tcW w:w="7880" w:type="dxa"/>
            <w:vAlign w:val="bottom"/>
          </w:tcPr>
          <w:p>
            <w:pPr>
              <w:ind w:left="260"/>
              <w:spacing w:after="0"/>
              <w:rPr>
                <w:sz w:val="20"/>
                <w:szCs w:val="20"/>
                <w:color w:val="auto"/>
              </w:rPr>
            </w:pPr>
            <w:r>
              <w:rPr>
                <w:rFonts w:ascii="Arial" w:cs="Arial" w:eastAsia="Arial" w:hAnsi="Arial"/>
                <w:sz w:val="15"/>
                <w:szCs w:val="15"/>
                <w:color w:val="auto"/>
              </w:rPr>
              <w:t>Deferred contract costs, current</w:t>
            </w: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8,346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3,717</w:t>
            </w:r>
          </w:p>
        </w:tc>
      </w:tr>
      <w:tr>
        <w:trPr>
          <w:trHeight w:val="176"/>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22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19,231</w:t>
            </w:r>
          </w:p>
        </w:tc>
        <w:tc>
          <w:tcPr>
            <w:tcW w:w="1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8,773</w:t>
            </w:r>
          </w:p>
        </w:tc>
      </w:tr>
      <w:tr>
        <w:trPr>
          <w:trHeight w:val="169"/>
        </w:trPr>
        <w:tc>
          <w:tcPr>
            <w:tcW w:w="7880" w:type="dxa"/>
            <w:vAlign w:val="bottom"/>
          </w:tcPr>
          <w:p>
            <w:pPr>
              <w:ind w:left="500"/>
              <w:spacing w:after="0" w:line="169" w:lineRule="exact"/>
              <w:rPr>
                <w:sz w:val="20"/>
                <w:szCs w:val="20"/>
                <w:color w:val="auto"/>
              </w:rPr>
            </w:pPr>
            <w:r>
              <w:rPr>
                <w:rFonts w:ascii="Arial" w:cs="Arial" w:eastAsia="Arial" w:hAnsi="Arial"/>
                <w:sz w:val="15"/>
                <w:szCs w:val="15"/>
                <w:color w:val="auto"/>
              </w:rPr>
              <w:t>Total current assets</w:t>
            </w:r>
          </w:p>
        </w:tc>
        <w:tc>
          <w:tcPr>
            <w:tcW w:w="220" w:type="dxa"/>
            <w:vAlign w:val="bottom"/>
          </w:tcPr>
          <w:p>
            <w:pPr>
              <w:spacing w:after="0"/>
              <w:rPr>
                <w:sz w:val="14"/>
                <w:szCs w:val="14"/>
                <w:color w:val="auto"/>
              </w:rPr>
            </w:pPr>
          </w:p>
        </w:tc>
        <w:tc>
          <w:tcPr>
            <w:tcW w:w="1460" w:type="dxa"/>
            <w:vAlign w:val="bottom"/>
          </w:tcPr>
          <w:p>
            <w:pPr>
              <w:jc w:val="right"/>
              <w:ind w:right="44"/>
              <w:spacing w:after="0" w:line="169" w:lineRule="exact"/>
              <w:rPr>
                <w:sz w:val="20"/>
                <w:szCs w:val="20"/>
                <w:color w:val="auto"/>
              </w:rPr>
            </w:pPr>
            <w:r>
              <w:rPr>
                <w:rFonts w:ascii="Arial" w:cs="Arial" w:eastAsia="Arial" w:hAnsi="Arial"/>
                <w:sz w:val="15"/>
                <w:szCs w:val="15"/>
                <w:color w:val="auto"/>
              </w:rPr>
              <w:t>903,942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4"/>
              <w:spacing w:after="0" w:line="169" w:lineRule="exact"/>
              <w:rPr>
                <w:sz w:val="20"/>
                <w:szCs w:val="20"/>
                <w:color w:val="auto"/>
              </w:rPr>
            </w:pPr>
            <w:r>
              <w:rPr>
                <w:rFonts w:ascii="Arial" w:cs="Arial" w:eastAsia="Arial" w:hAnsi="Arial"/>
                <w:sz w:val="15"/>
                <w:szCs w:val="15"/>
                <w:color w:val="auto"/>
              </w:rPr>
              <w:t>121,951</w:t>
            </w:r>
          </w:p>
        </w:tc>
      </w:tr>
      <w:tr>
        <w:trPr>
          <w:trHeight w:val="176"/>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Property and equipment, net</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32,749</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21,649</w:t>
            </w:r>
          </w:p>
        </w:tc>
      </w:tr>
      <w:tr>
        <w:trPr>
          <w:trHeight w:val="176"/>
        </w:trPr>
        <w:tc>
          <w:tcPr>
            <w:tcW w:w="7880" w:type="dxa"/>
            <w:vAlign w:val="bottom"/>
          </w:tcPr>
          <w:p>
            <w:pPr>
              <w:ind w:left="260"/>
              <w:spacing w:after="0"/>
              <w:rPr>
                <w:sz w:val="20"/>
                <w:szCs w:val="20"/>
                <w:color w:val="auto"/>
              </w:rPr>
            </w:pPr>
            <w:r>
              <w:rPr>
                <w:rFonts w:ascii="Arial" w:cs="Arial" w:eastAsia="Arial" w:hAnsi="Arial"/>
                <w:sz w:val="15"/>
                <w:szCs w:val="15"/>
                <w:color w:val="auto"/>
              </w:rPr>
              <w:t>Operating lease assets</w:t>
            </w: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53,002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w:t>
            </w:r>
          </w:p>
        </w:tc>
      </w:tr>
      <w:tr>
        <w:trPr>
          <w:trHeight w:val="176"/>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Goodwill</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9,058</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7,626</w:t>
            </w:r>
          </w:p>
        </w:tc>
      </w:tr>
      <w:tr>
        <w:trPr>
          <w:trHeight w:val="176"/>
        </w:trPr>
        <w:tc>
          <w:tcPr>
            <w:tcW w:w="7880" w:type="dxa"/>
            <w:vAlign w:val="bottom"/>
          </w:tcPr>
          <w:p>
            <w:pPr>
              <w:ind w:left="260"/>
              <w:spacing w:after="0"/>
              <w:rPr>
                <w:sz w:val="20"/>
                <w:szCs w:val="20"/>
                <w:color w:val="auto"/>
              </w:rPr>
            </w:pPr>
            <w:r>
              <w:rPr>
                <w:rFonts w:ascii="Arial" w:cs="Arial" w:eastAsia="Arial" w:hAnsi="Arial"/>
                <w:sz w:val="15"/>
                <w:szCs w:val="15"/>
                <w:color w:val="auto"/>
              </w:rPr>
              <w:t>Intangible assets, net</w:t>
            </w: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1,435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1,288</w:t>
            </w:r>
          </w:p>
        </w:tc>
      </w:tr>
      <w:tr>
        <w:trPr>
          <w:trHeight w:val="176"/>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contract costs, non-current</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17,409</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7,292</w:t>
            </w:r>
          </w:p>
        </w:tc>
      </w:tr>
      <w:tr>
        <w:trPr>
          <w:trHeight w:val="176"/>
        </w:trPr>
        <w:tc>
          <w:tcPr>
            <w:tcW w:w="7880" w:type="dxa"/>
            <w:vAlign w:val="bottom"/>
          </w:tcPr>
          <w:p>
            <w:pPr>
              <w:ind w:left="26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3,456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11,341</w:t>
            </w:r>
          </w:p>
        </w:tc>
      </w:tr>
      <w:tr>
        <w:trPr>
          <w:trHeight w:val="176"/>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assets</w:t>
            </w:r>
          </w:p>
        </w:tc>
        <w:tc>
          <w:tcPr>
            <w:tcW w:w="22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16,990</w:t>
            </w:r>
          </w:p>
        </w:tc>
        <w:tc>
          <w:tcPr>
            <w:tcW w:w="1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8,603</w:t>
            </w:r>
          </w:p>
        </w:tc>
      </w:tr>
      <w:tr>
        <w:trPr>
          <w:trHeight w:val="209"/>
        </w:trPr>
        <w:tc>
          <w:tcPr>
            <w:tcW w:w="7880" w:type="dxa"/>
            <w:vAlign w:val="bottom"/>
            <w:tcBorders>
              <w:bottom w:val="single" w:sz="8" w:color="CFF0FC"/>
            </w:tcBorders>
          </w:tcPr>
          <w:p>
            <w:pPr>
              <w:ind w:left="260"/>
              <w:spacing w:after="0" w:line="169" w:lineRule="exact"/>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auto"/>
            </w:tcBorders>
          </w:tcPr>
          <w:p>
            <w:pPr>
              <w:jc w:val="right"/>
              <w:ind w:right="63"/>
              <w:spacing w:after="0" w:line="169" w:lineRule="exact"/>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1,038,041</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179,750</w:t>
            </w:r>
          </w:p>
        </w:tc>
      </w:tr>
      <w:tr>
        <w:trPr>
          <w:trHeight w:val="139"/>
        </w:trPr>
        <w:tc>
          <w:tcPr>
            <w:tcW w:w="7880" w:type="dxa"/>
            <w:vAlign w:val="bottom"/>
            <w:shd w:val="clear" w:color="auto" w:fill="CFF0FC"/>
          </w:tcPr>
          <w:p>
            <w:pPr>
              <w:spacing w:after="0" w:line="139" w:lineRule="exact"/>
              <w:rPr>
                <w:sz w:val="20"/>
                <w:szCs w:val="20"/>
                <w:color w:val="auto"/>
              </w:rPr>
            </w:pPr>
            <w:r>
              <w:rPr>
                <w:rFonts w:ascii="Arial" w:cs="Arial" w:eastAsia="Arial" w:hAnsi="Arial"/>
                <w:sz w:val="15"/>
                <w:szCs w:val="15"/>
                <w:b w:val="1"/>
                <w:bCs w:val="1"/>
                <w:color w:val="auto"/>
              </w:rPr>
              <w:t>LIABILITIES, CONVERTIBLE PREFERRED STOCK AND STOCKHOLDERS' EQUITY</w:t>
            </w: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r>
      <w:tr>
        <w:trPr>
          <w:trHeight w:val="179"/>
        </w:trPr>
        <w:tc>
          <w:tcPr>
            <w:tcW w:w="7880" w:type="dxa"/>
            <w:vAlign w:val="bottom"/>
            <w:shd w:val="clear" w:color="auto" w:fill="CFF0FC"/>
          </w:tcPr>
          <w:p>
            <w:pPr>
              <w:ind w:left="120"/>
              <w:spacing w:after="0"/>
              <w:rPr>
                <w:sz w:val="20"/>
                <w:szCs w:val="20"/>
                <w:color w:val="auto"/>
              </w:rPr>
            </w:pPr>
            <w:r>
              <w:rPr>
                <w:rFonts w:ascii="Arial" w:cs="Arial" w:eastAsia="Arial" w:hAnsi="Arial"/>
                <w:sz w:val="15"/>
                <w:szCs w:val="15"/>
                <w:b w:val="1"/>
                <w:bCs w:val="1"/>
                <w:color w:val="auto"/>
              </w:rPr>
              <w:t>(DEFICIT)</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r>
      <w:tr>
        <w:trPr>
          <w:trHeight w:val="176"/>
        </w:trPr>
        <w:tc>
          <w:tcPr>
            <w:tcW w:w="7880" w:type="dxa"/>
            <w:vAlign w:val="bottom"/>
          </w:tcPr>
          <w:p>
            <w:pPr>
              <w:spacing w:after="0"/>
              <w:rPr>
                <w:sz w:val="20"/>
                <w:szCs w:val="20"/>
                <w:color w:val="auto"/>
              </w:rPr>
            </w:pPr>
            <w:r>
              <w:rPr>
                <w:rFonts w:ascii="Arial" w:cs="Arial" w:eastAsia="Arial" w:hAnsi="Arial"/>
                <w:sz w:val="15"/>
                <w:szCs w:val="15"/>
                <w:color w:val="auto"/>
              </w:rPr>
              <w:t>CURRENT LIABILITIES:</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payable</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15,429</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12,638</w:t>
            </w:r>
          </w:p>
        </w:tc>
      </w:tr>
      <w:tr>
        <w:trPr>
          <w:trHeight w:val="176"/>
        </w:trPr>
        <w:tc>
          <w:tcPr>
            <w:tcW w:w="7880" w:type="dxa"/>
            <w:vAlign w:val="bottom"/>
          </w:tcPr>
          <w:p>
            <w:pPr>
              <w:ind w:left="260"/>
              <w:spacing w:after="0"/>
              <w:rPr>
                <w:sz w:val="20"/>
                <w:szCs w:val="20"/>
                <w:color w:val="auto"/>
              </w:rPr>
            </w:pPr>
            <w:r>
              <w:rPr>
                <w:rFonts w:ascii="Arial" w:cs="Arial" w:eastAsia="Arial" w:hAnsi="Arial"/>
                <w:sz w:val="15"/>
                <w:szCs w:val="15"/>
                <w:color w:val="auto"/>
              </w:rPr>
              <w:t>Accrued expenses and other current liabilities</w:t>
            </w: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38,746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30,290</w:t>
            </w:r>
          </w:p>
        </w:tc>
      </w:tr>
      <w:tr>
        <w:trPr>
          <w:trHeight w:val="176"/>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Operating lease liabilities, current</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11,916</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r>
      <w:tr>
        <w:trPr>
          <w:trHeight w:val="176"/>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Deferred revenue, current</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134,148</w:t>
            </w:r>
          </w:p>
        </w:tc>
        <w:tc>
          <w:tcPr>
            <w:tcW w:w="1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69,306</w:t>
            </w:r>
          </w:p>
        </w:tc>
      </w:tr>
      <w:tr>
        <w:trPr>
          <w:trHeight w:val="169"/>
        </w:trPr>
        <w:tc>
          <w:tcPr>
            <w:tcW w:w="788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current liabilities</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200,239</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112,234</w:t>
            </w:r>
          </w:p>
        </w:tc>
      </w:tr>
      <w:tr>
        <w:trPr>
          <w:trHeight w:val="176"/>
        </w:trPr>
        <w:tc>
          <w:tcPr>
            <w:tcW w:w="7880" w:type="dxa"/>
            <w:vAlign w:val="bottom"/>
          </w:tcPr>
          <w:p>
            <w:pPr>
              <w:ind w:left="260"/>
              <w:spacing w:after="0"/>
              <w:rPr>
                <w:sz w:val="20"/>
                <w:szCs w:val="20"/>
                <w:color w:val="auto"/>
              </w:rPr>
            </w:pPr>
            <w:r>
              <w:rPr>
                <w:rFonts w:ascii="Arial" w:cs="Arial" w:eastAsia="Arial" w:hAnsi="Arial"/>
                <w:sz w:val="15"/>
                <w:szCs w:val="15"/>
                <w:color w:val="auto"/>
              </w:rPr>
              <w:t>Operating lease liabilities, non-current</w:t>
            </w: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48,510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w:t>
            </w:r>
          </w:p>
        </w:tc>
      </w:tr>
      <w:tr>
        <w:trPr>
          <w:trHeight w:val="176"/>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revenue, non-current</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4,340</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1,393</w:t>
            </w:r>
          </w:p>
        </w:tc>
      </w:tr>
      <w:tr>
        <w:trPr>
          <w:trHeight w:val="176"/>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liabilities</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2,611</w:t>
            </w:r>
          </w:p>
        </w:tc>
        <w:tc>
          <w:tcPr>
            <w:tcW w:w="1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1,359</w:t>
            </w:r>
          </w:p>
        </w:tc>
      </w:tr>
      <w:tr>
        <w:trPr>
          <w:trHeight w:val="169"/>
        </w:trPr>
        <w:tc>
          <w:tcPr>
            <w:tcW w:w="788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liabilities</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255,700</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114,986</w:t>
            </w:r>
          </w:p>
        </w:tc>
      </w:tr>
      <w:tr>
        <w:trPr>
          <w:trHeight w:val="176"/>
        </w:trPr>
        <w:tc>
          <w:tcPr>
            <w:tcW w:w="7880" w:type="dxa"/>
            <w:vAlign w:val="bottom"/>
          </w:tcPr>
          <w:p>
            <w:pPr>
              <w:spacing w:after="0"/>
              <w:rPr>
                <w:sz w:val="20"/>
                <w:szCs w:val="20"/>
                <w:color w:val="auto"/>
              </w:rPr>
            </w:pPr>
            <w:r>
              <w:rPr>
                <w:rFonts w:ascii="Arial" w:cs="Arial" w:eastAsia="Arial" w:hAnsi="Arial"/>
                <w:sz w:val="15"/>
                <w:szCs w:val="15"/>
                <w:color w:val="auto"/>
              </w:rPr>
              <w:t>COMMITMENTS AND CONTINGENCIES (NOTE 9)</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7880" w:type="dxa"/>
            <w:vAlign w:val="bottom"/>
            <w:shd w:val="clear" w:color="auto" w:fill="CFF0FC"/>
          </w:tcPr>
          <w:p>
            <w:pPr>
              <w:spacing w:after="0"/>
              <w:rPr>
                <w:sz w:val="20"/>
                <w:szCs w:val="20"/>
                <w:color w:val="auto"/>
              </w:rPr>
            </w:pPr>
            <w:r>
              <w:rPr>
                <w:rFonts w:ascii="Arial" w:cs="Arial" w:eastAsia="Arial" w:hAnsi="Arial"/>
                <w:sz w:val="15"/>
                <w:szCs w:val="15"/>
                <w:color w:val="auto"/>
              </w:rPr>
              <w:t>CONVERTIBLE PREFERRED STOCK:</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r>
      <w:tr>
        <w:trPr>
          <w:trHeight w:val="162"/>
        </w:trPr>
        <w:tc>
          <w:tcPr>
            <w:tcW w:w="7880" w:type="dxa"/>
            <w:vAlign w:val="bottom"/>
          </w:tcPr>
          <w:p>
            <w:pPr>
              <w:spacing w:after="0" w:line="162" w:lineRule="exact"/>
              <w:rPr>
                <w:sz w:val="20"/>
                <w:szCs w:val="20"/>
                <w:color w:val="auto"/>
              </w:rPr>
            </w:pPr>
            <w:r>
              <w:rPr>
                <w:rFonts w:ascii="Arial" w:cs="Arial" w:eastAsia="Arial" w:hAnsi="Arial"/>
                <w:sz w:val="15"/>
                <w:szCs w:val="15"/>
                <w:color w:val="auto"/>
              </w:rPr>
              <w:t>Convertible preferred stock; $0.00001 par value per share; 0 and 179,814,912 shares authorized as of</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880" w:type="dxa"/>
            <w:vAlign w:val="bottom"/>
          </w:tcPr>
          <w:p>
            <w:pPr>
              <w:ind w:left="120"/>
              <w:spacing w:after="0" w:line="162" w:lineRule="exact"/>
              <w:rPr>
                <w:sz w:val="20"/>
                <w:szCs w:val="20"/>
                <w:color w:val="auto"/>
              </w:rPr>
            </w:pPr>
            <w:r>
              <w:rPr>
                <w:rFonts w:ascii="Arial" w:cs="Arial" w:eastAsia="Arial" w:hAnsi="Arial"/>
                <w:sz w:val="15"/>
                <w:szCs w:val="15"/>
                <w:color w:val="auto"/>
              </w:rPr>
              <w:t>December 31, 2019 and 2018, respectively; 0 and 179,814,912 shares issued and outstanding as of</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7880" w:type="dxa"/>
            <w:vAlign w:val="bottom"/>
          </w:tcPr>
          <w:p>
            <w:pPr>
              <w:ind w:left="120"/>
              <w:spacing w:after="0"/>
              <w:rPr>
                <w:sz w:val="20"/>
                <w:szCs w:val="20"/>
                <w:color w:val="auto"/>
              </w:rPr>
            </w:pPr>
            <w:r>
              <w:rPr>
                <w:rFonts w:ascii="Arial" w:cs="Arial" w:eastAsia="Arial" w:hAnsi="Arial"/>
                <w:sz w:val="15"/>
                <w:szCs w:val="15"/>
                <w:color w:val="auto"/>
              </w:rPr>
              <w:t>December 31, 2019 and 2018, respectively</w:t>
            </w:r>
          </w:p>
        </w:tc>
        <w:tc>
          <w:tcPr>
            <w:tcW w:w="220" w:type="dxa"/>
            <w:vAlign w:val="bottom"/>
          </w:tcPr>
          <w:p>
            <w:pPr>
              <w:spacing w:after="0"/>
              <w:rPr>
                <w:sz w:val="15"/>
                <w:szCs w:val="15"/>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140,805</w:t>
            </w:r>
          </w:p>
        </w:tc>
      </w:tr>
      <w:tr>
        <w:trPr>
          <w:trHeight w:val="176"/>
        </w:trPr>
        <w:tc>
          <w:tcPr>
            <w:tcW w:w="7880" w:type="dxa"/>
            <w:vAlign w:val="bottom"/>
            <w:shd w:val="clear" w:color="auto" w:fill="CFF0FC"/>
          </w:tcPr>
          <w:p>
            <w:pPr>
              <w:spacing w:after="0"/>
              <w:rPr>
                <w:sz w:val="20"/>
                <w:szCs w:val="20"/>
                <w:color w:val="auto"/>
              </w:rPr>
            </w:pPr>
            <w:r>
              <w:rPr>
                <w:rFonts w:ascii="Arial" w:cs="Arial" w:eastAsia="Arial" w:hAnsi="Arial"/>
                <w:sz w:val="15"/>
                <w:szCs w:val="15"/>
                <w:color w:val="auto"/>
              </w:rPr>
              <w:t>STOCKHOLDERS' EQUITY (DEFICIT):</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r>
      <w:tr>
        <w:trPr>
          <w:trHeight w:val="162"/>
        </w:trPr>
        <w:tc>
          <w:tcPr>
            <w:tcW w:w="7880" w:type="dxa"/>
            <w:vAlign w:val="bottom"/>
          </w:tcPr>
          <w:p>
            <w:pPr>
              <w:spacing w:after="0" w:line="162" w:lineRule="exact"/>
              <w:rPr>
                <w:sz w:val="20"/>
                <w:szCs w:val="20"/>
                <w:color w:val="auto"/>
              </w:rPr>
            </w:pPr>
            <w:r>
              <w:rPr>
                <w:rFonts w:ascii="Arial" w:cs="Arial" w:eastAsia="Arial" w:hAnsi="Arial"/>
                <w:sz w:val="15"/>
                <w:szCs w:val="15"/>
                <w:color w:val="auto"/>
              </w:rPr>
              <w:t>Preferred stock; $0.00001 par value per share; 20,000,000 and 0 shares authorized as of December 31,</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880" w:type="dxa"/>
            <w:vAlign w:val="bottom"/>
          </w:tcPr>
          <w:p>
            <w:pPr>
              <w:ind w:left="120"/>
              <w:spacing w:after="0" w:line="162" w:lineRule="exact"/>
              <w:rPr>
                <w:sz w:val="20"/>
                <w:szCs w:val="20"/>
                <w:color w:val="auto"/>
              </w:rPr>
            </w:pPr>
            <w:r>
              <w:rPr>
                <w:rFonts w:ascii="Arial" w:cs="Arial" w:eastAsia="Arial" w:hAnsi="Arial"/>
                <w:sz w:val="15"/>
                <w:szCs w:val="15"/>
                <w:color w:val="auto"/>
              </w:rPr>
              <w:t>2019 and 2018, respectively; 0 shares issued and outstanding as of December 31, 2019 and 2018,</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7880" w:type="dxa"/>
            <w:vAlign w:val="bottom"/>
          </w:tcPr>
          <w:p>
            <w:pPr>
              <w:ind w:left="120"/>
              <w:spacing w:after="0"/>
              <w:rPr>
                <w:sz w:val="20"/>
                <w:szCs w:val="20"/>
                <w:color w:val="auto"/>
              </w:rPr>
            </w:pPr>
            <w:r>
              <w:rPr>
                <w:rFonts w:ascii="Arial" w:cs="Arial" w:eastAsia="Arial" w:hAnsi="Arial"/>
                <w:sz w:val="15"/>
                <w:szCs w:val="15"/>
                <w:color w:val="auto"/>
              </w:rPr>
              <w:t>respectively</w:t>
            </w:r>
          </w:p>
        </w:tc>
        <w:tc>
          <w:tcPr>
            <w:tcW w:w="220" w:type="dxa"/>
            <w:vAlign w:val="bottom"/>
          </w:tcPr>
          <w:p>
            <w:pPr>
              <w:spacing w:after="0"/>
              <w:rPr>
                <w:sz w:val="15"/>
                <w:szCs w:val="15"/>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w:t>
            </w:r>
          </w:p>
        </w:tc>
      </w:tr>
      <w:tr>
        <w:trPr>
          <w:trHeight w:val="162"/>
        </w:trPr>
        <w:tc>
          <w:tcPr>
            <w:tcW w:w="7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Common stock, $0.00001 par value per share; 0 and 380,000,000 shares authorized as of December 31,</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62"/>
        </w:trPr>
        <w:tc>
          <w:tcPr>
            <w:tcW w:w="788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2019 and 2018, respectively; 0 and 78,180,606 shares issued and outstanding as of December 31, 2019</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75"/>
        </w:trPr>
        <w:tc>
          <w:tcPr>
            <w:tcW w:w="78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and 2018, respectively</w:t>
            </w:r>
          </w:p>
        </w:tc>
        <w:tc>
          <w:tcPr>
            <w:tcW w:w="2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r>
      <w:tr>
        <w:trPr>
          <w:trHeight w:val="162"/>
        </w:trPr>
        <w:tc>
          <w:tcPr>
            <w:tcW w:w="7880" w:type="dxa"/>
            <w:vAlign w:val="bottom"/>
          </w:tcPr>
          <w:p>
            <w:pPr>
              <w:spacing w:after="0" w:line="162" w:lineRule="exact"/>
              <w:rPr>
                <w:sz w:val="20"/>
                <w:szCs w:val="20"/>
                <w:color w:val="auto"/>
              </w:rPr>
            </w:pPr>
            <w:r>
              <w:rPr>
                <w:rFonts w:ascii="Arial" w:cs="Arial" w:eastAsia="Arial" w:hAnsi="Arial"/>
                <w:sz w:val="15"/>
                <w:szCs w:val="15"/>
                <w:color w:val="auto"/>
              </w:rPr>
              <w:t>Class A common stock, $0.00001 par value per share; 2,000,000,000 and 0 shares authorized as of</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880" w:type="dxa"/>
            <w:vAlign w:val="bottom"/>
          </w:tcPr>
          <w:p>
            <w:pPr>
              <w:ind w:left="160"/>
              <w:spacing w:after="0" w:line="162" w:lineRule="exact"/>
              <w:rPr>
                <w:sz w:val="20"/>
                <w:szCs w:val="20"/>
                <w:color w:val="auto"/>
              </w:rPr>
            </w:pPr>
            <w:r>
              <w:rPr>
                <w:rFonts w:ascii="Arial" w:cs="Arial" w:eastAsia="Arial" w:hAnsi="Arial"/>
                <w:sz w:val="15"/>
                <w:szCs w:val="15"/>
                <w:color w:val="auto"/>
              </w:rPr>
              <w:t>December 31, 2019 and 2018, respectively; 64,308,498 and 0 shares issued and</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7880" w:type="dxa"/>
            <w:vAlign w:val="bottom"/>
          </w:tcPr>
          <w:p>
            <w:pPr>
              <w:ind w:left="120"/>
              <w:spacing w:after="0"/>
              <w:rPr>
                <w:sz w:val="20"/>
                <w:szCs w:val="20"/>
                <w:color w:val="auto"/>
              </w:rPr>
            </w:pPr>
            <w:r>
              <w:rPr>
                <w:rFonts w:ascii="Arial" w:cs="Arial" w:eastAsia="Arial" w:hAnsi="Arial"/>
                <w:sz w:val="15"/>
                <w:szCs w:val="15"/>
                <w:color w:val="auto"/>
              </w:rPr>
              <w:t>outstanding as of December 31, 2019 and 2018, respectively</w:t>
            </w: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w:t>
            </w:r>
          </w:p>
        </w:tc>
      </w:tr>
      <w:tr>
        <w:trPr>
          <w:trHeight w:val="162"/>
        </w:trPr>
        <w:tc>
          <w:tcPr>
            <w:tcW w:w="7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Class B common stock, $0.00001 par value per share; 310,000,000 and 0 shares authorized as of</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62"/>
        </w:trPr>
        <w:tc>
          <w:tcPr>
            <w:tcW w:w="788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December 31, 2019 and 2018, respectively; 232,078,452 and 0 shares issued and</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75"/>
        </w:trPr>
        <w:tc>
          <w:tcPr>
            <w:tcW w:w="78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outstanding as of December 31, 2019 and 2018, respectively</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r>
      <w:tr>
        <w:trPr>
          <w:trHeight w:val="176"/>
        </w:trPr>
        <w:tc>
          <w:tcPr>
            <w:tcW w:w="788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905,821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30,834</w:t>
            </w:r>
          </w:p>
        </w:tc>
      </w:tr>
      <w:tr>
        <w:trPr>
          <w:trHeight w:val="176"/>
        </w:trPr>
        <w:tc>
          <w:tcPr>
            <w:tcW w:w="7880" w:type="dxa"/>
            <w:vAlign w:val="bottom"/>
            <w:shd w:val="clear" w:color="auto" w:fill="CFF0FC"/>
          </w:tcPr>
          <w:p>
            <w:pPr>
              <w:spacing w:after="0"/>
              <w:rPr>
                <w:sz w:val="20"/>
                <w:szCs w:val="20"/>
                <w:color w:val="auto"/>
              </w:rPr>
            </w:pPr>
            <w:r>
              <w:rPr>
                <w:rFonts w:ascii="Arial" w:cs="Arial" w:eastAsia="Arial" w:hAnsi="Arial"/>
                <w:sz w:val="15"/>
                <w:szCs w:val="15"/>
                <w:color w:val="auto"/>
              </w:rPr>
              <w:t>Accumulated other comprehensive income</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133</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31</w:t>
            </w:r>
          </w:p>
        </w:tc>
      </w:tr>
      <w:tr>
        <w:trPr>
          <w:trHeight w:val="176"/>
        </w:trPr>
        <w:tc>
          <w:tcPr>
            <w:tcW w:w="78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Accumulated deficit</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(123,616)</w:t>
            </w:r>
          </w:p>
        </w:tc>
        <w:tc>
          <w:tcPr>
            <w:tcW w:w="1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(106,906)</w:t>
            </w:r>
          </w:p>
        </w:tc>
      </w:tr>
      <w:tr>
        <w:trPr>
          <w:trHeight w:val="169"/>
        </w:trPr>
        <w:tc>
          <w:tcPr>
            <w:tcW w:w="788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stockholders’ equity (deficit)</w:t>
            </w: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782,341</w:t>
            </w:r>
          </w:p>
        </w:tc>
        <w:tc>
          <w:tcPr>
            <w:tcW w:w="1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(76,041)</w:t>
            </w:r>
          </w:p>
        </w:tc>
      </w:tr>
      <w:tr>
        <w:trPr>
          <w:trHeight w:val="152"/>
        </w:trPr>
        <w:tc>
          <w:tcPr>
            <w:tcW w:w="7880" w:type="dxa"/>
            <w:vAlign w:val="bottom"/>
          </w:tcPr>
          <w:p>
            <w:pPr>
              <w:spacing w:after="0" w:line="152" w:lineRule="exact"/>
              <w:rPr>
                <w:sz w:val="20"/>
                <w:szCs w:val="20"/>
                <w:color w:val="auto"/>
              </w:rPr>
            </w:pPr>
            <w:r>
              <w:rPr>
                <w:rFonts w:ascii="Arial" w:cs="Arial" w:eastAsia="Arial" w:hAnsi="Arial"/>
                <w:sz w:val="15"/>
                <w:szCs w:val="15"/>
                <w:b w:val="1"/>
                <w:bCs w:val="1"/>
                <w:color w:val="auto"/>
              </w:rPr>
              <w:t>TOTAL LIABILITIES, CONVERTIBLE PREFERRED STOCK AND STOCKHOLDERS'</w:t>
            </w: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9"/>
        </w:trPr>
        <w:tc>
          <w:tcPr>
            <w:tcW w:w="7880" w:type="dxa"/>
            <w:vAlign w:val="bottom"/>
          </w:tcPr>
          <w:p>
            <w:pPr>
              <w:ind w:left="120"/>
              <w:spacing w:after="0"/>
              <w:rPr>
                <w:sz w:val="20"/>
                <w:szCs w:val="20"/>
                <w:color w:val="auto"/>
              </w:rPr>
            </w:pPr>
            <w:r>
              <w:rPr>
                <w:rFonts w:ascii="Arial" w:cs="Arial" w:eastAsia="Arial" w:hAnsi="Arial"/>
                <w:sz w:val="15"/>
                <w:szCs w:val="15"/>
                <w:b w:val="1"/>
                <w:bCs w:val="1"/>
                <w:color w:val="auto"/>
              </w:rPr>
              <w:t>EQUITY (DEFICIT)</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1,038,041</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179,750</w:t>
            </w: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8"/>
              </w:rPr>
              <w:t>Year Ended December 31,</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362,780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198,077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100,761</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0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88,949</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46,529</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23,414</w:t>
            </w:r>
          </w:p>
        </w:tc>
        <w:tc>
          <w:tcPr>
            <w:tcW w:w="0" w:type="dxa"/>
            <w:vAlign w:val="bottom"/>
          </w:tcPr>
          <w:p>
            <w:pPr>
              <w:spacing w:after="0"/>
              <w:rPr>
                <w:sz w:val="1"/>
                <w:szCs w:val="1"/>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273,831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151,548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77,347</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111,425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55,176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146,657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88,849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44,213</w:t>
            </w: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35,889</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18,556</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11,356</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293,971</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162,581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80,303</w:t>
            </w:r>
          </w:p>
        </w:tc>
        <w:tc>
          <w:tcPr>
            <w:tcW w:w="0" w:type="dxa"/>
            <w:vAlign w:val="bottom"/>
          </w:tcPr>
          <w:p>
            <w:pPr>
              <w:spacing w:after="0"/>
              <w:rPr>
                <w:sz w:val="1"/>
                <w:szCs w:val="1"/>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0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4,164</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0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(16,710)</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(10,762)</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3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(16,710)</w:t>
            </w:r>
          </w:p>
        </w:tc>
        <w:tc>
          <w:tcPr>
            <w:tcW w:w="12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(10,762)</w:t>
            </w:r>
          </w:p>
        </w:tc>
        <w:tc>
          <w:tcPr>
            <w:tcW w:w="1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0"/>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share</w:t>
            </w:r>
          </w:p>
        </w:tc>
        <w:tc>
          <w:tcPr>
            <w:tcW w:w="10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Weighted average shares used in calculating basic and diluted net</w:t>
            </w: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loss per share:</w:t>
            </w:r>
          </w:p>
        </w:tc>
        <w:tc>
          <w:tcPr>
            <w:tcW w:w="1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139,873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70,951</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61,321</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564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2017</w:t>
            </w:r>
          </w:p>
        </w:tc>
      </w:tr>
      <w:tr>
        <w:trPr>
          <w:trHeight w:val="22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Unrealized gain on available-for-sale marketable securities</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Other comprehensive income (loss)</w:t>
            </w:r>
          </w:p>
        </w:tc>
        <w:tc>
          <w:tcPr>
            <w:tcW w:w="1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102</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Comprehensive loss</w:t>
            </w:r>
          </w:p>
        </w:tc>
        <w:tc>
          <w:tcPr>
            <w:tcW w:w="1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(10,684)</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w:t>
            </w:r>
          </w:p>
        </w:tc>
      </w:tr>
      <w:tr>
        <w:trPr>
          <w:trHeight w:val="20"/>
        </w:trPr>
        <w:tc>
          <w:tcPr>
            <w:tcW w:w="5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88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6"/>
              </w:rPr>
              <w:t>Convertible</w:t>
            </w:r>
          </w:p>
        </w:tc>
        <w:tc>
          <w:tcPr>
            <w:tcW w:w="162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0"/>
              </w:rPr>
              <w:t>Class A and Class B</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restart"/>
          </w:tcPr>
          <w:p>
            <w:pPr>
              <w:jc w:val="center"/>
              <w:ind w:left="88"/>
              <w:spacing w:after="0"/>
              <w:rPr>
                <w:sz w:val="20"/>
                <w:szCs w:val="20"/>
                <w:color w:val="auto"/>
              </w:rPr>
            </w:pPr>
            <w:r>
              <w:rPr>
                <w:rFonts w:ascii="Arial" w:cs="Arial" w:eastAsia="Arial" w:hAnsi="Arial"/>
                <w:sz w:val="14"/>
                <w:szCs w:val="14"/>
                <w:b w:val="1"/>
                <w:bCs w:val="1"/>
                <w:color w:val="auto"/>
                <w:w w:val="92"/>
              </w:rPr>
              <w:t>Non-Voting</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880" w:type="dxa"/>
            <w:vAlign w:val="bottom"/>
            <w:gridSpan w:val="5"/>
            <w:vMerge w:val="continue"/>
          </w:tcPr>
          <w:p>
            <w:pPr>
              <w:spacing w:after="0"/>
              <w:rPr>
                <w:sz w:val="14"/>
                <w:szCs w:val="14"/>
                <w:color w:val="auto"/>
              </w:rPr>
            </w:pPr>
          </w:p>
        </w:tc>
        <w:tc>
          <w:tcPr>
            <w:tcW w:w="1620" w:type="dxa"/>
            <w:vAlign w:val="bottom"/>
            <w:gridSpan w:val="5"/>
            <w:vMerge w:val="continue"/>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188"/>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Preferred Stock</w:t>
            </w:r>
          </w:p>
        </w:tc>
        <w:tc>
          <w:tcPr>
            <w:tcW w:w="126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1"/>
              </w:rPr>
              <w:t>Common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ind w:left="240"/>
              <w:spacing w:after="0"/>
              <w:rPr>
                <w:sz w:val="20"/>
                <w:szCs w:val="20"/>
                <w:color w:val="auto"/>
              </w:rPr>
            </w:pPr>
            <w:r>
              <w:rPr>
                <w:rFonts w:ascii="Arial" w:cs="Arial" w:eastAsia="Arial" w:hAnsi="Arial"/>
                <w:sz w:val="14"/>
                <w:szCs w:val="14"/>
                <w:b w:val="1"/>
                <w:bCs w:val="1"/>
                <w:color w:val="auto"/>
                <w:w w:val="95"/>
              </w:rPr>
              <w:t>Common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w w:val="91"/>
              </w:rPr>
              <w:t>Common Stock</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7"/>
              </w:rPr>
              <w:t>Comprehensive</w:t>
            </w: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920" w:type="dxa"/>
            <w:vAlign w:val="bottom"/>
            <w:tcBorders>
              <w:top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ind w:right="88"/>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86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92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86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1040" w:type="dxa"/>
            <w:vAlign w:val="bottom"/>
            <w:gridSpan w:val="2"/>
          </w:tcPr>
          <w:p>
            <w:pPr>
              <w:jc w:val="center"/>
              <w:ind w:right="28"/>
              <w:spacing w:after="0" w:line="155" w:lineRule="exact"/>
              <w:rPr>
                <w:sz w:val="20"/>
                <w:szCs w:val="20"/>
                <w:color w:val="auto"/>
              </w:rPr>
            </w:pPr>
            <w:r>
              <w:rPr>
                <w:rFonts w:ascii="Arial" w:cs="Arial" w:eastAsia="Arial" w:hAnsi="Arial"/>
                <w:sz w:val="14"/>
                <w:szCs w:val="14"/>
                <w:b w:val="1"/>
                <w:bCs w:val="1"/>
                <w:color w:val="auto"/>
                <w:w w:val="90"/>
              </w:rPr>
              <w:t>Income (Loss)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128"/>
              <w:spacing w:after="0" w:line="155" w:lineRule="exact"/>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37"/>
        </w:trPr>
        <w:tc>
          <w:tcPr>
            <w:tcW w:w="10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BALANCE—</w:t>
            </w:r>
          </w:p>
        </w:tc>
        <w:tc>
          <w:tcPr>
            <w:tcW w:w="9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December 31,</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2016 (as</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FF0FC"/>
          </w:tcPr>
          <w:p>
            <w:pPr>
              <w:spacing w:after="0"/>
              <w:rPr>
                <w:sz w:val="20"/>
                <w:szCs w:val="20"/>
                <w:color w:val="auto"/>
              </w:rPr>
            </w:pPr>
            <w:r>
              <w:rPr>
                <w:rFonts w:ascii="Arial" w:cs="Arial" w:eastAsia="Arial" w:hAnsi="Arial"/>
                <w:sz w:val="14"/>
                <w:szCs w:val="14"/>
                <w:color w:val="auto"/>
              </w:rPr>
              <w:t>reported)</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179,814,912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94"/>
              </w:rPr>
              <w:t>140,805</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57,692,496</w:t>
            </w: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1,137,000</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13,785</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(95,476)</w:t>
            </w: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(81,691)</w:t>
            </w:r>
          </w:p>
        </w:tc>
        <w:tc>
          <w:tcPr>
            <w:tcW w:w="0" w:type="dxa"/>
            <w:vAlign w:val="bottom"/>
          </w:tcPr>
          <w:p>
            <w:pPr>
              <w:spacing w:after="0"/>
              <w:rPr>
                <w:sz w:val="1"/>
                <w:szCs w:val="1"/>
                <w:color w:val="auto"/>
              </w:rPr>
            </w:pPr>
          </w:p>
        </w:tc>
      </w:tr>
      <w:tr>
        <w:trPr>
          <w:trHeight w:val="143"/>
        </w:trPr>
        <w:tc>
          <w:tcPr>
            <w:tcW w:w="1040" w:type="dxa"/>
            <w:vAlign w:val="bottom"/>
          </w:tcPr>
          <w:p>
            <w:pPr>
              <w:spacing w:after="0" w:line="143" w:lineRule="exact"/>
              <w:rPr>
                <w:sz w:val="20"/>
                <w:szCs w:val="20"/>
                <w:color w:val="auto"/>
              </w:rPr>
            </w:pPr>
            <w:r>
              <w:rPr>
                <w:rFonts w:ascii="Arial" w:cs="Arial" w:eastAsia="Arial" w:hAnsi="Arial"/>
                <w:sz w:val="14"/>
                <w:szCs w:val="14"/>
                <w:color w:val="auto"/>
              </w:rPr>
              <w:t>Effect of</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adoption of</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20"/>
                <w:szCs w:val="20"/>
                <w:color w:val="auto"/>
              </w:rPr>
            </w:pPr>
            <w:r>
              <w:rPr>
                <w:rFonts w:ascii="Arial" w:cs="Arial" w:eastAsia="Arial" w:hAnsi="Arial"/>
                <w:sz w:val="14"/>
                <w:szCs w:val="14"/>
                <w:color w:val="auto"/>
              </w:rPr>
              <w:t>ASC 606</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2,677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2,677</w:t>
            </w:r>
          </w:p>
        </w:tc>
        <w:tc>
          <w:tcPr>
            <w:tcW w:w="0" w:type="dxa"/>
            <w:vAlign w:val="bottom"/>
          </w:tcPr>
          <w:p>
            <w:pPr>
              <w:spacing w:after="0"/>
              <w:rPr>
                <w:sz w:val="1"/>
                <w:szCs w:val="1"/>
                <w:color w:val="auto"/>
              </w:rPr>
            </w:pPr>
          </w:p>
        </w:tc>
      </w:tr>
      <w:tr>
        <w:trPr>
          <w:trHeight w:val="137"/>
        </w:trPr>
        <w:tc>
          <w:tcPr>
            <w:tcW w:w="10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BALANCE—</w:t>
            </w:r>
          </w:p>
        </w:tc>
        <w:tc>
          <w:tcPr>
            <w:tcW w:w="9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January 1, 2017</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FF0FC"/>
          </w:tcPr>
          <w:p>
            <w:pPr>
              <w:spacing w:after="0"/>
              <w:rPr>
                <w:sz w:val="20"/>
                <w:szCs w:val="20"/>
                <w:color w:val="auto"/>
              </w:rPr>
            </w:pPr>
            <w:r>
              <w:rPr>
                <w:rFonts w:ascii="Arial" w:cs="Arial" w:eastAsia="Arial" w:hAnsi="Arial"/>
                <w:sz w:val="14"/>
                <w:szCs w:val="14"/>
                <w:color w:val="auto"/>
              </w:rPr>
              <w:t>(as adjusted)</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179,814,912</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94"/>
              </w:rPr>
              <w:t>140,805</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57,692,496</w:t>
            </w: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1,137,000</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13,785</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(92,799)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(79,014)</w:t>
            </w:r>
          </w:p>
        </w:tc>
        <w:tc>
          <w:tcPr>
            <w:tcW w:w="0" w:type="dxa"/>
            <w:vAlign w:val="bottom"/>
          </w:tcPr>
          <w:p>
            <w:pPr>
              <w:spacing w:after="0"/>
              <w:rPr>
                <w:sz w:val="1"/>
                <w:szCs w:val="1"/>
                <w:color w:val="auto"/>
              </w:rPr>
            </w:pPr>
          </w:p>
        </w:tc>
      </w:tr>
      <w:tr>
        <w:trPr>
          <w:trHeight w:val="143"/>
        </w:trPr>
        <w:tc>
          <w:tcPr>
            <w:tcW w:w="1040" w:type="dxa"/>
            <w:vAlign w:val="bottom"/>
          </w:tcPr>
          <w:p>
            <w:pPr>
              <w:spacing w:after="0" w:line="143" w:lineRule="exact"/>
              <w:rPr>
                <w:sz w:val="20"/>
                <w:szCs w:val="20"/>
                <w:color w:val="auto"/>
              </w:rPr>
            </w:pPr>
            <w:r>
              <w:rPr>
                <w:rFonts w:ascii="Arial" w:cs="Arial" w:eastAsia="Arial" w:hAnsi="Arial"/>
                <w:sz w:val="14"/>
                <w:szCs w:val="14"/>
                <w:color w:val="auto"/>
              </w:rPr>
              <w:t>Issuance of</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common stock</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upon exercise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of</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2,165,976</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449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43"/>
        </w:trPr>
        <w:tc>
          <w:tcPr>
            <w:tcW w:w="1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Vesting of early</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exercised stock</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FF0FC"/>
          </w:tcPr>
          <w:p>
            <w:pPr>
              <w:spacing w:after="0"/>
              <w:rPr>
                <w:sz w:val="20"/>
                <w:szCs w:val="20"/>
                <w:color w:val="auto"/>
              </w:rPr>
            </w:pPr>
            <w:r>
              <w:rPr>
                <w:rFonts w:ascii="Arial" w:cs="Arial" w:eastAsia="Arial" w:hAnsi="Arial"/>
                <w:sz w:val="14"/>
                <w:szCs w:val="14"/>
                <w:color w:val="auto"/>
              </w:rPr>
              <w:t>options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143</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3"/>
        </w:trPr>
        <w:tc>
          <w:tcPr>
            <w:tcW w:w="1040" w:type="dxa"/>
            <w:vAlign w:val="bottom"/>
          </w:tcPr>
          <w:p>
            <w:pPr>
              <w:spacing w:after="0" w:line="143" w:lineRule="exact"/>
              <w:rPr>
                <w:sz w:val="20"/>
                <w:szCs w:val="20"/>
                <w:color w:val="auto"/>
              </w:rPr>
            </w:pPr>
            <w:r>
              <w:rPr>
                <w:rFonts w:ascii="Arial" w:cs="Arial" w:eastAsia="Arial" w:hAnsi="Arial"/>
                <w:sz w:val="14"/>
                <w:szCs w:val="14"/>
                <w:color w:val="auto"/>
              </w:rPr>
              <w:t>Issuance of</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common stock</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20"/>
                <w:szCs w:val="20"/>
                <w:color w:val="auto"/>
              </w:rPr>
            </w:pPr>
            <w:r>
              <w:rPr>
                <w:rFonts w:ascii="Arial" w:cs="Arial" w:eastAsia="Arial" w:hAnsi="Arial"/>
                <w:sz w:val="14"/>
                <w:szCs w:val="14"/>
                <w:color w:val="auto"/>
              </w:rPr>
              <w:t>for acquisition</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2,292,012</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3"/>
        </w:trPr>
        <w:tc>
          <w:tcPr>
            <w:tcW w:w="1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Stock-based</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FF0FC"/>
          </w:tcPr>
          <w:p>
            <w:pPr>
              <w:spacing w:after="0"/>
              <w:rPr>
                <w:sz w:val="20"/>
                <w:szCs w:val="20"/>
                <w:color w:val="auto"/>
              </w:rPr>
            </w:pPr>
            <w:r>
              <w:rPr>
                <w:rFonts w:ascii="Arial" w:cs="Arial" w:eastAsia="Arial" w:hAnsi="Arial"/>
                <w:sz w:val="14"/>
                <w:szCs w:val="14"/>
                <w:color w:val="auto"/>
              </w:rPr>
              <w:t>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3,316</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3,316</w:t>
            </w:r>
          </w:p>
        </w:tc>
        <w:tc>
          <w:tcPr>
            <w:tcW w:w="0" w:type="dxa"/>
            <w:vAlign w:val="bottom"/>
          </w:tcPr>
          <w:p>
            <w:pPr>
              <w:spacing w:after="0"/>
              <w:rPr>
                <w:sz w:val="1"/>
                <w:szCs w:val="1"/>
                <w:color w:val="auto"/>
              </w:rPr>
            </w:pPr>
          </w:p>
        </w:tc>
      </w:tr>
      <w:tr>
        <w:trPr>
          <w:trHeight w:val="143"/>
        </w:trPr>
        <w:tc>
          <w:tcPr>
            <w:tcW w:w="1040" w:type="dxa"/>
            <w:vAlign w:val="bottom"/>
          </w:tcPr>
          <w:p>
            <w:pPr>
              <w:spacing w:after="0" w:line="143" w:lineRule="exact"/>
              <w:rPr>
                <w:sz w:val="20"/>
                <w:szCs w:val="20"/>
                <w:color w:val="auto"/>
              </w:rPr>
            </w:pPr>
            <w:r>
              <w:rPr>
                <w:rFonts w:ascii="Arial" w:cs="Arial" w:eastAsia="Arial" w:hAnsi="Arial"/>
                <w:sz w:val="14"/>
                <w:szCs w:val="14"/>
                <w:color w:val="auto"/>
              </w:rPr>
              <w:t>Other</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comprehensive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20"/>
                <w:szCs w:val="20"/>
                <w:color w:val="auto"/>
              </w:rPr>
            </w:pPr>
            <w:r>
              <w:rPr>
                <w:rFonts w:ascii="Arial" w:cs="Arial" w:eastAsia="Arial" w:hAnsi="Arial"/>
                <w:sz w:val="14"/>
                <w:szCs w:val="14"/>
                <w:color w:val="auto"/>
              </w:rPr>
              <w:t>income (loss)</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104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10,500</w:t>
            </w: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(2,570)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(2,570)</w:t>
            </w:r>
          </w:p>
        </w:tc>
        <w:tc>
          <w:tcPr>
            <w:tcW w:w="0" w:type="dxa"/>
            <w:vAlign w:val="bottom"/>
          </w:tcPr>
          <w:p>
            <w:pPr>
              <w:spacing w:after="0"/>
              <w:rPr>
                <w:sz w:val="1"/>
                <w:szCs w:val="1"/>
                <w:color w:val="auto"/>
              </w:rPr>
            </w:pPr>
          </w:p>
        </w:tc>
      </w:tr>
      <w:tr>
        <w:trPr>
          <w:trHeight w:val="137"/>
        </w:trPr>
        <w:tc>
          <w:tcPr>
            <w:tcW w:w="10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BALANCE—</w:t>
            </w:r>
          </w:p>
        </w:tc>
        <w:tc>
          <w:tcPr>
            <w:tcW w:w="9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December 31,</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FF0FC"/>
          </w:tcPr>
          <w:p>
            <w:pPr>
              <w:spacing w:after="0"/>
              <w:rPr>
                <w:sz w:val="20"/>
                <w:szCs w:val="20"/>
                <w:color w:val="auto"/>
              </w:rPr>
            </w:pPr>
            <w:r>
              <w:rPr>
                <w:rFonts w:ascii="Arial" w:cs="Arial" w:eastAsia="Arial" w:hAnsi="Arial"/>
                <w:sz w:val="14"/>
                <w:szCs w:val="14"/>
                <w:color w:val="auto"/>
              </w:rPr>
              <w:t>2017</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179,814,912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94"/>
              </w:rPr>
              <w:t>140,805</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62,160,984</w:t>
            </w: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1,137,000</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19,716</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20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(95,369)</w:t>
            </w: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(75,701)</w:t>
            </w:r>
          </w:p>
        </w:tc>
        <w:tc>
          <w:tcPr>
            <w:tcW w:w="0" w:type="dxa"/>
            <w:vAlign w:val="bottom"/>
          </w:tcPr>
          <w:p>
            <w:pPr>
              <w:spacing w:after="0"/>
              <w:rPr>
                <w:sz w:val="1"/>
                <w:szCs w:val="1"/>
                <w:color w:val="auto"/>
              </w:rPr>
            </w:pPr>
          </w:p>
        </w:tc>
      </w:tr>
      <w:tr>
        <w:trPr>
          <w:trHeight w:val="137"/>
        </w:trPr>
        <w:tc>
          <w:tcPr>
            <w:tcW w:w="1040" w:type="dxa"/>
            <w:vAlign w:val="bottom"/>
          </w:tcPr>
          <w:p>
            <w:pPr>
              <w:spacing w:after="0" w:line="137" w:lineRule="exact"/>
              <w:rPr>
                <w:sz w:val="20"/>
                <w:szCs w:val="20"/>
                <w:color w:val="auto"/>
              </w:rPr>
            </w:pPr>
            <w:r>
              <w:rPr>
                <w:rFonts w:ascii="Arial" w:cs="Arial" w:eastAsia="Arial" w:hAnsi="Arial"/>
                <w:sz w:val="14"/>
                <w:szCs w:val="14"/>
                <w:color w:val="auto"/>
              </w:rPr>
              <w:t>Effect of</w:t>
            </w:r>
          </w:p>
        </w:tc>
        <w:tc>
          <w:tcPr>
            <w:tcW w:w="9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adoption of</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20"/>
                <w:szCs w:val="20"/>
                <w:color w:val="auto"/>
              </w:rPr>
            </w:pPr>
            <w:r>
              <w:rPr>
                <w:rFonts w:ascii="Arial" w:cs="Arial" w:eastAsia="Arial" w:hAnsi="Arial"/>
                <w:sz w:val="14"/>
                <w:szCs w:val="14"/>
                <w:color w:val="auto"/>
              </w:rPr>
              <w:t>ASU 2016-19</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775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0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BALANCE—</w:t>
            </w:r>
          </w:p>
        </w:tc>
        <w:tc>
          <w:tcPr>
            <w:tcW w:w="9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FF0FC"/>
          </w:tcPr>
          <w:p>
            <w:pPr>
              <w:spacing w:after="0"/>
              <w:rPr>
                <w:sz w:val="20"/>
                <w:szCs w:val="20"/>
                <w:color w:val="auto"/>
              </w:rPr>
            </w:pPr>
            <w:r>
              <w:rPr>
                <w:rFonts w:ascii="Arial" w:cs="Arial" w:eastAsia="Arial" w:hAnsi="Arial"/>
                <w:sz w:val="14"/>
                <w:szCs w:val="14"/>
                <w:color w:val="auto"/>
              </w:rPr>
              <w:t>January 1, 2018</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179,814,912</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94"/>
              </w:rPr>
              <w:t>140,805</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62,160,984</w:t>
            </w: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1,137,000</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20,491</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(96,144)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(75,701)</w:t>
            </w:r>
          </w:p>
        </w:tc>
        <w:tc>
          <w:tcPr>
            <w:tcW w:w="0" w:type="dxa"/>
            <w:vAlign w:val="bottom"/>
          </w:tcPr>
          <w:p>
            <w:pPr>
              <w:spacing w:after="0"/>
              <w:rPr>
                <w:sz w:val="1"/>
                <w:szCs w:val="1"/>
                <w:color w:val="auto"/>
              </w:rPr>
            </w:pPr>
          </w:p>
        </w:tc>
      </w:tr>
      <w:tr>
        <w:trPr>
          <w:trHeight w:val="137"/>
        </w:trPr>
        <w:tc>
          <w:tcPr>
            <w:tcW w:w="1040" w:type="dxa"/>
            <w:vAlign w:val="bottom"/>
          </w:tcPr>
          <w:p>
            <w:pPr>
              <w:spacing w:after="0" w:line="137" w:lineRule="exact"/>
              <w:rPr>
                <w:sz w:val="20"/>
                <w:szCs w:val="20"/>
                <w:color w:val="auto"/>
              </w:rPr>
            </w:pPr>
            <w:r>
              <w:rPr>
                <w:rFonts w:ascii="Arial" w:cs="Arial" w:eastAsia="Arial" w:hAnsi="Arial"/>
                <w:sz w:val="14"/>
                <w:szCs w:val="14"/>
                <w:color w:val="auto"/>
              </w:rPr>
              <w:t>Issuance of</w:t>
            </w:r>
          </w:p>
        </w:tc>
        <w:tc>
          <w:tcPr>
            <w:tcW w:w="9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common stock</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upon exercise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of</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14,882,622</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4,557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143"/>
        </w:trPr>
        <w:tc>
          <w:tcPr>
            <w:tcW w:w="1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Vesting of early</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exercised stock</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FF0FC"/>
          </w:tcPr>
          <w:p>
            <w:pPr>
              <w:spacing w:after="0"/>
              <w:rPr>
                <w:sz w:val="20"/>
                <w:szCs w:val="20"/>
                <w:color w:val="auto"/>
              </w:rPr>
            </w:pPr>
            <w:r>
              <w:rPr>
                <w:rFonts w:ascii="Arial" w:cs="Arial" w:eastAsia="Arial" w:hAnsi="Arial"/>
                <w:sz w:val="14"/>
                <w:szCs w:val="14"/>
                <w:color w:val="auto"/>
              </w:rPr>
              <w:t>options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375</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43"/>
        </w:trPr>
        <w:tc>
          <w:tcPr>
            <w:tcW w:w="1040" w:type="dxa"/>
            <w:vAlign w:val="bottom"/>
          </w:tcPr>
          <w:p>
            <w:pPr>
              <w:spacing w:after="0" w:line="143" w:lineRule="exact"/>
              <w:rPr>
                <w:sz w:val="20"/>
                <w:szCs w:val="20"/>
                <w:color w:val="auto"/>
              </w:rPr>
            </w:pPr>
            <w:r>
              <w:rPr>
                <w:rFonts w:ascii="Arial" w:cs="Arial" w:eastAsia="Arial" w:hAnsi="Arial"/>
                <w:sz w:val="14"/>
                <w:szCs w:val="14"/>
                <w:color w:val="auto"/>
              </w:rPr>
              <w:t>Stock-based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20"/>
                <w:szCs w:val="20"/>
                <w:color w:val="auto"/>
              </w:rPr>
            </w:pPr>
            <w:r>
              <w:rPr>
                <w:rFonts w:ascii="Arial" w:cs="Arial" w:eastAsia="Arial" w:hAnsi="Arial"/>
                <w:sz w:val="14"/>
                <w:szCs w:val="14"/>
                <w:color w:val="auto"/>
              </w:rPr>
              <w:t>compensation</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5,411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5,411</w:t>
            </w:r>
          </w:p>
        </w:tc>
        <w:tc>
          <w:tcPr>
            <w:tcW w:w="0" w:type="dxa"/>
            <w:vAlign w:val="bottom"/>
          </w:tcPr>
          <w:p>
            <w:pPr>
              <w:spacing w:after="0"/>
              <w:rPr>
                <w:sz w:val="1"/>
                <w:szCs w:val="1"/>
                <w:color w:val="auto"/>
              </w:rPr>
            </w:pPr>
          </w:p>
        </w:tc>
      </w:tr>
      <w:tr>
        <w:trPr>
          <w:trHeight w:val="143"/>
        </w:trPr>
        <w:tc>
          <w:tcPr>
            <w:tcW w:w="1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Conversion of</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non-voting</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FF0FC"/>
          </w:tcPr>
          <w:p>
            <w:pPr>
              <w:spacing w:after="0"/>
              <w:rPr>
                <w:sz w:val="20"/>
                <w:szCs w:val="20"/>
                <w:color w:val="auto"/>
              </w:rPr>
            </w:pPr>
            <w:r>
              <w:rPr>
                <w:rFonts w:ascii="Arial" w:cs="Arial" w:eastAsia="Arial" w:hAnsi="Arial"/>
                <w:sz w:val="14"/>
                <w:szCs w:val="14"/>
                <w:color w:val="auto"/>
              </w:rPr>
              <w:t>common stock</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1,137,000</w:t>
            </w: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(1,137,000)</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040" w:type="dxa"/>
            <w:vAlign w:val="bottom"/>
          </w:tcPr>
          <w:p>
            <w:pPr>
              <w:spacing w:after="0" w:line="143" w:lineRule="exact"/>
              <w:rPr>
                <w:sz w:val="20"/>
                <w:szCs w:val="20"/>
                <w:color w:val="auto"/>
              </w:rPr>
            </w:pPr>
            <w:r>
              <w:rPr>
                <w:rFonts w:ascii="Arial" w:cs="Arial" w:eastAsia="Arial" w:hAnsi="Arial"/>
                <w:sz w:val="14"/>
                <w:szCs w:val="14"/>
                <w:color w:val="auto"/>
              </w:rPr>
              <w:t>Other</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comprehensive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20"/>
                <w:szCs w:val="20"/>
                <w:color w:val="auto"/>
              </w:rPr>
            </w:pPr>
            <w:r>
              <w:rPr>
                <w:rFonts w:ascii="Arial" w:cs="Arial" w:eastAsia="Arial" w:hAnsi="Arial"/>
                <w:sz w:val="14"/>
                <w:szCs w:val="14"/>
                <w:color w:val="auto"/>
              </w:rPr>
              <w:t>income (loss)</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62"/>
        </w:trPr>
        <w:tc>
          <w:tcPr>
            <w:tcW w:w="10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(10,762)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(10,762)</w:t>
            </w:r>
          </w:p>
        </w:tc>
        <w:tc>
          <w:tcPr>
            <w:tcW w:w="0" w:type="dxa"/>
            <w:vAlign w:val="bottom"/>
          </w:tcPr>
          <w:p>
            <w:pPr>
              <w:spacing w:after="0"/>
              <w:rPr>
                <w:sz w:val="1"/>
                <w:szCs w:val="1"/>
                <w:color w:val="auto"/>
              </w:rPr>
            </w:pPr>
          </w:p>
        </w:tc>
      </w:tr>
      <w:tr>
        <w:trPr>
          <w:trHeight w:val="137"/>
        </w:trPr>
        <w:tc>
          <w:tcPr>
            <w:tcW w:w="1040" w:type="dxa"/>
            <w:vAlign w:val="bottom"/>
          </w:tcPr>
          <w:p>
            <w:pPr>
              <w:spacing w:after="0" w:line="137" w:lineRule="exact"/>
              <w:rPr>
                <w:sz w:val="20"/>
                <w:szCs w:val="20"/>
                <w:color w:val="auto"/>
              </w:rPr>
            </w:pPr>
            <w:r>
              <w:rPr>
                <w:rFonts w:ascii="Arial" w:cs="Arial" w:eastAsia="Arial" w:hAnsi="Arial"/>
                <w:sz w:val="14"/>
                <w:szCs w:val="14"/>
                <w:color w:val="auto"/>
              </w:rPr>
              <w:t>BALANCE—</w:t>
            </w:r>
          </w:p>
        </w:tc>
        <w:tc>
          <w:tcPr>
            <w:tcW w:w="9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December 31,</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20"/>
                <w:szCs w:val="20"/>
                <w:color w:val="auto"/>
              </w:rPr>
            </w:pPr>
            <w:r>
              <w:rPr>
                <w:rFonts w:ascii="Arial" w:cs="Arial" w:eastAsia="Arial" w:hAnsi="Arial"/>
                <w:sz w:val="14"/>
                <w:szCs w:val="14"/>
                <w:color w:val="auto"/>
              </w:rPr>
              <w:t>2018</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179,814,912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w w:val="94"/>
              </w:rPr>
              <w:t>140,805</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78,180,606</w:t>
            </w:r>
          </w:p>
        </w:tc>
        <w:tc>
          <w:tcPr>
            <w:tcW w:w="6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30,834</w:t>
            </w:r>
          </w:p>
        </w:tc>
        <w:tc>
          <w:tcPr>
            <w:tcW w:w="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(106,906)</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(76,041)</w:t>
            </w:r>
          </w:p>
        </w:tc>
        <w:tc>
          <w:tcPr>
            <w:tcW w:w="0" w:type="dxa"/>
            <w:vAlign w:val="bottom"/>
          </w:tcPr>
          <w:p>
            <w:pPr>
              <w:spacing w:after="0"/>
              <w:rPr>
                <w:sz w:val="1"/>
                <w:szCs w:val="1"/>
                <w:color w:val="auto"/>
              </w:rPr>
            </w:pPr>
          </w:p>
        </w:tc>
      </w:tr>
      <w:tr>
        <w:trPr>
          <w:trHeight w:val="137"/>
        </w:trPr>
        <w:tc>
          <w:tcPr>
            <w:tcW w:w="10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Issuance of</w:t>
            </w:r>
          </w:p>
        </w:tc>
        <w:tc>
          <w:tcPr>
            <w:tcW w:w="9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common stock</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upon exercise</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of</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 options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429,430</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10,117,557</w:t>
            </w: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7,173</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7,173</w:t>
            </w:r>
          </w:p>
        </w:tc>
        <w:tc>
          <w:tcPr>
            <w:tcW w:w="0" w:type="dxa"/>
            <w:vAlign w:val="bottom"/>
          </w:tcPr>
          <w:p>
            <w:pPr>
              <w:spacing w:after="0"/>
              <w:rPr>
                <w:sz w:val="1"/>
                <w:szCs w:val="1"/>
                <w:color w:val="auto"/>
              </w:rPr>
            </w:pPr>
          </w:p>
        </w:tc>
      </w:tr>
      <w:tr>
        <w:trPr>
          <w:trHeight w:val="143"/>
        </w:trPr>
        <w:tc>
          <w:tcPr>
            <w:tcW w:w="1040" w:type="dxa"/>
            <w:vAlign w:val="bottom"/>
          </w:tcPr>
          <w:p>
            <w:pPr>
              <w:spacing w:after="0" w:line="143" w:lineRule="exact"/>
              <w:rPr>
                <w:sz w:val="20"/>
                <w:szCs w:val="20"/>
                <w:color w:val="auto"/>
              </w:rPr>
            </w:pPr>
            <w:r>
              <w:rPr>
                <w:rFonts w:ascii="Arial" w:cs="Arial" w:eastAsia="Arial" w:hAnsi="Arial"/>
                <w:sz w:val="14"/>
                <w:szCs w:val="14"/>
                <w:color w:val="auto"/>
              </w:rPr>
              <w:t>Issuance of</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w w:val="98"/>
              </w:rPr>
              <w:t>restricted shares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of common</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20"/>
                <w:szCs w:val="20"/>
                <w:color w:val="auto"/>
              </w:rPr>
            </w:pPr>
            <w:r>
              <w:rPr>
                <w:rFonts w:ascii="Arial" w:cs="Arial" w:eastAsia="Arial" w:hAnsi="Arial"/>
                <w:sz w:val="14"/>
                <w:szCs w:val="14"/>
                <w:color w:val="auto"/>
              </w:rPr>
              <w:t>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244,445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Vesting of early</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exercised stock</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FF0FC"/>
          </w:tcPr>
          <w:p>
            <w:pPr>
              <w:spacing w:after="0"/>
              <w:rPr>
                <w:sz w:val="20"/>
                <w:szCs w:val="20"/>
                <w:color w:val="auto"/>
              </w:rPr>
            </w:pPr>
            <w:r>
              <w:rPr>
                <w:rFonts w:ascii="Arial" w:cs="Arial" w:eastAsia="Arial" w:hAnsi="Arial"/>
                <w:sz w:val="14"/>
                <w:szCs w:val="14"/>
                <w:color w:val="auto"/>
              </w:rPr>
              <w:t>options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1,883</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1,883</w:t>
            </w:r>
          </w:p>
        </w:tc>
        <w:tc>
          <w:tcPr>
            <w:tcW w:w="0" w:type="dxa"/>
            <w:vAlign w:val="bottom"/>
          </w:tcPr>
          <w:p>
            <w:pPr>
              <w:spacing w:after="0"/>
              <w:rPr>
                <w:sz w:val="1"/>
                <w:szCs w:val="1"/>
                <w:color w:val="auto"/>
              </w:rPr>
            </w:pPr>
          </w:p>
        </w:tc>
      </w:tr>
      <w:tr>
        <w:trPr>
          <w:trHeight w:val="143"/>
        </w:trPr>
        <w:tc>
          <w:tcPr>
            <w:tcW w:w="1040" w:type="dxa"/>
            <w:vAlign w:val="bottom"/>
          </w:tcPr>
          <w:p>
            <w:pPr>
              <w:spacing w:after="0" w:line="143" w:lineRule="exact"/>
              <w:rPr>
                <w:sz w:val="20"/>
                <w:szCs w:val="20"/>
                <w:color w:val="auto"/>
              </w:rPr>
            </w:pPr>
            <w:r>
              <w:rPr>
                <w:rFonts w:ascii="Arial" w:cs="Arial" w:eastAsia="Arial" w:hAnsi="Arial"/>
                <w:sz w:val="14"/>
                <w:szCs w:val="14"/>
                <w:color w:val="auto"/>
              </w:rPr>
              <w:t>Stock-based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20"/>
                <w:szCs w:val="20"/>
                <w:color w:val="auto"/>
              </w:rPr>
            </w:pPr>
            <w:r>
              <w:rPr>
                <w:rFonts w:ascii="Arial" w:cs="Arial" w:eastAsia="Arial" w:hAnsi="Arial"/>
                <w:sz w:val="14"/>
                <w:szCs w:val="14"/>
                <w:color w:val="auto"/>
              </w:rPr>
              <w:t>compensation</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19,235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19,235</w:t>
            </w:r>
          </w:p>
        </w:tc>
        <w:tc>
          <w:tcPr>
            <w:tcW w:w="0" w:type="dxa"/>
            <w:vAlign w:val="bottom"/>
          </w:tcPr>
          <w:p>
            <w:pPr>
              <w:spacing w:after="0"/>
              <w:rPr>
                <w:sz w:val="1"/>
                <w:szCs w:val="1"/>
                <w:color w:val="auto"/>
              </w:rPr>
            </w:pPr>
          </w:p>
        </w:tc>
      </w:tr>
      <w:tr>
        <w:trPr>
          <w:trHeight w:val="143"/>
        </w:trPr>
        <w:tc>
          <w:tcPr>
            <w:tcW w:w="1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Conversion of</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convertible</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preferred stock</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to</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common</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stock in</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connection with</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third-party</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tender offer</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(803,481)</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803,481</w:t>
            </w: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53</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3"/>
        </w:trPr>
        <w:tc>
          <w:tcPr>
            <w:tcW w:w="1040" w:type="dxa"/>
            <w:vAlign w:val="bottom"/>
          </w:tcPr>
          <w:p>
            <w:pPr>
              <w:spacing w:after="0" w:line="143" w:lineRule="exact"/>
              <w:rPr>
                <w:sz w:val="20"/>
                <w:szCs w:val="20"/>
                <w:color w:val="auto"/>
              </w:rPr>
            </w:pPr>
            <w:r>
              <w:rPr>
                <w:rFonts w:ascii="Arial" w:cs="Arial" w:eastAsia="Arial" w:hAnsi="Arial"/>
                <w:sz w:val="14"/>
                <w:szCs w:val="14"/>
                <w:color w:val="auto"/>
              </w:rPr>
              <w:t>Reclassification</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of common</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stock to class A</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and class B</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4"/>
                <w:szCs w:val="14"/>
                <w:color w:val="auto"/>
              </w:rPr>
              <w:t>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89,101,644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(89,101,644)</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-8630920</wp:posOffset>
            </wp:positionV>
            <wp:extent cx="7246620" cy="100266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002665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Conversion of</w:t>
      </w:r>
    </w:p>
    <w:p>
      <w:pPr>
        <w:spacing w:after="0" w:line="221" w:lineRule="auto"/>
        <w:rPr>
          <w:sz w:val="20"/>
          <w:szCs w:val="20"/>
          <w:color w:val="auto"/>
        </w:rPr>
      </w:pPr>
      <w:r>
        <w:rPr>
          <w:rFonts w:ascii="Arial" w:cs="Arial" w:eastAsia="Arial" w:hAnsi="Arial"/>
          <w:sz w:val="14"/>
          <w:szCs w:val="14"/>
          <w:color w:val="auto"/>
        </w:rPr>
        <w:t>convertible</w:t>
      </w:r>
    </w:p>
    <w:p>
      <w:pPr>
        <w:spacing w:after="0" w:line="222" w:lineRule="auto"/>
        <w:rPr>
          <w:sz w:val="20"/>
          <w:szCs w:val="20"/>
          <w:color w:val="auto"/>
        </w:rPr>
      </w:pPr>
      <w:r>
        <w:rPr>
          <w:rFonts w:ascii="Arial" w:cs="Arial" w:eastAsia="Arial" w:hAnsi="Arial"/>
          <w:sz w:val="14"/>
          <w:szCs w:val="14"/>
          <w:color w:val="auto"/>
        </w:rPr>
        <w:t>preferred stock</w:t>
      </w:r>
    </w:p>
    <w:p>
      <w:pPr>
        <w:spacing w:after="0" w:line="221" w:lineRule="auto"/>
        <w:rPr>
          <w:sz w:val="20"/>
          <w:szCs w:val="20"/>
          <w:color w:val="auto"/>
        </w:rPr>
      </w:pPr>
      <w:r>
        <w:rPr>
          <w:rFonts w:ascii="Arial" w:cs="Arial" w:eastAsia="Arial" w:hAnsi="Arial"/>
          <w:sz w:val="14"/>
          <w:szCs w:val="14"/>
          <w:color w:val="auto"/>
        </w:rPr>
        <w:t>to class</w:t>
      </w:r>
    </w:p>
    <w:p>
      <w:pPr>
        <w:spacing w:after="0" w:line="1" w:lineRule="exact"/>
        <w:rPr>
          <w:sz w:val="20"/>
          <w:szCs w:val="20"/>
          <w:color w:val="auto"/>
        </w:rPr>
      </w:pPr>
    </w:p>
    <w:p>
      <w:pPr>
        <w:ind w:right="10480" w:firstLine="116"/>
        <w:spacing w:after="0" w:line="221" w:lineRule="auto"/>
        <w:tabs>
          <w:tab w:leader="none" w:pos="2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common stock in connection with initial</w:t>
      </w:r>
    </w:p>
    <w:p>
      <w:pPr>
        <w:spacing w:after="0" w:line="1" w:lineRule="exact"/>
        <w:rPr>
          <w:rFonts w:ascii="Arial" w:cs="Arial" w:eastAsia="Arial" w:hAnsi="Arial"/>
          <w:sz w:val="14"/>
          <w:szCs w:val="14"/>
          <w:color w:val="auto"/>
        </w:rPr>
      </w:pPr>
    </w:p>
    <w:p>
      <w:pPr>
        <w:ind w:left="120"/>
        <w:spacing w:after="0" w:line="221" w:lineRule="auto"/>
        <w:rPr>
          <w:rFonts w:ascii="Arial" w:cs="Arial" w:eastAsia="Arial" w:hAnsi="Arial"/>
          <w:sz w:val="14"/>
          <w:szCs w:val="14"/>
          <w:color w:val="auto"/>
        </w:rPr>
      </w:pPr>
      <w:r>
        <w:rPr>
          <w:rFonts w:ascii="Arial" w:cs="Arial" w:eastAsia="Arial" w:hAnsi="Arial"/>
          <w:sz w:val="14"/>
          <w:szCs w:val="14"/>
          <w:color w:val="auto"/>
        </w:rPr>
        <w:t>public</w:t>
      </w:r>
    </w:p>
    <w:tbl>
      <w:tblPr>
        <w:tblLayout w:type="fixed"/>
        <w:tblInd w:w="0" w:type="dxa"/>
        <w:tblCellMar>
          <w:top w:w="0" w:type="dxa"/>
          <w:left w:w="0" w:type="dxa"/>
          <w:bottom w:w="0" w:type="dxa"/>
          <w:right w:w="0" w:type="dxa"/>
        </w:tblCellMar>
      </w:tblPr>
      <w:tr>
        <w:trPr>
          <w:trHeight w:val="150"/>
        </w:trPr>
        <w:tc>
          <w:tcPr>
            <w:tcW w:w="980" w:type="dxa"/>
            <w:vAlign w:val="bottom"/>
          </w:tcPr>
          <w:p>
            <w:pPr>
              <w:spacing w:after="0" w:line="151" w:lineRule="exact"/>
              <w:rPr>
                <w:sz w:val="20"/>
                <w:szCs w:val="20"/>
                <w:color w:val="auto"/>
              </w:rPr>
            </w:pPr>
            <w:r>
              <w:rPr>
                <w:rFonts w:ascii="Arial" w:cs="Arial" w:eastAsia="Arial" w:hAnsi="Arial"/>
                <w:sz w:val="14"/>
                <w:szCs w:val="14"/>
                <w:color w:val="auto"/>
              </w:rPr>
              <w:t>offering</w:t>
            </w:r>
          </w:p>
        </w:tc>
        <w:tc>
          <w:tcPr>
            <w:tcW w:w="1060" w:type="dxa"/>
            <w:vAlign w:val="bottom"/>
          </w:tcPr>
          <w:p>
            <w:pPr>
              <w:jc w:val="right"/>
              <w:ind w:right="28"/>
              <w:spacing w:after="0" w:line="151" w:lineRule="exact"/>
              <w:rPr>
                <w:sz w:val="20"/>
                <w:szCs w:val="20"/>
                <w:color w:val="auto"/>
              </w:rPr>
            </w:pPr>
            <w:r>
              <w:rPr>
                <w:rFonts w:ascii="Arial" w:cs="Arial" w:eastAsia="Arial" w:hAnsi="Arial"/>
                <w:sz w:val="14"/>
                <w:szCs w:val="14"/>
                <w:color w:val="auto"/>
              </w:rPr>
              <w:t>(179,011,431)</w:t>
            </w:r>
          </w:p>
        </w:tc>
        <w:tc>
          <w:tcPr>
            <w:tcW w:w="820" w:type="dxa"/>
            <w:vAlign w:val="bottom"/>
          </w:tcPr>
          <w:p>
            <w:pPr>
              <w:jc w:val="right"/>
              <w:ind w:right="48"/>
              <w:spacing w:after="0" w:line="151" w:lineRule="exact"/>
              <w:rPr>
                <w:sz w:val="20"/>
                <w:szCs w:val="20"/>
                <w:color w:val="auto"/>
              </w:rPr>
            </w:pPr>
            <w:r>
              <w:rPr>
                <w:rFonts w:ascii="Arial" w:cs="Arial" w:eastAsia="Arial" w:hAnsi="Arial"/>
                <w:sz w:val="14"/>
                <w:szCs w:val="14"/>
                <w:color w:val="auto"/>
              </w:rPr>
              <w:t>(140,752)</w:t>
            </w:r>
          </w:p>
        </w:tc>
        <w:tc>
          <w:tcPr>
            <w:tcW w:w="1160" w:type="dxa"/>
            <w:vAlign w:val="bottom"/>
          </w:tcPr>
          <w:p>
            <w:pPr>
              <w:jc w:val="right"/>
              <w:ind w:right="248"/>
              <w:spacing w:after="0" w:line="151" w:lineRule="exact"/>
              <w:rPr>
                <w:sz w:val="20"/>
                <w:szCs w:val="20"/>
                <w:color w:val="auto"/>
              </w:rPr>
            </w:pPr>
            <w:r>
              <w:rPr>
                <w:rFonts w:ascii="Arial" w:cs="Arial" w:eastAsia="Arial" w:hAnsi="Arial"/>
                <w:sz w:val="14"/>
                <w:szCs w:val="14"/>
                <w:color w:val="auto"/>
              </w:rPr>
              <w:t>179,011,431</w:t>
            </w:r>
          </w:p>
        </w:tc>
        <w:tc>
          <w:tcPr>
            <w:tcW w:w="760" w:type="dxa"/>
            <w:vAlign w:val="bottom"/>
          </w:tcPr>
          <w:p>
            <w:pPr>
              <w:jc w:val="right"/>
              <w:ind w:right="328"/>
              <w:spacing w:after="0" w:line="151" w:lineRule="exact"/>
              <w:rPr>
                <w:sz w:val="20"/>
                <w:szCs w:val="20"/>
                <w:color w:val="auto"/>
              </w:rPr>
            </w:pPr>
            <w:r>
              <w:rPr>
                <w:rFonts w:ascii="Arial" w:cs="Arial" w:eastAsia="Arial" w:hAnsi="Arial"/>
                <w:sz w:val="14"/>
                <w:szCs w:val="14"/>
                <w:color w:val="auto"/>
              </w:rPr>
              <w:t>2</w:t>
            </w:r>
          </w:p>
        </w:tc>
        <w:tc>
          <w:tcPr>
            <w:tcW w:w="780" w:type="dxa"/>
            <w:vAlign w:val="bottom"/>
          </w:tcPr>
          <w:p>
            <w:pPr>
              <w:ind w:left="380"/>
              <w:spacing w:after="0" w:line="151" w:lineRule="exact"/>
              <w:rPr>
                <w:sz w:val="20"/>
                <w:szCs w:val="20"/>
                <w:color w:val="auto"/>
              </w:rPr>
            </w:pPr>
            <w:r>
              <w:rPr>
                <w:rFonts w:ascii="Arial" w:cs="Arial" w:eastAsia="Arial" w:hAnsi="Arial"/>
                <w:sz w:val="14"/>
                <w:szCs w:val="14"/>
                <w:color w:val="auto"/>
              </w:rPr>
              <w:t>—</w:t>
            </w:r>
          </w:p>
        </w:tc>
        <w:tc>
          <w:tcPr>
            <w:tcW w:w="760" w:type="dxa"/>
            <w:vAlign w:val="bottom"/>
          </w:tcPr>
          <w:p>
            <w:pPr>
              <w:ind w:left="260"/>
              <w:spacing w:after="0" w:line="151" w:lineRule="exact"/>
              <w:rPr>
                <w:sz w:val="20"/>
                <w:szCs w:val="20"/>
                <w:color w:val="auto"/>
              </w:rPr>
            </w:pPr>
            <w:r>
              <w:rPr>
                <w:rFonts w:ascii="Arial" w:cs="Arial" w:eastAsia="Arial" w:hAnsi="Arial"/>
                <w:sz w:val="14"/>
                <w:szCs w:val="14"/>
                <w:color w:val="auto"/>
              </w:rPr>
              <w:t>—</w:t>
            </w:r>
          </w:p>
        </w:tc>
        <w:tc>
          <w:tcPr>
            <w:tcW w:w="760" w:type="dxa"/>
            <w:vAlign w:val="bottom"/>
          </w:tcPr>
          <w:p>
            <w:pPr>
              <w:ind w:left="360"/>
              <w:spacing w:after="0" w:line="151" w:lineRule="exact"/>
              <w:rPr>
                <w:sz w:val="20"/>
                <w:szCs w:val="20"/>
                <w:color w:val="auto"/>
              </w:rPr>
            </w:pPr>
            <w:r>
              <w:rPr>
                <w:rFonts w:ascii="Arial" w:cs="Arial" w:eastAsia="Arial" w:hAnsi="Arial"/>
                <w:sz w:val="14"/>
                <w:szCs w:val="14"/>
                <w:color w:val="auto"/>
              </w:rPr>
              <w:t>—</w:t>
            </w:r>
          </w:p>
        </w:tc>
        <w:tc>
          <w:tcPr>
            <w:tcW w:w="560" w:type="dxa"/>
            <w:vAlign w:val="bottom"/>
          </w:tcPr>
          <w:p>
            <w:pPr>
              <w:ind w:left="260"/>
              <w:spacing w:after="0" w:line="151"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388"/>
              <w:spacing w:after="0" w:line="151" w:lineRule="exact"/>
              <w:rPr>
                <w:sz w:val="20"/>
                <w:szCs w:val="20"/>
                <w:color w:val="auto"/>
              </w:rPr>
            </w:pPr>
            <w:r>
              <w:rPr>
                <w:rFonts w:ascii="Arial" w:cs="Arial" w:eastAsia="Arial" w:hAnsi="Arial"/>
                <w:sz w:val="14"/>
                <w:szCs w:val="14"/>
                <w:color w:val="auto"/>
              </w:rPr>
              <w:t>140,750</w:t>
            </w:r>
          </w:p>
        </w:tc>
        <w:tc>
          <w:tcPr>
            <w:tcW w:w="1040" w:type="dxa"/>
            <w:vAlign w:val="bottom"/>
          </w:tcPr>
          <w:p>
            <w:pPr>
              <w:ind w:left="480"/>
              <w:spacing w:after="0" w:line="151" w:lineRule="exact"/>
              <w:rPr>
                <w:sz w:val="20"/>
                <w:szCs w:val="20"/>
                <w:color w:val="auto"/>
              </w:rPr>
            </w:pPr>
            <w:r>
              <w:rPr>
                <w:rFonts w:ascii="Arial" w:cs="Arial" w:eastAsia="Arial" w:hAnsi="Arial"/>
                <w:sz w:val="14"/>
                <w:szCs w:val="14"/>
                <w:color w:val="auto"/>
              </w:rPr>
              <w:t>—</w:t>
            </w:r>
          </w:p>
        </w:tc>
        <w:tc>
          <w:tcPr>
            <w:tcW w:w="820" w:type="dxa"/>
            <w:vAlign w:val="bottom"/>
          </w:tcPr>
          <w:p>
            <w:pPr>
              <w:ind w:left="420"/>
              <w:spacing w:after="0" w:line="151"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140,752</w:t>
            </w:r>
          </w:p>
        </w:tc>
      </w:tr>
      <w:tr>
        <w:trPr>
          <w:trHeight w:val="149"/>
        </w:trPr>
        <w:tc>
          <w:tcPr>
            <w:tcW w:w="980" w:type="dxa"/>
            <w:vAlign w:val="bottom"/>
          </w:tcPr>
          <w:p>
            <w:pPr>
              <w:spacing w:after="0" w:line="149" w:lineRule="exact"/>
              <w:rPr>
                <w:sz w:val="20"/>
                <w:szCs w:val="20"/>
                <w:color w:val="auto"/>
              </w:rPr>
            </w:pPr>
            <w:r>
              <w:rPr>
                <w:rFonts w:ascii="Arial" w:cs="Arial" w:eastAsia="Arial" w:hAnsi="Arial"/>
                <w:sz w:val="14"/>
                <w:szCs w:val="14"/>
                <w:color w:val="auto"/>
              </w:rPr>
              <w:t>Issuance of</w:t>
            </w:r>
          </w:p>
        </w:tc>
        <w:tc>
          <w:tcPr>
            <w:tcW w:w="10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27,600,000</w:t>
            </w:r>
          </w:p>
        </w:tc>
        <w:tc>
          <w:tcPr>
            <w:tcW w:w="7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1</w:t>
            </w:r>
          </w:p>
        </w:tc>
        <w:tc>
          <w:tcPr>
            <w:tcW w:w="7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705,893</w:t>
            </w:r>
          </w:p>
        </w:tc>
        <w:tc>
          <w:tcPr>
            <w:tcW w:w="10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705,894</w:t>
            </w:r>
          </w:p>
        </w:tc>
      </w:tr>
      <w:tr>
        <w:trPr>
          <w:trHeight w:val="149"/>
        </w:trPr>
        <w:tc>
          <w:tcPr>
            <w:tcW w:w="980" w:type="dxa"/>
            <w:vAlign w:val="bottom"/>
          </w:tcPr>
          <w:p>
            <w:pPr>
              <w:spacing w:after="0" w:line="149" w:lineRule="exact"/>
              <w:rPr>
                <w:sz w:val="20"/>
                <w:szCs w:val="20"/>
                <w:color w:val="auto"/>
              </w:rPr>
            </w:pPr>
            <w:r>
              <w:rPr>
                <w:rFonts w:ascii="Arial" w:cs="Arial" w:eastAsia="Arial" w:hAnsi="Arial"/>
                <w:sz w:val="14"/>
                <w:szCs w:val="14"/>
                <w:color w:val="auto"/>
              </w:rPr>
              <w:t>class A</w:t>
            </w: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980" w:type="dxa"/>
            <w:vAlign w:val="bottom"/>
          </w:tcPr>
          <w:p>
            <w:pPr>
              <w:spacing w:after="0" w:line="149" w:lineRule="exact"/>
              <w:rPr>
                <w:sz w:val="20"/>
                <w:szCs w:val="20"/>
                <w:color w:val="auto"/>
              </w:rPr>
            </w:pPr>
            <w:r>
              <w:rPr>
                <w:rFonts w:ascii="Arial" w:cs="Arial" w:eastAsia="Arial" w:hAnsi="Arial"/>
                <w:sz w:val="14"/>
                <w:szCs w:val="14"/>
                <w:color w:val="auto"/>
              </w:rPr>
              <w:t>common stock</w:t>
            </w: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2"/>
        </w:trPr>
        <w:tc>
          <w:tcPr>
            <w:tcW w:w="980" w:type="dxa"/>
            <w:vAlign w:val="bottom"/>
          </w:tcPr>
          <w:p>
            <w:pPr>
              <w:spacing w:after="0"/>
              <w:rPr>
                <w:sz w:val="20"/>
                <w:szCs w:val="20"/>
                <w:color w:val="auto"/>
              </w:rPr>
            </w:pPr>
            <w:r>
              <w:rPr>
                <w:rFonts w:ascii="Arial" w:cs="Arial" w:eastAsia="Arial" w:hAnsi="Arial"/>
                <w:sz w:val="14"/>
                <w:szCs w:val="14"/>
                <w:color w:val="auto"/>
              </w:rPr>
              <w:t>in</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ectPr>
          <w:pgSz w:w="11900" w:h="16838" w:orient="portrait"/>
          <w:cols w:equalWidth="0" w:num="1">
            <w:col w:w="11420"/>
          </w:cols>
          <w:pgMar w:left="240" w:top="121" w:right="239"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ind w:left="120"/>
              <w:spacing w:after="0"/>
              <w:rPr>
                <w:sz w:val="20"/>
                <w:szCs w:val="20"/>
                <w:color w:val="auto"/>
              </w:rPr>
            </w:pPr>
            <w:r>
              <w:rPr>
                <w:rFonts w:ascii="Arial" w:cs="Arial" w:eastAsia="Arial" w:hAnsi="Arial"/>
                <w:sz w:val="14"/>
                <w:szCs w:val="14"/>
                <w:color w:val="auto"/>
              </w:rPr>
              <w:t>connection</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with initial</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public offering,</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net of</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underwriting</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discounts and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7"/>
        </w:trPr>
        <w:tc>
          <w:tcPr>
            <w:tcW w:w="1040" w:type="dxa"/>
            <w:vAlign w:val="bottom"/>
          </w:tcPr>
          <w:p>
            <w:pPr>
              <w:spacing w:after="0"/>
              <w:rPr>
                <w:sz w:val="20"/>
                <w:szCs w:val="20"/>
                <w:color w:val="auto"/>
              </w:rPr>
            </w:pPr>
            <w:r>
              <w:rPr>
                <w:rFonts w:ascii="Arial" w:cs="Arial" w:eastAsia="Arial" w:hAnsi="Arial"/>
                <w:sz w:val="14"/>
                <w:szCs w:val="14"/>
                <w:color w:val="auto"/>
              </w:rPr>
              <w:t>issuance costs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3"/>
        </w:trPr>
        <w:tc>
          <w:tcPr>
            <w:tcW w:w="1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Other</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comprehensive</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r>
      <w:tr>
        <w:trPr>
          <w:trHeight w:val="167"/>
        </w:trPr>
        <w:tc>
          <w:tcPr>
            <w:tcW w:w="1040" w:type="dxa"/>
            <w:vAlign w:val="bottom"/>
            <w:shd w:val="clear" w:color="auto" w:fill="CFF0FC"/>
          </w:tcPr>
          <w:p>
            <w:pPr>
              <w:spacing w:after="0"/>
              <w:rPr>
                <w:sz w:val="20"/>
                <w:szCs w:val="20"/>
                <w:color w:val="auto"/>
              </w:rPr>
            </w:pPr>
            <w:r>
              <w:rPr>
                <w:rFonts w:ascii="Arial" w:cs="Arial" w:eastAsia="Arial" w:hAnsi="Arial"/>
                <w:sz w:val="14"/>
                <w:szCs w:val="14"/>
                <w:color w:val="auto"/>
              </w:rPr>
              <w:t>income (loss)</w:t>
            </w:r>
          </w:p>
        </w:tc>
        <w:tc>
          <w:tcPr>
            <w:tcW w:w="1280" w:type="dxa"/>
            <w:vAlign w:val="bottom"/>
            <w:gridSpan w:val="3"/>
            <w:shd w:val="clear" w:color="auto" w:fill="CFF0FC"/>
          </w:tcPr>
          <w:p>
            <w:pPr>
              <w:ind w:left="680"/>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102</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102</w:t>
            </w:r>
          </w:p>
        </w:tc>
      </w:tr>
      <w:tr>
        <w:trPr>
          <w:trHeight w:val="162"/>
        </w:trPr>
        <w:tc>
          <w:tcPr>
            <w:tcW w:w="1040" w:type="dxa"/>
            <w:vAlign w:val="bottom"/>
          </w:tcPr>
          <w:p>
            <w:pPr>
              <w:spacing w:after="0"/>
              <w:rPr>
                <w:sz w:val="20"/>
                <w:szCs w:val="20"/>
                <w:color w:val="auto"/>
              </w:rPr>
            </w:pPr>
            <w:r>
              <w:rPr>
                <w:rFonts w:ascii="Arial" w:cs="Arial" w:eastAsia="Arial" w:hAnsi="Arial"/>
                <w:sz w:val="14"/>
                <w:szCs w:val="14"/>
                <w:color w:val="auto"/>
              </w:rPr>
              <w:t>Net loss</w:t>
            </w:r>
          </w:p>
        </w:tc>
        <w:tc>
          <w:tcPr>
            <w:tcW w:w="1280" w:type="dxa"/>
            <w:vAlign w:val="bottom"/>
            <w:gridSpan w:val="3"/>
          </w:tcPr>
          <w:p>
            <w:pPr>
              <w:ind w:left="680"/>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2"/>
          </w:tcPr>
          <w:p>
            <w:pPr>
              <w:ind w:lef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8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(16,710)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(16,710)</w:t>
            </w:r>
          </w:p>
        </w:tc>
      </w:tr>
      <w:tr>
        <w:trPr>
          <w:trHeight w:val="137"/>
        </w:trPr>
        <w:tc>
          <w:tcPr>
            <w:tcW w:w="10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BALANCE—</w:t>
            </w:r>
          </w:p>
        </w:tc>
        <w:tc>
          <w:tcPr>
            <w:tcW w:w="9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right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December 31,</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r>
      <w:tr>
        <w:trPr>
          <w:trHeight w:val="167"/>
        </w:trPr>
        <w:tc>
          <w:tcPr>
            <w:tcW w:w="1040" w:type="dxa"/>
            <w:vAlign w:val="bottom"/>
            <w:shd w:val="clear" w:color="auto" w:fill="CFF0FC"/>
          </w:tcPr>
          <w:p>
            <w:pPr>
              <w:spacing w:after="0"/>
              <w:rPr>
                <w:sz w:val="20"/>
                <w:szCs w:val="20"/>
                <w:color w:val="auto"/>
              </w:rPr>
            </w:pPr>
            <w:r>
              <w:rPr>
                <w:rFonts w:ascii="Arial" w:cs="Arial" w:eastAsia="Arial" w:hAnsi="Arial"/>
                <w:sz w:val="14"/>
                <w:szCs w:val="14"/>
                <w:color w:val="auto"/>
              </w:rPr>
              <w:t>2019</w:t>
            </w:r>
          </w:p>
        </w:tc>
        <w:tc>
          <w:tcPr>
            <w:tcW w:w="1280" w:type="dxa"/>
            <w:vAlign w:val="bottom"/>
            <w:gridSpan w:val="3"/>
            <w:shd w:val="clear" w:color="auto" w:fill="CFF0FC"/>
          </w:tcPr>
          <w:p>
            <w:pPr>
              <w:ind w:left="680"/>
              <w:spacing w:after="0"/>
              <w:rPr>
                <w:sz w:val="20"/>
                <w:szCs w:val="20"/>
                <w:color w:val="auto"/>
              </w:rPr>
            </w:pPr>
            <w:r>
              <w:rPr>
                <w:rFonts w:ascii="Arial" w:cs="Arial" w:eastAsia="Arial" w:hAnsi="Arial"/>
                <w:sz w:val="14"/>
                <w:szCs w:val="14"/>
                <w:color w:val="auto"/>
              </w:rPr>
              <w:t>—  $</w:t>
            </w:r>
          </w:p>
        </w:tc>
        <w:tc>
          <w:tcPr>
            <w:tcW w:w="540" w:type="dxa"/>
            <w:vAlign w:val="bottom"/>
            <w:tcBorders>
              <w:right w:val="single" w:sz="8" w:color="auto"/>
            </w:tcBorders>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97"/>
              </w:rPr>
              <w:t>296,386,950</w:t>
            </w: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ind w:left="620"/>
              <w:spacing w:after="0"/>
              <w:rPr>
                <w:sz w:val="20"/>
                <w:szCs w:val="20"/>
                <w:color w:val="auto"/>
              </w:rPr>
            </w:pPr>
            <w:r>
              <w:rPr>
                <w:rFonts w:ascii="Arial" w:cs="Arial" w:eastAsia="Arial" w:hAnsi="Arial"/>
                <w:sz w:val="14"/>
                <w:szCs w:val="14"/>
                <w:color w:val="auto"/>
              </w:rPr>
              <w:t>—  $</w:t>
            </w:r>
          </w:p>
        </w:tc>
        <w:tc>
          <w:tcPr>
            <w:tcW w:w="44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FF0FC"/>
          </w:tcPr>
          <w:p>
            <w:pPr>
              <w:ind w:left="560"/>
              <w:spacing w:after="0"/>
              <w:rPr>
                <w:sz w:val="20"/>
                <w:szCs w:val="20"/>
                <w:color w:val="auto"/>
              </w:rPr>
            </w:pPr>
            <w:r>
              <w:rPr>
                <w:rFonts w:ascii="Arial" w:cs="Arial" w:eastAsia="Arial" w:hAnsi="Arial"/>
                <w:sz w:val="14"/>
                <w:szCs w:val="14"/>
                <w:color w:val="auto"/>
              </w:rPr>
              <w:t>—  $</w:t>
            </w:r>
          </w:p>
        </w:tc>
        <w:tc>
          <w:tcPr>
            <w:tcW w:w="4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96"/>
              </w:rPr>
              <w:t>$  905,821</w:t>
            </w: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133</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(123,616)</w:t>
            </w: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782,341</w:t>
            </w:r>
          </w:p>
        </w:tc>
      </w:tr>
      <w:tr>
        <w:trPr>
          <w:trHeight w:val="20"/>
        </w:trPr>
        <w:tc>
          <w:tcPr>
            <w:tcW w:w="10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7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60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(16,710)</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(10,762)</w:t>
            </w:r>
          </w:p>
        </w:tc>
        <w:tc>
          <w:tcPr>
            <w:tcW w:w="160" w:type="dxa"/>
            <w:vAlign w:val="bottom"/>
          </w:tcPr>
          <w:p>
            <w:pPr>
              <w:spacing w:after="0"/>
              <w:rPr>
                <w:sz w:val="14"/>
                <w:szCs w:val="14"/>
                <w:color w:val="auto"/>
              </w:rPr>
            </w:pPr>
          </w:p>
        </w:tc>
        <w:tc>
          <w:tcPr>
            <w:tcW w:w="280" w:type="dxa"/>
            <w:vAlign w:val="bottom"/>
            <w:gridSpan w:val="2"/>
          </w:tcPr>
          <w:p>
            <w:pPr>
              <w:jc w:val="right"/>
              <w:ind w:right="194"/>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480"/>
              <w:spacing w:after="0"/>
              <w:rPr>
                <w:sz w:val="20"/>
                <w:szCs w:val="20"/>
                <w:color w:val="auto"/>
              </w:rPr>
            </w:pPr>
            <w:r>
              <w:rPr>
                <w:rFonts w:ascii="Arial" w:cs="Arial" w:eastAsia="Arial" w:hAnsi="Arial"/>
                <w:sz w:val="14"/>
                <w:szCs w:val="14"/>
                <w:color w:val="auto"/>
              </w:rPr>
              <w:t>Depreciation and amortization</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12,370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6,026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Amortization of discounts or premiums on marketable securities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480"/>
              <w:spacing w:after="0"/>
              <w:rPr>
                <w:sz w:val="20"/>
                <w:szCs w:val="20"/>
                <w:color w:val="auto"/>
              </w:rPr>
            </w:pPr>
            <w:r>
              <w:rPr>
                <w:rFonts w:ascii="Arial" w:cs="Arial" w:eastAsia="Arial" w:hAnsi="Arial"/>
                <w:sz w:val="14"/>
                <w:szCs w:val="14"/>
                <w:color w:val="auto"/>
              </w:rPr>
              <w:t>Amortization of deferred contract costs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5,400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2,671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Stock-based compensation, net of amounts capitalized</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19,034</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5,244</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480"/>
              <w:spacing w:after="0"/>
              <w:rPr>
                <w:sz w:val="20"/>
                <w:szCs w:val="20"/>
                <w:color w:val="auto"/>
              </w:rPr>
            </w:pPr>
            <w:r>
              <w:rPr>
                <w:rFonts w:ascii="Arial" w:cs="Arial" w:eastAsia="Arial" w:hAnsi="Arial"/>
                <w:sz w:val="14"/>
                <w:szCs w:val="14"/>
                <w:color w:val="auto"/>
              </w:rPr>
              <w:t>Non-cash lease expense</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11,763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Provision for accounts receivable allowance</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1,195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477</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480"/>
              <w:spacing w:after="0"/>
              <w:rPr>
                <w:sz w:val="20"/>
                <w:szCs w:val="20"/>
                <w:color w:val="auto"/>
              </w:rPr>
            </w:pPr>
            <w:r>
              <w:rPr>
                <w:rFonts w:ascii="Arial" w:cs="Arial" w:eastAsia="Arial" w:hAnsi="Arial"/>
                <w:sz w:val="14"/>
                <w:szCs w:val="14"/>
                <w:color w:val="auto"/>
              </w:rPr>
              <w:t>Loss on disposal of property and equipment</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708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Changes in operating assets and liabilities: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720"/>
              <w:spacing w:after="0"/>
              <w:rPr>
                <w:sz w:val="20"/>
                <w:szCs w:val="20"/>
                <w:color w:val="auto"/>
              </w:rPr>
            </w:pPr>
            <w:r>
              <w:rPr>
                <w:rFonts w:ascii="Arial" w:cs="Arial" w:eastAsia="Arial" w:hAnsi="Arial"/>
                <w:sz w:val="14"/>
                <w:szCs w:val="14"/>
                <w:color w:val="auto"/>
              </w:rPr>
              <w:t>Accounts receivable, net</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(47,510)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(25,322)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(19,274)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FF0FC"/>
          </w:tcPr>
          <w:p>
            <w:pPr>
              <w:ind w:left="720"/>
              <w:spacing w:after="0"/>
              <w:rPr>
                <w:sz w:val="20"/>
                <w:szCs w:val="20"/>
                <w:color w:val="auto"/>
              </w:rPr>
            </w:pPr>
            <w:r>
              <w:rPr>
                <w:rFonts w:ascii="Arial" w:cs="Arial" w:eastAsia="Arial" w:hAnsi="Arial"/>
                <w:sz w:val="14"/>
                <w:szCs w:val="14"/>
                <w:color w:val="auto"/>
              </w:rPr>
              <w:t>Deferred contract costs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(20,146)</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(8,925)</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720"/>
              <w:spacing w:after="0"/>
              <w:rPr>
                <w:sz w:val="20"/>
                <w:szCs w:val="20"/>
                <w:color w:val="auto"/>
              </w:rPr>
            </w:pPr>
            <w:r>
              <w:rPr>
                <w:rFonts w:ascii="Arial" w:cs="Arial" w:eastAsia="Arial" w:hAnsi="Arial"/>
                <w:sz w:val="14"/>
                <w:szCs w:val="14"/>
                <w:color w:val="auto"/>
              </w:rPr>
              <w:t>Prepaid expenses and other current assets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(10,046)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(1,331)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FF0FC"/>
          </w:tcPr>
          <w:p>
            <w:pPr>
              <w:ind w:left="720"/>
              <w:spacing w:after="0"/>
              <w:rPr>
                <w:sz w:val="20"/>
                <w:szCs w:val="20"/>
                <w:color w:val="auto"/>
              </w:rPr>
            </w:pPr>
            <w:r>
              <w:rPr>
                <w:rFonts w:ascii="Arial" w:cs="Arial" w:eastAsia="Arial" w:hAnsi="Arial"/>
                <w:sz w:val="14"/>
                <w:szCs w:val="14"/>
                <w:color w:val="auto"/>
              </w:rPr>
              <w:t>Other assets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(8,486)</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(6,955)</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2,484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7,241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4,647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FF0FC"/>
          </w:tcPr>
          <w:p>
            <w:pPr>
              <w:ind w:left="720"/>
              <w:spacing w:after="0"/>
              <w:rPr>
                <w:sz w:val="20"/>
                <w:szCs w:val="20"/>
                <w:color w:val="auto"/>
              </w:rPr>
            </w:pPr>
            <w:r>
              <w:rPr>
                <w:rFonts w:ascii="Arial" w:cs="Arial" w:eastAsia="Arial" w:hAnsi="Arial"/>
                <w:sz w:val="14"/>
                <w:szCs w:val="14"/>
                <w:color w:val="auto"/>
              </w:rPr>
              <w:t>Accrued expenses and other liabilities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6,376</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10,857</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Borders>
              <w:bottom w:val="single" w:sz="8" w:color="CFF0FC"/>
            </w:tcBorders>
          </w:tcPr>
          <w:p>
            <w:pPr>
              <w:ind w:left="720"/>
              <w:spacing w:after="0"/>
              <w:rPr>
                <w:sz w:val="20"/>
                <w:szCs w:val="20"/>
                <w:color w:val="auto"/>
              </w:rPr>
            </w:pPr>
            <w:r>
              <w:rPr>
                <w:rFonts w:ascii="Arial" w:cs="Arial" w:eastAsia="Arial" w:hAnsi="Arial"/>
                <w:sz w:val="14"/>
                <w:szCs w:val="14"/>
                <w:color w:val="auto"/>
              </w:rPr>
              <w:t>Deferred revenue</w:t>
            </w:r>
          </w:p>
        </w:tc>
        <w:tc>
          <w:tcPr>
            <w:tcW w:w="78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67,790</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31,599</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29,825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9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78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24,234</w:t>
            </w:r>
          </w:p>
        </w:tc>
        <w:tc>
          <w:tcPr>
            <w:tcW w:w="1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10,829</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13,832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4"/>
                <w:szCs w:val="14"/>
                <w:color w:val="auto"/>
              </w:rPr>
              <w:t>CASH FLOWS FROM INVESTING ACTIVITIES: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240"/>
              <w:spacing w:after="0"/>
              <w:rPr>
                <w:sz w:val="20"/>
                <w:szCs w:val="20"/>
                <w:color w:val="auto"/>
              </w:rPr>
            </w:pPr>
            <w:r>
              <w:rPr>
                <w:rFonts w:ascii="Arial" w:cs="Arial" w:eastAsia="Arial" w:hAnsi="Arial"/>
                <w:sz w:val="14"/>
                <w:szCs w:val="14"/>
                <w:color w:val="auto"/>
              </w:rPr>
              <w:t>Purchases of marketable securities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(176,639)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Purchases of property and equipment</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(13,315)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(9,662)</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240"/>
              <w:spacing w:after="0"/>
              <w:rPr>
                <w:sz w:val="20"/>
                <w:szCs w:val="20"/>
                <w:color w:val="auto"/>
              </w:rPr>
            </w:pPr>
            <w:r>
              <w:rPr>
                <w:rFonts w:ascii="Arial" w:cs="Arial" w:eastAsia="Arial" w:hAnsi="Arial"/>
                <w:sz w:val="14"/>
                <w:szCs w:val="14"/>
                <w:color w:val="auto"/>
              </w:rPr>
              <w:t>Capitalized software development costs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(10,128)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(6,176)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Cash paid for acquisition of businesses; net of cash acquired</w:t>
            </w:r>
          </w:p>
        </w:tc>
        <w:tc>
          <w:tcPr>
            <w:tcW w:w="78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(2,138)</w:t>
            </w: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(1,618)</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(4,957)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Borders>
              <w:bottom w:val="single" w:sz="8" w:color="CFF0FC"/>
            </w:tcBorders>
          </w:tcPr>
          <w:p>
            <w:pPr>
              <w:ind w:left="980"/>
              <w:spacing w:after="0" w:line="155" w:lineRule="exact"/>
              <w:rPr>
                <w:sz w:val="20"/>
                <w:szCs w:val="20"/>
                <w:color w:val="auto"/>
              </w:rPr>
            </w:pPr>
            <w:r>
              <w:rPr>
                <w:rFonts w:ascii="Arial" w:cs="Arial" w:eastAsia="Arial" w:hAnsi="Arial"/>
                <w:sz w:val="14"/>
                <w:szCs w:val="14"/>
                <w:color w:val="auto"/>
              </w:rPr>
              <w:t>Net cash used in investing activities</w:t>
            </w:r>
          </w:p>
        </w:tc>
        <w:tc>
          <w:tcPr>
            <w:tcW w:w="7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(202,220)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(17,456)</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(12,760)</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8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Proceeds from exercise of stock options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7,899</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7,782</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980" w:type="dxa"/>
            <w:vAlign w:val="bottom"/>
          </w:tcPr>
          <w:p>
            <w:pPr>
              <w:ind w:left="240"/>
              <w:spacing w:after="0" w:line="143" w:lineRule="exact"/>
              <w:rPr>
                <w:sz w:val="20"/>
                <w:szCs w:val="20"/>
                <w:color w:val="auto"/>
              </w:rPr>
            </w:pPr>
            <w:r>
              <w:rPr>
                <w:rFonts w:ascii="Arial" w:cs="Arial" w:eastAsia="Arial" w:hAnsi="Arial"/>
                <w:sz w:val="14"/>
                <w:szCs w:val="14"/>
                <w:color w:val="auto"/>
              </w:rPr>
              <w:t>Proceeds from initial public offering, net of underwriting discounts and commissions</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80" w:type="dxa"/>
            <w:vAlign w:val="bottom"/>
          </w:tcPr>
          <w:p>
            <w:pPr>
              <w:ind w:left="340"/>
              <w:spacing w:after="0"/>
              <w:rPr>
                <w:sz w:val="20"/>
                <w:szCs w:val="20"/>
                <w:color w:val="auto"/>
              </w:rPr>
            </w:pPr>
            <w:r>
              <w:rPr>
                <w:rFonts w:ascii="Arial" w:cs="Arial" w:eastAsia="Arial" w:hAnsi="Arial"/>
                <w:sz w:val="14"/>
                <w:szCs w:val="14"/>
                <w:color w:val="auto"/>
              </w:rPr>
              <w:t>and other offering costs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706,317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Borders>
              <w:top w:val="single" w:sz="8" w:color="CFF0FC"/>
            </w:tcBorders>
            <w:shd w:val="clear" w:color="auto" w:fill="CFF0FC"/>
          </w:tcPr>
          <w:p>
            <w:pPr>
              <w:ind w:left="98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78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8"/>
              </w:rPr>
              <w:t>714,216</w:t>
            </w:r>
          </w:p>
        </w:tc>
        <w:tc>
          <w:tcPr>
            <w:tcW w:w="1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14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7,782</w:t>
            </w:r>
          </w:p>
        </w:tc>
        <w:tc>
          <w:tcPr>
            <w:tcW w:w="1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47</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4"/>
                <w:szCs w:val="14"/>
                <w:color w:val="auto"/>
              </w:rPr>
              <w:t>NET INCREASE IN CASH, CASH EQUIVALENTS AND RESTRICTED CASH</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98"/>
              </w:rPr>
              <w:t>536,209</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1,202</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CASH EQUIVALENTS AND RESTRICTED CASH—Beginning of period</w:t>
            </w:r>
          </w:p>
        </w:tc>
        <w:tc>
          <w:tcPr>
            <w:tcW w:w="78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64,980</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63,778</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62,298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CASH EQUIVALENTS AND RESTRICTED CASH —End of period</w:t>
            </w:r>
          </w:p>
        </w:tc>
        <w:tc>
          <w:tcPr>
            <w:tcW w:w="78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66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8"/>
              </w:rPr>
              <w:t>601,189</w:t>
            </w: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64,980</w:t>
            </w:r>
          </w:p>
        </w:tc>
        <w:tc>
          <w:tcPr>
            <w:tcW w:w="16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94"/>
              <w:spacing w:after="0"/>
              <w:rPr>
                <w:sz w:val="20"/>
                <w:szCs w:val="20"/>
                <w:color w:val="auto"/>
              </w:rPr>
            </w:pPr>
            <w:r>
              <w:rPr>
                <w:rFonts w:ascii="Arial" w:cs="Arial" w:eastAsia="Arial" w:hAnsi="Arial"/>
                <w:sz w:val="5"/>
                <w:szCs w:val="5"/>
                <w:color w:val="auto"/>
                <w:w w:val="70"/>
              </w:rPr>
              <w:t>$</w:t>
            </w:r>
          </w:p>
        </w:tc>
        <w:tc>
          <w:tcPr>
            <w:tcW w:w="11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63,778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4"/>
                <w:szCs w:val="14"/>
                <w:color w:val="auto"/>
              </w:rPr>
              <w:t>SUPPLEMENTAL DISCLOSURES OF CASH FLOW INFORMATION:</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240"/>
              <w:spacing w:after="0"/>
              <w:rPr>
                <w:sz w:val="20"/>
                <w:szCs w:val="20"/>
                <w:color w:val="auto"/>
              </w:rPr>
            </w:pPr>
            <w:r>
              <w:rPr>
                <w:rFonts w:ascii="Arial" w:cs="Arial" w:eastAsia="Arial" w:hAnsi="Arial"/>
                <w:sz w:val="14"/>
                <w:szCs w:val="14"/>
                <w:color w:val="auto"/>
              </w:rPr>
              <w:t>Cash paid for income taxes</w:t>
            </w:r>
          </w:p>
        </w:tc>
        <w:tc>
          <w:tcPr>
            <w:tcW w:w="160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14"/>
                <w:szCs w:val="14"/>
                <w:color w:val="auto"/>
              </w:rPr>
            </w:pPr>
          </w:p>
        </w:tc>
        <w:tc>
          <w:tcPr>
            <w:tcW w:w="280" w:type="dxa"/>
            <w:vAlign w:val="bottom"/>
            <w:gridSpan w:val="2"/>
          </w:tcPr>
          <w:p>
            <w:pPr>
              <w:jc w:val="right"/>
              <w:ind w:right="194"/>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9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5980" w:type="dxa"/>
            <w:vAlign w:val="bottom"/>
          </w:tcPr>
          <w:p>
            <w:pPr>
              <w:spacing w:after="0" w:line="143" w:lineRule="exact"/>
              <w:rPr>
                <w:sz w:val="20"/>
                <w:szCs w:val="20"/>
                <w:color w:val="auto"/>
              </w:rPr>
            </w:pPr>
            <w:r>
              <w:rPr>
                <w:rFonts w:ascii="Arial" w:cs="Arial" w:eastAsia="Arial" w:hAnsi="Arial"/>
                <w:sz w:val="14"/>
                <w:szCs w:val="14"/>
                <w:color w:val="auto"/>
              </w:rPr>
              <w:t>SUPPLEMENTAL DISCLOSURE OF NON-CASH INVESTING AND FINANCING</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80" w:type="dxa"/>
            <w:vAlign w:val="bottom"/>
          </w:tcPr>
          <w:p>
            <w:pPr>
              <w:ind w:left="100"/>
              <w:spacing w:after="0"/>
              <w:rPr>
                <w:sz w:val="20"/>
                <w:szCs w:val="20"/>
                <w:color w:val="auto"/>
              </w:rPr>
            </w:pPr>
            <w:r>
              <w:rPr>
                <w:rFonts w:ascii="Arial" w:cs="Arial" w:eastAsia="Arial" w:hAnsi="Arial"/>
                <w:sz w:val="14"/>
                <w:szCs w:val="14"/>
                <w:color w:val="auto"/>
              </w:rPr>
              <w:t>ACTIVITIES: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Accrued property and equipment purchases</w:t>
            </w:r>
          </w:p>
        </w:tc>
        <w:tc>
          <w:tcPr>
            <w:tcW w:w="1600" w:type="dxa"/>
            <w:vAlign w:val="bottom"/>
            <w:gridSpan w:val="2"/>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315</w:t>
            </w:r>
          </w:p>
        </w:tc>
        <w:tc>
          <w:tcPr>
            <w:tcW w:w="4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94"/>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240"/>
              <w:spacing w:after="0"/>
              <w:rPr>
                <w:sz w:val="20"/>
                <w:szCs w:val="20"/>
                <w:color w:val="auto"/>
              </w:rPr>
            </w:pPr>
            <w:r>
              <w:rPr>
                <w:rFonts w:ascii="Arial" w:cs="Arial" w:eastAsia="Arial" w:hAnsi="Arial"/>
                <w:sz w:val="14"/>
                <w:szCs w:val="14"/>
                <w:color w:val="auto"/>
              </w:rPr>
              <w:t>Stock-based compensation included in capitalized software development costs</w:t>
            </w:r>
          </w:p>
        </w:tc>
        <w:tc>
          <w:tcPr>
            <w:tcW w:w="160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60" w:type="dxa"/>
            <w:vAlign w:val="bottom"/>
          </w:tcPr>
          <w:p>
            <w:pPr>
              <w:spacing w:after="0"/>
              <w:rPr>
                <w:sz w:val="14"/>
                <w:szCs w:val="14"/>
                <w:color w:val="auto"/>
              </w:rPr>
            </w:pPr>
          </w:p>
        </w:tc>
        <w:tc>
          <w:tcPr>
            <w:tcW w:w="280" w:type="dxa"/>
            <w:vAlign w:val="bottom"/>
            <w:gridSpan w:val="2"/>
          </w:tcPr>
          <w:p>
            <w:pPr>
              <w:jc w:val="right"/>
              <w:ind w:right="194"/>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Vesting of early exercised options</w:t>
            </w:r>
          </w:p>
        </w:tc>
        <w:tc>
          <w:tcPr>
            <w:tcW w:w="1600" w:type="dxa"/>
            <w:vAlign w:val="bottom"/>
            <w:gridSpan w:val="2"/>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1,883</w:t>
            </w:r>
          </w:p>
        </w:tc>
        <w:tc>
          <w:tcPr>
            <w:tcW w:w="4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375</w:t>
            </w:r>
          </w:p>
        </w:tc>
        <w:tc>
          <w:tcPr>
            <w:tcW w:w="1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94"/>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240"/>
              <w:spacing w:after="0"/>
              <w:rPr>
                <w:sz w:val="20"/>
                <w:szCs w:val="20"/>
                <w:color w:val="auto"/>
              </w:rPr>
            </w:pPr>
            <w:r>
              <w:rPr>
                <w:rFonts w:ascii="Arial" w:cs="Arial" w:eastAsia="Arial" w:hAnsi="Arial"/>
                <w:sz w:val="14"/>
                <w:szCs w:val="14"/>
                <w:color w:val="auto"/>
              </w:rPr>
              <w:t>Acquisition of intangible assets through issuance of common stock</w:t>
            </w:r>
          </w:p>
        </w:tc>
        <w:tc>
          <w:tcPr>
            <w:tcW w:w="160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94"/>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98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Costs related to initial public offering included in accounts payable and accrued</w:t>
            </w:r>
          </w:p>
        </w:tc>
        <w:tc>
          <w:tcPr>
            <w:tcW w:w="7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liabilities</w:t>
            </w:r>
          </w:p>
        </w:tc>
        <w:tc>
          <w:tcPr>
            <w:tcW w:w="1600" w:type="dxa"/>
            <w:vAlign w:val="bottom"/>
            <w:gridSpan w:val="2"/>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423</w:t>
            </w:r>
          </w:p>
        </w:tc>
        <w:tc>
          <w:tcPr>
            <w:tcW w:w="4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jc w:val="right"/>
              <w:ind w:right="194"/>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59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RECONCILIATION OF CASH, CASH EQUIVALENTS AND RESTRICTED CASH</w:t>
            </w:r>
          </w:p>
        </w:tc>
        <w:tc>
          <w:tcPr>
            <w:tcW w:w="7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WITHIN THE CONSOLIDATED BALANCE SHEETS TO THE AMOUNTS SHOWN</w:t>
            </w:r>
          </w:p>
        </w:tc>
        <w:tc>
          <w:tcPr>
            <w:tcW w:w="7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IN THE STATEMENTS OF CASH FLOWS ABOVE:</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160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597,297</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53,639</w:t>
            </w:r>
          </w:p>
        </w:tc>
        <w:tc>
          <w:tcPr>
            <w:tcW w:w="160" w:type="dxa"/>
            <w:vAlign w:val="bottom"/>
          </w:tcPr>
          <w:p>
            <w:pPr>
              <w:spacing w:after="0"/>
              <w:rPr>
                <w:sz w:val="14"/>
                <w:szCs w:val="14"/>
                <w:color w:val="auto"/>
              </w:rPr>
            </w:pPr>
          </w:p>
        </w:tc>
        <w:tc>
          <w:tcPr>
            <w:tcW w:w="280" w:type="dxa"/>
            <w:vAlign w:val="bottom"/>
            <w:gridSpan w:val="2"/>
          </w:tcPr>
          <w:p>
            <w:pPr>
              <w:jc w:val="right"/>
              <w:ind w:right="194"/>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60,024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98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Restricted cash – Including amounts in prepaid expense and other current assets and</w:t>
            </w:r>
          </w:p>
        </w:tc>
        <w:tc>
          <w:tcPr>
            <w:tcW w:w="7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other assets</w:t>
            </w:r>
          </w:p>
        </w:tc>
        <w:tc>
          <w:tcPr>
            <w:tcW w:w="78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3,892</w:t>
            </w: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11,341</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3,754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240"/>
              <w:spacing w:after="0" w:line="155" w:lineRule="exact"/>
              <w:rPr>
                <w:sz w:val="20"/>
                <w:szCs w:val="20"/>
                <w:color w:val="auto"/>
              </w:rPr>
            </w:pPr>
            <w:r>
              <w:rPr>
                <w:rFonts w:ascii="Arial" w:cs="Arial" w:eastAsia="Arial" w:hAnsi="Arial"/>
                <w:sz w:val="14"/>
                <w:szCs w:val="14"/>
                <w:color w:val="auto"/>
              </w:rPr>
              <w:t>Total cash, cash equivalents and restricted cash</w:t>
            </w:r>
          </w:p>
        </w:tc>
        <w:tc>
          <w:tcPr>
            <w:tcW w:w="780" w:type="dxa"/>
            <w:vAlign w:val="bottom"/>
          </w:tcPr>
          <w:p>
            <w:pPr>
              <w:spacing w:after="0"/>
              <w:rPr>
                <w:sz w:val="13"/>
                <w:szCs w:val="13"/>
                <w:color w:val="auto"/>
              </w:rPr>
            </w:pPr>
          </w:p>
        </w:tc>
        <w:tc>
          <w:tcPr>
            <w:tcW w:w="820" w:type="dxa"/>
            <w:vAlign w:val="bottom"/>
            <w:tcBorders>
              <w:bottom w:val="single" w:sz="8" w:color="auto"/>
            </w:tcBorders>
          </w:tcPr>
          <w:p>
            <w:pPr>
              <w:jc w:val="right"/>
              <w:ind w:right="66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8"/>
              </w:rPr>
              <w:t>601,189</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64,980</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194"/>
              <w:spacing w:after="0"/>
              <w:rPr>
                <w:sz w:val="20"/>
                <w:szCs w:val="20"/>
                <w:color w:val="auto"/>
              </w:rPr>
            </w:pPr>
            <w:r>
              <w:rPr>
                <w:rFonts w:ascii="Arial" w:cs="Arial" w:eastAsia="Arial" w:hAnsi="Arial"/>
                <w:sz w:val="5"/>
                <w:szCs w:val="5"/>
                <w:color w:val="auto"/>
                <w:w w:val="70"/>
              </w:rPr>
              <w:t>$</w:t>
            </w:r>
          </w:p>
        </w:tc>
        <w:tc>
          <w:tcPr>
            <w:tcW w:w="11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63,778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DATADOG,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225" w:lineRule="exact"/>
        <w:rPr>
          <w:sz w:val="20"/>
          <w:szCs w:val="20"/>
          <w:color w:val="auto"/>
        </w:rPr>
      </w:pPr>
    </w:p>
    <w:p>
      <w:pPr>
        <w:ind w:right="160" w:firstLine="761"/>
        <w:spacing w:after="0" w:line="279" w:lineRule="auto"/>
        <w:rPr>
          <w:sz w:val="20"/>
          <w:szCs w:val="20"/>
          <w:color w:val="auto"/>
        </w:rPr>
      </w:pPr>
      <w:r>
        <w:rPr>
          <w:rFonts w:ascii="Arial" w:cs="Arial" w:eastAsia="Arial" w:hAnsi="Arial"/>
          <w:sz w:val="17"/>
          <w:szCs w:val="17"/>
          <w:color w:val="231F20"/>
        </w:rPr>
        <w:t>Datadog, Inc. (“Datadog” or the “Company”) was incorporated in the State of Delaware on June 4, 2010. The Company is the monitoring and analytics platform for developers, IT operations teams and business users in the cloud age. The Company’s SaaS platform integrates and automates infrastructure monitoring, application performance monitoring and log management, to provide unified, real-time observability of its customers’ entire technology stack. The Company is headquartered in New York City and has various other global office locations.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 Basis of Presentation and Summary of Significant Accounting Policies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39" w:lineRule="exact"/>
        <w:rPr>
          <w:sz w:val="20"/>
          <w:szCs w:val="20"/>
          <w:color w:val="auto"/>
        </w:rPr>
      </w:pPr>
    </w:p>
    <w:p>
      <w:pPr>
        <w:ind w:right="20" w:firstLine="761"/>
        <w:spacing w:after="0" w:line="277" w:lineRule="auto"/>
        <w:rPr>
          <w:sz w:val="20"/>
          <w:szCs w:val="20"/>
          <w:color w:val="auto"/>
        </w:rPr>
      </w:pPr>
      <w:r>
        <w:rPr>
          <w:rFonts w:ascii="Arial" w:cs="Arial" w:eastAsia="Arial" w:hAnsi="Arial"/>
          <w:sz w:val="18"/>
          <w:szCs w:val="18"/>
          <w:color w:val="231F20"/>
        </w:rPr>
        <w:t>The accompanying consolidated financial statements have been prepared in accordance with accounting principles generally accepted in the United States of America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239" w:lineRule="exact"/>
        <w:rPr>
          <w:sz w:val="20"/>
          <w:szCs w:val="20"/>
          <w:color w:val="auto"/>
        </w:rPr>
      </w:pPr>
    </w:p>
    <w:p>
      <w:pPr>
        <w:ind w:right="140" w:firstLine="761"/>
        <w:spacing w:after="0" w:line="277" w:lineRule="auto"/>
        <w:rPr>
          <w:sz w:val="20"/>
          <w:szCs w:val="20"/>
          <w:color w:val="auto"/>
        </w:rPr>
      </w:pPr>
      <w:r>
        <w:rPr>
          <w:rFonts w:ascii="Arial" w:cs="Arial" w:eastAsia="Arial" w:hAnsi="Arial"/>
          <w:sz w:val="18"/>
          <w:szCs w:val="18"/>
          <w:color w:val="231F20"/>
        </w:rPr>
        <w:t>The consolidated financial statements include the accounts of Datadog, Inc. and its wholly owned subsidiaries. All intercompany transactions and balances have been eliminated in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Initial Public Offering</w:t>
      </w:r>
    </w:p>
    <w:p>
      <w:pPr>
        <w:spacing w:after="0" w:line="239" w:lineRule="exact"/>
        <w:rPr>
          <w:sz w:val="20"/>
          <w:szCs w:val="20"/>
          <w:color w:val="auto"/>
        </w:rPr>
      </w:pPr>
    </w:p>
    <w:p>
      <w:pPr>
        <w:ind w:right="60" w:firstLine="761"/>
        <w:spacing w:after="0" w:line="273" w:lineRule="auto"/>
        <w:rPr>
          <w:sz w:val="20"/>
          <w:szCs w:val="20"/>
          <w:color w:val="auto"/>
        </w:rPr>
      </w:pPr>
      <w:r>
        <w:rPr>
          <w:rFonts w:ascii="Arial" w:cs="Arial" w:eastAsia="Arial" w:hAnsi="Arial"/>
          <w:sz w:val="17"/>
          <w:szCs w:val="17"/>
          <w:color w:val="231F20"/>
        </w:rPr>
        <w:t>On September 23, 2019, the Company completed its initial public offering (“IPO”), in which the Company issued and sold 24,000,000 shares of its Class A common stock at a public offering price of $27.00 per share, which resulted in net proceeds of $615.6 million after deducting underwriting discounts and commissions. On September 25, 2019, the underwriters exercised their option to purchase an additional 3,600,000 shares of Class A common stock at $27.00 per share, resulting in additional proceeds of $92.3 million, net of underwriters’ discounts and commissions. Immediately prior to the closing of the IPO, all shares of common stock then outstanding were reclassified as Class B common stock and all shares of the convertible preferred stock then outstanding automatically converted into 179,011,431 shares of Class B common stock.</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17"/>
          <w:szCs w:val="17"/>
          <w:color w:val="231F20"/>
        </w:rPr>
        <w:t>The Company incurred $2.0 million of net offering costs in connection with the IPO which were recorded as an offset against IPO proceeds.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 Split and Authorized Shares</w:t>
      </w:r>
    </w:p>
    <w:p>
      <w:pPr>
        <w:spacing w:after="0" w:line="239" w:lineRule="exact"/>
        <w:rPr>
          <w:sz w:val="20"/>
          <w:szCs w:val="20"/>
          <w:color w:val="auto"/>
        </w:rPr>
      </w:pPr>
    </w:p>
    <w:p>
      <w:pPr>
        <w:ind w:right="480" w:firstLine="761"/>
        <w:spacing w:after="0" w:line="277" w:lineRule="auto"/>
        <w:rPr>
          <w:sz w:val="20"/>
          <w:szCs w:val="20"/>
          <w:color w:val="auto"/>
        </w:rPr>
      </w:pPr>
      <w:r>
        <w:rPr>
          <w:rFonts w:ascii="Arial" w:cs="Arial" w:eastAsia="Arial" w:hAnsi="Arial"/>
          <w:sz w:val="18"/>
          <w:szCs w:val="18"/>
          <w:color w:val="231F20"/>
        </w:rPr>
        <w:t>On January 2, 2018, the Company’s Board of Directors (the “Board”) and stockholders approved a 4-for-1 stock split of the Company’s then-outstanding common stock and convertible preferred stock was effected without any change in the par value per share.</w:t>
      </w:r>
    </w:p>
    <w:p>
      <w:pPr>
        <w:spacing w:after="0" w:line="197" w:lineRule="exact"/>
        <w:rPr>
          <w:sz w:val="20"/>
          <w:szCs w:val="20"/>
          <w:color w:val="auto"/>
        </w:rPr>
      </w:pPr>
    </w:p>
    <w:p>
      <w:pPr>
        <w:ind w:right="40" w:firstLine="761"/>
        <w:spacing w:after="0" w:line="259" w:lineRule="auto"/>
        <w:rPr>
          <w:sz w:val="20"/>
          <w:szCs w:val="20"/>
          <w:color w:val="auto"/>
        </w:rPr>
      </w:pPr>
      <w:r>
        <w:rPr>
          <w:rFonts w:ascii="Arial" w:cs="Arial" w:eastAsia="Arial" w:hAnsi="Arial"/>
          <w:sz w:val="18"/>
          <w:szCs w:val="18"/>
          <w:color w:val="231F20"/>
        </w:rPr>
        <w:t>On September 6, 2019, the Board and stockholders approved an amended and restated certificate of incorporation of the Company effecting a 3-for-1 stock split of the Company’s issued and outstanding shares of common stock and convertible preferred stock, and an increase to the authorized shares of the Company’s common stock and convertible preferred stock to 380,000,000 shares and 179,814,912 shares, respectively. The split was effected on September 6, 2019 and without any change in the par value per share.</w:t>
      </w:r>
    </w:p>
    <w:p>
      <w:pPr>
        <w:spacing w:after="0" w:line="227"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231F20"/>
        </w:rPr>
        <w:t>All information related to the Company’s common stock, convertible preferred stock and stock awards has been retroactively adjusted to give effect to the 4-for-1 stock split on January 2, 2018 and 3-for-1 stock split on September 6, 2019.</w:t>
      </w:r>
    </w:p>
    <w:p>
      <w:pPr>
        <w:spacing w:after="0" w:line="211" w:lineRule="exact"/>
        <w:rPr>
          <w:sz w:val="20"/>
          <w:szCs w:val="20"/>
          <w:color w:val="auto"/>
        </w:rPr>
      </w:pPr>
    </w:p>
    <w:p>
      <w:pPr>
        <w:ind w:right="40" w:firstLine="761"/>
        <w:spacing w:after="0" w:line="264" w:lineRule="auto"/>
        <w:rPr>
          <w:sz w:val="20"/>
          <w:szCs w:val="20"/>
          <w:color w:val="auto"/>
        </w:rPr>
      </w:pPr>
      <w:r>
        <w:rPr>
          <w:rFonts w:ascii="Arial" w:cs="Arial" w:eastAsia="Arial" w:hAnsi="Arial"/>
          <w:sz w:val="18"/>
          <w:szCs w:val="18"/>
          <w:color w:val="231F20"/>
        </w:rPr>
        <w:t>On September 23, 2019, an amended and restated certificate of incorporation of the Company was filed immediately prior to the closing of the IPO authorizing an aggregate of 2,330,000,000 shares of capital stock of the Company, including 2,000,000,000 shares of Class A common stock, 310,000,000 shares of Class B common stock and 20,000,000 shares of preferred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231F20"/>
        </w:rPr>
        <w:t>Segment Information</w:t>
      </w:r>
    </w:p>
    <w:p>
      <w:pPr>
        <w:spacing w:after="0" w:line="239" w:lineRule="exact"/>
        <w:rPr>
          <w:sz w:val="20"/>
          <w:szCs w:val="20"/>
          <w:color w:val="auto"/>
        </w:rPr>
      </w:pPr>
    </w:p>
    <w:p>
      <w:pPr>
        <w:ind w:right="520" w:firstLine="761"/>
        <w:spacing w:after="0" w:line="279" w:lineRule="auto"/>
        <w:rPr>
          <w:sz w:val="20"/>
          <w:szCs w:val="20"/>
          <w:color w:val="auto"/>
        </w:rPr>
      </w:pPr>
      <w:r>
        <w:rPr>
          <w:rFonts w:ascii="Arial" w:cs="Arial" w:eastAsia="Arial" w:hAnsi="Arial"/>
          <w:sz w:val="17"/>
          <w:szCs w:val="17"/>
          <w:color w:val="231F20"/>
        </w:rPr>
        <w:t>The Company has a single operating and reportable segment as well as one business activity, monitoring and providing analytics on companies’ information technology (“IT”) infrastructure. The Company’s chief operating decision maker is its Chief Executive Officer, who reviews financial information presented on a consolidated basis for purposes of making operating decisions, assessing financial performance, and allocating resources. There are no segment managers who are held accountable for operations or results below the consolidated level.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239" w:lineRule="exact"/>
        <w:rPr>
          <w:sz w:val="20"/>
          <w:szCs w:val="20"/>
          <w:color w:val="auto"/>
        </w:rPr>
      </w:pPr>
    </w:p>
    <w:p>
      <w:pPr>
        <w:ind w:right="40" w:firstLine="761"/>
        <w:spacing w:after="0" w:line="312" w:lineRule="auto"/>
        <w:rPr>
          <w:sz w:val="20"/>
          <w:szCs w:val="20"/>
          <w:color w:val="auto"/>
        </w:rPr>
      </w:pPr>
      <w:r>
        <w:rPr>
          <w:rFonts w:ascii="Arial" w:cs="Arial" w:eastAsia="Arial" w:hAnsi="Arial"/>
          <w:sz w:val="15"/>
          <w:szCs w:val="15"/>
          <w:color w:val="231F20"/>
        </w:rPr>
        <w:t>The preparation of consolidated financial statements in conformity with GAAP requires management to make estimates and assumptions that affect the amounts reported in the consolidated financial statements and accompanying notes. Such estimates include the fair value of marketable securities, allowance for doubtful accounts, the fair value of acquired assets and assumed liabilities from business combinations, useful lives of property, equipment, software, and finite lived intangibles, stock-based compensation, fair value of common stock and redeemable convertible preferred stock prior to the IPO, valuation of long-lived assets and their recoverability, including goodwill, the incremental borrowing rate for operating leases, estimated expected period of benefit period for deferred contract costs,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Foreign Currency Translation</w:t>
      </w:r>
    </w:p>
    <w:p>
      <w:pPr>
        <w:spacing w:after="0" w:line="239" w:lineRule="exact"/>
        <w:rPr>
          <w:sz w:val="20"/>
          <w:szCs w:val="20"/>
          <w:color w:val="auto"/>
        </w:rPr>
      </w:pPr>
    </w:p>
    <w:p>
      <w:pPr>
        <w:ind w:firstLine="761"/>
        <w:spacing w:after="0" w:line="257" w:lineRule="auto"/>
        <w:rPr>
          <w:sz w:val="20"/>
          <w:szCs w:val="20"/>
          <w:color w:val="auto"/>
        </w:rPr>
      </w:pPr>
      <w:r>
        <w:rPr>
          <w:rFonts w:ascii="Arial" w:cs="Arial" w:eastAsia="Arial" w:hAnsi="Arial"/>
          <w:sz w:val="18"/>
          <w:szCs w:val="18"/>
          <w:color w:val="231F20"/>
        </w:rPr>
        <w:t>The reporting currency of the Company is the United States dollar (“USD”). The functional currency of the Company is USD, and the functional currency of the Company’s subsidiaries is generally the local currency of the jurisdiction in which the foreign subsidiary is located. The assets and liabilities of the Company’s subsidiaries are translated to USD at exchange rates in effect at the balance sheet date. All income statement accounts are translated at monthly average exchange rates. Resulting foreign currency translation adjustments are recorded directly in accumulated other comprehensive (loss) income as a separate component of stockholders’ equity (deficit).</w:t>
      </w:r>
    </w:p>
    <w:p>
      <w:pPr>
        <w:spacing w:after="0" w:line="202" w:lineRule="exact"/>
        <w:rPr>
          <w:sz w:val="20"/>
          <w:szCs w:val="20"/>
          <w:color w:val="auto"/>
        </w:rPr>
      </w:pPr>
    </w:p>
    <w:p>
      <w:pPr>
        <w:ind w:right="520" w:firstLine="761"/>
        <w:spacing w:after="0" w:line="277" w:lineRule="auto"/>
        <w:rPr>
          <w:sz w:val="20"/>
          <w:szCs w:val="20"/>
          <w:color w:val="auto"/>
        </w:rPr>
      </w:pPr>
      <w:r>
        <w:rPr>
          <w:rFonts w:ascii="Arial" w:cs="Arial" w:eastAsia="Arial" w:hAnsi="Arial"/>
          <w:sz w:val="18"/>
          <w:szCs w:val="18"/>
          <w:color w:val="231F20"/>
        </w:rPr>
        <w:t>Transaction gains and losses that arise from exchange rate fluctuations on transactions denominated in a currency other than the functional currency are included in other income, net in the accompanying consolidated statements of operations when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239" w:lineRule="exact"/>
        <w:rPr>
          <w:sz w:val="20"/>
          <w:szCs w:val="20"/>
          <w:color w:val="auto"/>
        </w:rPr>
      </w:pPr>
    </w:p>
    <w:p>
      <w:pPr>
        <w:ind w:firstLine="761"/>
        <w:spacing w:after="0" w:line="255" w:lineRule="auto"/>
        <w:rPr>
          <w:sz w:val="20"/>
          <w:szCs w:val="20"/>
          <w:color w:val="auto"/>
        </w:rPr>
      </w:pPr>
      <w:r>
        <w:rPr>
          <w:rFonts w:ascii="Arial" w:cs="Arial" w:eastAsia="Arial" w:hAnsi="Arial"/>
          <w:sz w:val="18"/>
          <w:szCs w:val="18"/>
          <w:color w:val="231F20"/>
        </w:rPr>
        <w:t>The Company generates revenue from the sale of subscriptions to customers using its cloud-based platform. The terms of the Company’s subscription agreements are primarily monthly or annual. The Company’s customers can enter into (1) a subscription agreement for a committed contractual amount of usage that is apportioned ratably on a monthly basis over the term of the subscription period, (2) a subscription agreement for a committed contractual amount of usage that is delivered as used, or (3) a monthly subscription based on usage. The Company typically bills customers on an annual subscription in full up-front, with any usage in excess of the committed contracted amount billed monthly in arrears. The Company typically bills customers on a monthly plan in arrears. Customers also have the option to purchase additional services priced at rates at or above the stand-alone selling price.</w:t>
      </w:r>
    </w:p>
    <w:p>
      <w:pPr>
        <w:spacing w:after="0" w:line="203" w:lineRule="exact"/>
        <w:rPr>
          <w:sz w:val="20"/>
          <w:szCs w:val="20"/>
          <w:color w:val="auto"/>
        </w:rPr>
      </w:pPr>
    </w:p>
    <w:p>
      <w:pPr>
        <w:jc w:val="both"/>
        <w:ind w:right="580" w:firstLine="761"/>
        <w:spacing w:after="0" w:line="286" w:lineRule="auto"/>
        <w:rPr>
          <w:sz w:val="20"/>
          <w:szCs w:val="20"/>
          <w:color w:val="auto"/>
        </w:rPr>
      </w:pPr>
      <w:r>
        <w:rPr>
          <w:rFonts w:ascii="Arial" w:cs="Arial" w:eastAsia="Arial" w:hAnsi="Arial"/>
          <w:sz w:val="17"/>
          <w:szCs w:val="17"/>
          <w:color w:val="auto"/>
        </w:rPr>
        <w:t xml:space="preserve">The Company elected to early adopt Financial Accounting Standards Board (“FASB”)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effective January 1, 2017, using the full retrospective method of adoption. As such, the consolidated financial statements present revenue in accordance with Topic 606 for all of the periods presented.</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The Company accounts for revenue contracts with customers through the following steps:</w:t>
      </w:r>
    </w:p>
    <w:p>
      <w:pPr>
        <w:spacing w:after="0" w:line="117" w:lineRule="exact"/>
        <w:rPr>
          <w:sz w:val="20"/>
          <w:szCs w:val="20"/>
          <w:color w:val="auto"/>
        </w:rPr>
      </w:pPr>
    </w:p>
    <w:p>
      <w:pPr>
        <w:ind w:left="1140" w:hanging="376"/>
        <w:spacing w:after="0"/>
        <w:tabs>
          <w:tab w:leader="none" w:pos="114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identify the contract with a customer;</w:t>
      </w:r>
    </w:p>
    <w:p>
      <w:pPr>
        <w:spacing w:after="0" w:line="117" w:lineRule="exact"/>
        <w:rPr>
          <w:rFonts w:ascii="Arial" w:cs="Arial" w:eastAsia="Arial" w:hAnsi="Arial"/>
          <w:sz w:val="18"/>
          <w:szCs w:val="18"/>
          <w:color w:val="231F20"/>
        </w:rPr>
      </w:pPr>
    </w:p>
    <w:p>
      <w:pPr>
        <w:ind w:left="1140" w:hanging="376"/>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identify the performance obligations in the contract;</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determine the transaction price;</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allocate the transaction price; and</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recognize revenue when or as the Company satisfies a performance obligation.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71" w:right="379" w:bottom="1440" w:gutter="0" w:footer="0" w:header="0"/>
        </w:sectPr>
      </w:pPr>
    </w:p>
    <w:bookmarkStart w:id="65" w:name="page66"/>
    <w:bookmarkEnd w:id="65"/>
    <w:p>
      <w:pPr>
        <w:ind w:right="360" w:firstLine="761"/>
        <w:spacing w:after="0" w:line="264" w:lineRule="auto"/>
        <w:rPr>
          <w:sz w:val="20"/>
          <w:szCs w:val="20"/>
          <w:color w:val="auto"/>
        </w:rPr>
      </w:pPr>
      <w:r>
        <w:rPr>
          <w:rFonts w:ascii="Arial" w:cs="Arial" w:eastAsia="Arial" w:hAnsi="Arial"/>
          <w:sz w:val="18"/>
          <w:szCs w:val="18"/>
          <w:color w:val="231F20"/>
        </w:rPr>
        <w:t>The Company’s revenue arrangements may include infrastructure monitoring, application performance monitoring, log management, and synthetics, as well as secondary services including custom metrics in dashboard monitoring, serverless monitoring, docker container monitoring, and app analytics. The Company has identified each service as a separate performance obligation.</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6"/>
          <w:szCs w:val="16"/>
          <w:color w:val="231F20"/>
        </w:rPr>
        <w:t>The transaction price is based on the fixed price for the contracted level of service plus variable consideration for additional optional purchases.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Billing periods correspond to the periods over which services are performed and there are no discounts given on the purchase of future services.</w:t>
      </w:r>
    </w:p>
    <w:p>
      <w:pPr>
        <w:spacing w:after="0" w:line="236" w:lineRule="exact"/>
        <w:rPr>
          <w:sz w:val="20"/>
          <w:szCs w:val="20"/>
          <w:color w:val="auto"/>
        </w:rPr>
      </w:pPr>
    </w:p>
    <w:p>
      <w:pPr>
        <w:ind w:right="560" w:firstLine="761"/>
        <w:spacing w:after="0" w:line="277" w:lineRule="auto"/>
        <w:rPr>
          <w:sz w:val="20"/>
          <w:szCs w:val="20"/>
          <w:color w:val="auto"/>
        </w:rPr>
      </w:pPr>
      <w:r>
        <w:rPr>
          <w:rFonts w:ascii="Arial" w:cs="Arial" w:eastAsia="Arial" w:hAnsi="Arial"/>
          <w:sz w:val="18"/>
          <w:szCs w:val="18"/>
          <w:color w:val="231F20"/>
        </w:rPr>
        <w:t>The Company allocates revenue to each performance obligation based on its relative standalone selling price. The Company generally determines standalone selling prices based on a range of actual prices charged to customers.</w:t>
      </w:r>
    </w:p>
    <w:p>
      <w:pPr>
        <w:spacing w:after="0" w:line="184"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color w:val="231F20"/>
        </w:rPr>
        <w:t>Revenue is recognized when control of these services is transferred to customers, in an amount that reflects the consideration the Company expects to be entitled to receive in exchange for those services. The Company determined an output method to be the most appropriate measure of progress because it most faithfully represents when the value of the services are simultaneously received and consumed by the customer, and control is transferred.</w:t>
      </w:r>
    </w:p>
    <w:p>
      <w:pPr>
        <w:spacing w:after="0" w:line="160"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231F20"/>
        </w:rPr>
        <w:t>For committed contractual amounts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the Company recognizes revenue as the product is used. Subscription revenue excludes sales and other indirect taxes.</w:t>
      </w:r>
    </w:p>
    <w:p>
      <w:pPr>
        <w:spacing w:after="0" w:line="200" w:lineRule="exact"/>
        <w:rPr>
          <w:sz w:val="20"/>
          <w:szCs w:val="20"/>
          <w:color w:val="auto"/>
        </w:rPr>
      </w:pPr>
    </w:p>
    <w:p>
      <w:pPr>
        <w:ind w:right="480" w:firstLine="761"/>
        <w:spacing w:after="0" w:line="277" w:lineRule="auto"/>
        <w:rPr>
          <w:sz w:val="20"/>
          <w:szCs w:val="20"/>
          <w:color w:val="auto"/>
        </w:rPr>
      </w:pPr>
      <w:r>
        <w:rPr>
          <w:rFonts w:ascii="Arial" w:cs="Arial" w:eastAsia="Arial" w:hAnsi="Arial"/>
          <w:sz w:val="18"/>
          <w:szCs w:val="18"/>
          <w:color w:val="231F20"/>
        </w:rPr>
        <w:t>The Company applied the practical expedient in Topic 606 and did not evaluate contracts of one year or less for the existence of a significant financing component.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Cost of Revenue</w:t>
      </w:r>
    </w:p>
    <w:p>
      <w:pPr>
        <w:spacing w:after="0" w:line="239"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231F20"/>
        </w:rPr>
        <w:t>Cost of revenue consists primarily of costs related to providing subscription services to paying customers, including data center and networking expenses, employee compensation (including stock-based compensation) and other employee-related expenses for customer experience and technical operations staff, payments to outside service providers, payment processing fees, amortization of capitalized internally developed software costs and acquired developed technology, and allocated overhead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Research and Development Costs</w:t>
      </w:r>
    </w:p>
    <w:p>
      <w:pPr>
        <w:spacing w:after="0" w:line="239" w:lineRule="exact"/>
        <w:rPr>
          <w:sz w:val="20"/>
          <w:szCs w:val="20"/>
          <w:color w:val="auto"/>
        </w:rPr>
      </w:pPr>
    </w:p>
    <w:p>
      <w:pPr>
        <w:ind w:right="220" w:firstLine="761"/>
        <w:spacing w:after="0" w:line="342" w:lineRule="auto"/>
        <w:rPr>
          <w:sz w:val="20"/>
          <w:szCs w:val="20"/>
          <w:color w:val="auto"/>
        </w:rPr>
      </w:pPr>
      <w:r>
        <w:rPr>
          <w:rFonts w:ascii="Arial" w:cs="Arial" w:eastAsia="Arial" w:hAnsi="Arial"/>
          <w:sz w:val="16"/>
          <w:szCs w:val="16"/>
          <w:color w:val="231F20"/>
        </w:rPr>
        <w:t>Research and development costs are expensed as incurred. Research and development costs consist of employee compensation (including stock-based compensation) and other employee-related expenses, materials and supplies, and allocated overhead costs such as rent and facilities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and Marketing Costs</w:t>
      </w:r>
    </w:p>
    <w:p>
      <w:pPr>
        <w:spacing w:after="0" w:line="239" w:lineRule="exact"/>
        <w:rPr>
          <w:sz w:val="20"/>
          <w:szCs w:val="20"/>
          <w:color w:val="auto"/>
        </w:rPr>
      </w:pPr>
    </w:p>
    <w:p>
      <w:pPr>
        <w:ind w:right="560" w:firstLine="761"/>
        <w:spacing w:after="0" w:line="264" w:lineRule="auto"/>
        <w:rPr>
          <w:sz w:val="20"/>
          <w:szCs w:val="20"/>
          <w:color w:val="auto"/>
        </w:rPr>
      </w:pPr>
      <w:r>
        <w:rPr>
          <w:rFonts w:ascii="Arial" w:cs="Arial" w:eastAsia="Arial" w:hAnsi="Arial"/>
          <w:sz w:val="18"/>
          <w:szCs w:val="18"/>
          <w:color w:val="231F20"/>
        </w:rPr>
        <w:t>Sales and marketing costs consist primarily of personnel costs for the Company’s sales and marketing organization, including stock-based compensation and commissions, costs of general marketing and promotional activities, including the free tier and introductory trials of the Company’s products, travel-related expenses and allocated overhead costs.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Advertising Costs</w:t>
      </w:r>
    </w:p>
    <w:p>
      <w:pPr>
        <w:spacing w:after="0" w:line="239" w:lineRule="exact"/>
        <w:rPr>
          <w:sz w:val="20"/>
          <w:szCs w:val="20"/>
          <w:color w:val="auto"/>
        </w:rPr>
      </w:pPr>
    </w:p>
    <w:p>
      <w:pPr>
        <w:ind w:right="140" w:firstLine="761"/>
        <w:spacing w:after="0" w:line="342" w:lineRule="auto"/>
        <w:rPr>
          <w:sz w:val="20"/>
          <w:szCs w:val="20"/>
          <w:color w:val="auto"/>
        </w:rPr>
      </w:pPr>
      <w:r>
        <w:rPr>
          <w:rFonts w:ascii="Arial" w:cs="Arial" w:eastAsia="Arial" w:hAnsi="Arial"/>
          <w:sz w:val="16"/>
          <w:szCs w:val="16"/>
          <w:color w:val="231F20"/>
        </w:rPr>
        <w:t>Advertising costs are expensed as incurred and were approximately $9.5 million, $8.3 million and $4.4 million for the years ended December 31, 2019, 2018 and 2017, respectively, and are included in sales and marketing expense in the accompanying consolidated statement of operations.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231F20"/>
        </w:rPr>
        <w:t>Income Taxes</w:t>
      </w:r>
    </w:p>
    <w:p>
      <w:pPr>
        <w:spacing w:after="0" w:line="239" w:lineRule="exact"/>
        <w:rPr>
          <w:sz w:val="20"/>
          <w:szCs w:val="20"/>
          <w:color w:val="auto"/>
        </w:rPr>
      </w:pPr>
    </w:p>
    <w:p>
      <w:pPr>
        <w:ind w:right="140" w:firstLine="761"/>
        <w:spacing w:after="0" w:line="257" w:lineRule="auto"/>
        <w:rPr>
          <w:sz w:val="20"/>
          <w:szCs w:val="20"/>
          <w:color w:val="auto"/>
        </w:rPr>
      </w:pPr>
      <w:r>
        <w:rPr>
          <w:rFonts w:ascii="Arial" w:cs="Arial" w:eastAsia="Arial" w:hAnsi="Arial"/>
          <w:sz w:val="18"/>
          <w:szCs w:val="18"/>
          <w:color w:val="231F20"/>
        </w:rPr>
        <w:t>The Company recognizes deferred tax assets and liabilities for the expected future tax consequences of temporary differences between the carrying amounts for financial reporting and the tax bases of assets and liabilities. The deferred assets and liabilities are recorded at the statutorily enacted tax rates anticipated to be in effect when such temporary differences reverse. The effect on deferred tax assets and liabilities of a change in tax rates is recognized in the period that includes the enactment date. A valuation allowance is established; when based upon the available evidence, it is more likely than not that some or all of the deferred tax assets will not be realized.</w:t>
      </w:r>
    </w:p>
    <w:p>
      <w:pPr>
        <w:spacing w:after="0" w:line="202" w:lineRule="exact"/>
        <w:rPr>
          <w:sz w:val="20"/>
          <w:szCs w:val="20"/>
          <w:color w:val="auto"/>
        </w:rPr>
      </w:pPr>
    </w:p>
    <w:p>
      <w:pPr>
        <w:ind w:right="140" w:firstLine="761"/>
        <w:spacing w:after="0" w:line="293" w:lineRule="auto"/>
        <w:rPr>
          <w:sz w:val="20"/>
          <w:szCs w:val="20"/>
          <w:color w:val="auto"/>
        </w:rPr>
      </w:pPr>
      <w:r>
        <w:rPr>
          <w:rFonts w:ascii="Arial" w:cs="Arial" w:eastAsia="Arial" w:hAnsi="Arial"/>
          <w:sz w:val="16"/>
          <w:szCs w:val="16"/>
          <w:color w:val="231F20"/>
        </w:rPr>
        <w:t>The Company engages in transactions in which the tax consequences may be subject to uncertainty. The Company accounts for uncertain tax positions based on an evaluation as to whether it is more likely than not that a tax position will be sustained on audit, including resolution of any related appeals or litigation processes. This evaluation is based on all available evidence and assumes that the appropriate tax authorities have full knowledge of all relevant information concerning the tax position. The Company accounts for uncertain tax positions as non-current tax liabilities or through a reduction of a corresponding deferred tax asset. The tax benefit recognized is based on the largest amount that is greater than 50% likely of being realized upon ultimate settlement. The Company includes potential interest expense and penalties related to its uncertain tax positions in income tax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39" w:lineRule="exact"/>
        <w:rPr>
          <w:sz w:val="20"/>
          <w:szCs w:val="20"/>
          <w:color w:val="auto"/>
        </w:rPr>
      </w:pPr>
    </w:p>
    <w:p>
      <w:pPr>
        <w:ind w:firstLine="761"/>
        <w:spacing w:after="0" w:line="289" w:lineRule="auto"/>
        <w:rPr>
          <w:sz w:val="20"/>
          <w:szCs w:val="20"/>
          <w:color w:val="auto"/>
        </w:rPr>
      </w:pPr>
      <w:r>
        <w:rPr>
          <w:rFonts w:ascii="Arial" w:cs="Arial" w:eastAsia="Arial" w:hAnsi="Arial"/>
          <w:sz w:val="16"/>
          <w:szCs w:val="16"/>
          <w:color w:val="231F20"/>
        </w:rPr>
        <w:t>The Company recognizes and measures compensation expense for all stock-based payment awards granted to employees, directors, and nonemployees, including stock options, restricted stock units (“RSUs”), and the employee stock purchase plan (the “ESPP”) based on the fair value of the awards on the date of grant. The fair value of each stock option granted is estimated using the Black Scholes option pricing model.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is determined by the closing price on the date of grant of the Company’s Class A common stock, as reported on The Nasdaq Global Select Market. The Company estimates the fair value of the rights to acquire stock under the ESPP using the Black-Scholes option pricing model. Stock-based compensation is recognized on a straight-line basis over the requisite service period and account for forfeitures as they occur.</w:t>
      </w:r>
    </w:p>
    <w:p>
      <w:pPr>
        <w:spacing w:after="0" w:line="207" w:lineRule="exact"/>
        <w:rPr>
          <w:sz w:val="20"/>
          <w:szCs w:val="20"/>
          <w:color w:val="auto"/>
        </w:rPr>
      </w:pPr>
    </w:p>
    <w:p>
      <w:pPr>
        <w:ind w:right="420" w:firstLine="761"/>
        <w:spacing w:after="0" w:line="342" w:lineRule="auto"/>
        <w:rPr>
          <w:sz w:val="20"/>
          <w:szCs w:val="20"/>
          <w:color w:val="auto"/>
        </w:rPr>
      </w:pPr>
      <w:r>
        <w:rPr>
          <w:rFonts w:ascii="Arial" w:cs="Arial" w:eastAsia="Arial" w:hAnsi="Arial"/>
          <w:sz w:val="16"/>
          <w:szCs w:val="16"/>
          <w:color w:val="231F20"/>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and Cash Equivalents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7"/>
          <w:szCs w:val="17"/>
          <w:color w:val="231F20"/>
        </w:rPr>
        <w:t>The Company considers all highly liquid investments with an original maturity of three months or less when purchased to be cash equivalents.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Cash equivalents consist of funds deposited into money market funds.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Marketable Securities</w:t>
      </w:r>
    </w:p>
    <w:p>
      <w:pPr>
        <w:spacing w:after="0" w:line="239" w:lineRule="exact"/>
        <w:rPr>
          <w:sz w:val="20"/>
          <w:szCs w:val="20"/>
          <w:color w:val="auto"/>
        </w:rPr>
      </w:pPr>
    </w:p>
    <w:p>
      <w:pPr>
        <w:ind w:firstLine="761"/>
        <w:spacing w:after="0" w:line="257" w:lineRule="auto"/>
        <w:rPr>
          <w:sz w:val="20"/>
          <w:szCs w:val="20"/>
          <w:color w:val="auto"/>
        </w:rPr>
      </w:pPr>
      <w:r>
        <w:rPr>
          <w:rFonts w:ascii="Arial" w:cs="Arial" w:eastAsia="Arial" w:hAnsi="Arial"/>
          <w:sz w:val="18"/>
          <w:szCs w:val="18"/>
          <w:color w:val="231F20"/>
        </w:rPr>
        <w:t>The Company’s marketable securities consist of commercial debt securities, U.S. government treasury securities, and commercial paper. The Company determines the appropriate classification of its marketable securities at the time of purchase and reevaluates such designation at each balance sheet date. The Company has classified and accounted for its marketable securities as available-for-sale securities as the Company may sell these securities at any time for use in its current operations or for other purposes, even prior to maturity. As a result, the Company classifies its marketable securities within current assets on the consolidated balance sheet.</w:t>
      </w:r>
    </w:p>
    <w:p>
      <w:pPr>
        <w:spacing w:after="0" w:line="229" w:lineRule="exact"/>
        <w:rPr>
          <w:sz w:val="20"/>
          <w:szCs w:val="20"/>
          <w:color w:val="auto"/>
        </w:rPr>
      </w:pPr>
    </w:p>
    <w:p>
      <w:pPr>
        <w:ind w:firstLine="761"/>
        <w:spacing w:after="0" w:line="290" w:lineRule="auto"/>
        <w:rPr>
          <w:sz w:val="20"/>
          <w:szCs w:val="20"/>
          <w:color w:val="auto"/>
        </w:rPr>
      </w:pPr>
      <w:r>
        <w:rPr>
          <w:rFonts w:ascii="Arial" w:cs="Arial" w:eastAsia="Arial" w:hAnsi="Arial"/>
          <w:sz w:val="16"/>
          <w:szCs w:val="16"/>
          <w:color w:val="231F20"/>
        </w:rPr>
        <w:t>Available-for-sale securities are recorded at fair value each reporting period. Premiums and discounts are amortized or accreted over the life of the related available-for-sale security as an adjustment to yield using the effective interest method. Interest income is recognized when earned. Unrealized gains and losses on these marketable securities are reported as a separate component of accumulated other comprehensive (loss) income on the consolidated balance sheet until realized. Realized gains and losses are determined based on the specific identification method and are reported in interest income in the consolidated statements of operations. The Company periodically evaluates its marketable securities to assess whether those with unrealized loss positions are other than temporarily impaired. The Company considers various factors in determining whether to recognize an impairment charge. If the Company determines that the decline in an investment's fair value is other-than-temporary, the difference is recognized as an impairment loss in the consolidated statements of operations. As of December 31, 2019 and 2018, the Company has not recorded any other-than-temporary-impairment charges in its consolidated statements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231F20"/>
        </w:rPr>
        <w:t>Restricted Cash</w:t>
      </w:r>
    </w:p>
    <w:p>
      <w:pPr>
        <w:spacing w:after="0" w:line="239" w:lineRule="exact"/>
        <w:rPr>
          <w:sz w:val="20"/>
          <w:szCs w:val="20"/>
          <w:color w:val="auto"/>
        </w:rPr>
      </w:pPr>
    </w:p>
    <w:p>
      <w:pPr>
        <w:ind w:right="200" w:firstLine="761"/>
        <w:spacing w:after="0" w:line="264" w:lineRule="auto"/>
        <w:rPr>
          <w:sz w:val="20"/>
          <w:szCs w:val="20"/>
          <w:color w:val="auto"/>
        </w:rPr>
      </w:pPr>
      <w:r>
        <w:rPr>
          <w:rFonts w:ascii="Arial" w:cs="Arial" w:eastAsia="Arial" w:hAnsi="Arial"/>
          <w:sz w:val="18"/>
          <w:szCs w:val="18"/>
          <w:color w:val="231F20"/>
        </w:rPr>
        <w:t>Restricted cash primarily consists of collateralized letters of credit established in connection with lease agreements for the Company’s facilities. Restricted cash is included in current assets for leases that expire within one year and is included in non-current assets for leases that expire in more than one year from the balance sheet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239" w:lineRule="exact"/>
        <w:rPr>
          <w:sz w:val="20"/>
          <w:szCs w:val="20"/>
          <w:color w:val="auto"/>
        </w:rPr>
      </w:pPr>
    </w:p>
    <w:p>
      <w:pPr>
        <w:ind w:right="60" w:firstLine="761"/>
        <w:spacing w:after="0" w:line="257" w:lineRule="auto"/>
        <w:rPr>
          <w:sz w:val="20"/>
          <w:szCs w:val="20"/>
          <w:color w:val="auto"/>
        </w:rPr>
      </w:pPr>
      <w:r>
        <w:rPr>
          <w:rFonts w:ascii="Arial" w:cs="Arial" w:eastAsia="Arial" w:hAnsi="Arial"/>
          <w:sz w:val="18"/>
          <w:szCs w:val="18"/>
          <w:color w:val="231F20"/>
        </w:rPr>
        <w:t>Financial instruments that potentially subject the Company to credit risk primarily consist of cash and cash equivalents, marketable securities and accounts receivable. Cash deposits may, at times, exceed amounts insured by the Federal Deposit Insurance Corporation (“FDIC”) and the Securities Investor Protection Corporation (“SIPC”). The Company has not experienced any losses on its deposits of cash and cash equivalents to date. For accounts receivable, the Company is exposed to credit risk in the event of nonpayment by customers to the extent of the amounts recorded on the accompanying consolidated balance sheets.</w:t>
      </w:r>
    </w:p>
    <w:p>
      <w:pPr>
        <w:spacing w:after="0" w:line="215" w:lineRule="exact"/>
        <w:rPr>
          <w:sz w:val="20"/>
          <w:szCs w:val="20"/>
          <w:color w:val="auto"/>
        </w:rPr>
      </w:pPr>
    </w:p>
    <w:p>
      <w:pPr>
        <w:ind w:right="280" w:firstLine="761"/>
        <w:spacing w:after="0" w:line="277" w:lineRule="auto"/>
        <w:rPr>
          <w:sz w:val="20"/>
          <w:szCs w:val="20"/>
          <w:color w:val="auto"/>
        </w:rPr>
      </w:pPr>
      <w:r>
        <w:rPr>
          <w:rFonts w:ascii="Arial" w:cs="Arial" w:eastAsia="Arial" w:hAnsi="Arial"/>
          <w:sz w:val="18"/>
          <w:szCs w:val="18"/>
          <w:color w:val="231F20"/>
        </w:rPr>
        <w:t>There were no customers representing greater than 10% of total revenue for the years ended December 31, 2019, 2018, and 2017. No customers represented greater than 10% of accounts receivable as of December 31, 2019 and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Geographical Information</w:t>
      </w:r>
    </w:p>
    <w:p>
      <w:pPr>
        <w:spacing w:after="0" w:line="239" w:lineRule="exact"/>
        <w:rPr>
          <w:sz w:val="20"/>
          <w:szCs w:val="20"/>
          <w:color w:val="auto"/>
        </w:rPr>
      </w:pPr>
    </w:p>
    <w:p>
      <w:pPr>
        <w:ind w:right="840" w:firstLine="761"/>
        <w:spacing w:after="0" w:line="277" w:lineRule="auto"/>
        <w:rPr>
          <w:sz w:val="20"/>
          <w:szCs w:val="20"/>
          <w:color w:val="auto"/>
        </w:rPr>
      </w:pPr>
      <w:r>
        <w:rPr>
          <w:rFonts w:ascii="Arial" w:cs="Arial" w:eastAsia="Arial" w:hAnsi="Arial"/>
          <w:sz w:val="18"/>
          <w:szCs w:val="18"/>
          <w:color w:val="231F20"/>
        </w:rPr>
        <w:t>Revenue by location is determined by the billing address for the customer. The following table sets forth revenue by geographic area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7"/>
              </w:rPr>
              <w:t>Year Ended December 31,</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56"/>
        </w:trPr>
        <w:tc>
          <w:tcPr>
            <w:tcW w:w="3560" w:type="dxa"/>
            <w:vAlign w:val="bottom"/>
            <w:tcBorders>
              <w:bottom w:val="single" w:sz="8" w:color="CFF0FC"/>
            </w:tcBorders>
          </w:tcPr>
          <w:p>
            <w:pPr>
              <w:spacing w:after="0"/>
              <w:rPr>
                <w:sz w:val="13"/>
                <w:szCs w:val="13"/>
                <w:color w:val="auto"/>
              </w:rPr>
            </w:pPr>
          </w:p>
        </w:tc>
        <w:tc>
          <w:tcPr>
            <w:tcW w:w="24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2017</w:t>
            </w: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9"/>
              </w:rPr>
              <w:t>272,190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150,945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76,352</w:t>
            </w:r>
          </w:p>
        </w:tc>
      </w:tr>
      <w:tr>
        <w:trPr>
          <w:trHeight w:val="230"/>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24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90,590</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47,132</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24,409</w:t>
            </w:r>
          </w:p>
        </w:tc>
      </w:tr>
      <w:tr>
        <w:trPr>
          <w:trHeight w:val="223"/>
        </w:trPr>
        <w:tc>
          <w:tcPr>
            <w:tcW w:w="35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362,780</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198,077</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100,761</w:t>
            </w:r>
          </w:p>
        </w:tc>
      </w:tr>
      <w:tr>
        <w:trPr>
          <w:trHeight w:val="20"/>
        </w:trPr>
        <w:tc>
          <w:tcPr>
            <w:tcW w:w="3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60" w:firstLine="761"/>
        <w:spacing w:after="0" w:line="264" w:lineRule="auto"/>
        <w:rPr>
          <w:sz w:val="20"/>
          <w:szCs w:val="20"/>
          <w:color w:val="auto"/>
        </w:rPr>
      </w:pPr>
      <w:r>
        <w:rPr>
          <w:rFonts w:ascii="Arial" w:cs="Arial" w:eastAsia="Arial" w:hAnsi="Arial"/>
          <w:sz w:val="18"/>
          <w:szCs w:val="18"/>
          <w:color w:val="231F20"/>
        </w:rPr>
        <w:t>Other than the United States, no other individual country accounted for 10% or more of total revenue for the years ended December 31, 2019, 2018, or 2017. As of December 31, 2019, and 2018, 70% and 85% of the Company’s long lived assets were located in the United States and 30% and 15% were located in Europe,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Fair Value of Financial Instruments</w:t>
      </w:r>
    </w:p>
    <w:p>
      <w:pPr>
        <w:spacing w:after="0" w:line="239"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231F20"/>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231F20"/>
        </w:rPr>
        <w:t xml:space="preserve">Level 1 Inputs: </w:t>
      </w:r>
      <w:r>
        <w:rPr>
          <w:rFonts w:ascii="Arial" w:cs="Arial" w:eastAsia="Arial" w:hAnsi="Arial"/>
          <w:sz w:val="16"/>
          <w:szCs w:val="16"/>
          <w:color w:val="231F20"/>
        </w:rPr>
        <w:t>Unadjusted quoted prices in active markets for identical assets or liabilities accessible to the reporting entity at the measurement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date.</w:t>
      </w:r>
    </w:p>
    <w:p>
      <w:pPr>
        <w:spacing w:after="0" w:line="224" w:lineRule="exact"/>
        <w:rPr>
          <w:sz w:val="20"/>
          <w:szCs w:val="20"/>
          <w:color w:val="auto"/>
        </w:rPr>
      </w:pPr>
    </w:p>
    <w:p>
      <w:pPr>
        <w:ind w:right="340" w:firstLine="761"/>
        <w:spacing w:after="0" w:line="277" w:lineRule="auto"/>
        <w:rPr>
          <w:sz w:val="20"/>
          <w:szCs w:val="20"/>
          <w:color w:val="auto"/>
        </w:rPr>
      </w:pPr>
      <w:r>
        <w:rPr>
          <w:rFonts w:ascii="Arial" w:cs="Arial" w:eastAsia="Arial" w:hAnsi="Arial"/>
          <w:sz w:val="18"/>
          <w:szCs w:val="18"/>
          <w:b w:val="1"/>
          <w:bCs w:val="1"/>
          <w:i w:val="1"/>
          <w:iCs w:val="1"/>
          <w:color w:val="231F20"/>
        </w:rPr>
        <w:t xml:space="preserve">Level 2 Inputs: </w:t>
      </w:r>
      <w:r>
        <w:rPr>
          <w:rFonts w:ascii="Arial" w:cs="Arial" w:eastAsia="Arial" w:hAnsi="Arial"/>
          <w:sz w:val="18"/>
          <w:szCs w:val="18"/>
          <w:color w:val="231F20"/>
        </w:rPr>
        <w:t>Other than quoted prices included in Level 1 inputs that are observable for the asset or liability, either directly or indirectly, for</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substantially the full term of the asset or liability.</w:t>
      </w:r>
    </w:p>
    <w:p>
      <w:pPr>
        <w:spacing w:after="0" w:line="184"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b w:val="1"/>
          <w:bCs w:val="1"/>
          <w:i w:val="1"/>
          <w:iCs w:val="1"/>
          <w:color w:val="231F20"/>
        </w:rPr>
        <w:t xml:space="preserve">Level 3 Inputs: </w:t>
      </w:r>
      <w:r>
        <w:rPr>
          <w:rFonts w:ascii="Arial" w:cs="Arial" w:eastAsia="Arial" w:hAnsi="Arial"/>
          <w:sz w:val="18"/>
          <w:szCs w:val="18"/>
          <w:color w:val="231F20"/>
        </w:rPr>
        <w:t>Unobservable inputs for the asset or liability used to measure fair value to the extent that observable inputs are not available,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thereby allowing for situations in which there is little, if any, market activity for the asset or liability at measurement date.</w:t>
      </w:r>
    </w:p>
    <w:p>
      <w:pPr>
        <w:spacing w:after="0" w:line="184" w:lineRule="exact"/>
        <w:rPr>
          <w:sz w:val="20"/>
          <w:szCs w:val="20"/>
          <w:color w:val="auto"/>
        </w:rPr>
      </w:pPr>
    </w:p>
    <w:p>
      <w:pPr>
        <w:ind w:right="160" w:firstLine="761"/>
        <w:spacing w:after="0" w:line="259" w:lineRule="auto"/>
        <w:rPr>
          <w:sz w:val="20"/>
          <w:szCs w:val="20"/>
          <w:color w:val="auto"/>
        </w:rPr>
      </w:pPr>
      <w:r>
        <w:rPr>
          <w:rFonts w:ascii="Arial" w:cs="Arial" w:eastAsia="Arial" w:hAnsi="Arial"/>
          <w:sz w:val="18"/>
          <w:szCs w:val="18"/>
          <w:color w:val="231F20"/>
        </w:rPr>
        <w:t>The Company’s financial instruments consist of cash equivalents, marketable securities, accounts receivable, accounts payable and accrued expenses. Cash equivalents are stated at amortized cost, which approximates fair value at the balance sheet dates, due to the short period of time to maturity. Marketable securities are recorded at fair value. Accounts receivable, accounts payable, and accrued expenses are stated at their carrying value, which approximates fair value due to the short time to the expected receipt or payment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8" w:name="page69"/>
    <w:bookmarkEnd w:id="68"/>
    <w:p>
      <w:pPr>
        <w:ind w:right="320" w:firstLine="761"/>
        <w:spacing w:after="0" w:line="277" w:lineRule="auto"/>
        <w:rPr>
          <w:sz w:val="20"/>
          <w:szCs w:val="20"/>
          <w:color w:val="auto"/>
        </w:rPr>
      </w:pPr>
      <w:r>
        <w:rPr>
          <w:rFonts w:ascii="Arial" w:cs="Arial" w:eastAsia="Arial" w:hAnsi="Arial"/>
          <w:sz w:val="18"/>
          <w:szCs w:val="18"/>
          <w:color w:val="231F20"/>
        </w:rPr>
        <w:t>A financial instrument’s categorization within the valuation hierarchy is based upon the lowest level of input that is significant to the fair value 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Accounts Receivable</w:t>
      </w:r>
    </w:p>
    <w:p>
      <w:pPr>
        <w:spacing w:after="0" w:line="239" w:lineRule="exact"/>
        <w:rPr>
          <w:sz w:val="20"/>
          <w:szCs w:val="20"/>
          <w:color w:val="auto"/>
        </w:rPr>
      </w:pPr>
    </w:p>
    <w:p>
      <w:pPr>
        <w:ind w:right="20" w:firstLine="761"/>
        <w:spacing w:after="0" w:line="272" w:lineRule="auto"/>
        <w:rPr>
          <w:sz w:val="20"/>
          <w:szCs w:val="20"/>
          <w:color w:val="auto"/>
        </w:rPr>
      </w:pPr>
      <w:r>
        <w:rPr>
          <w:rFonts w:ascii="Arial" w:cs="Arial" w:eastAsia="Arial" w:hAnsi="Arial"/>
          <w:sz w:val="17"/>
          <w:szCs w:val="17"/>
          <w:color w:val="231F20"/>
        </w:rPr>
        <w:t>Accounts receivable includes billed and unbilled receivables. Trade accounts receivable are recorded at invoiced amounts and do not bear interest. The Company generally does not require collateral and provides for expected losses. The expectation of collectability is based on a review of credit profiles of customers, contractual terms and conditions, current economic trends, and historical payment experience. The Company regularly reviews the adequacy of the allowance for doubtful accounts by considering the age of each outstanding invoice and the collection history of each customer to determine the appropriate amount of allowance for doubtful accounts. Accounts receivable deemed uncollectible are charged against the allowance for doubtful accounts when identified. During the years ended December 31, 2019 and 2018, the Company charged $0.9 million and $0.4 million, respectively, of accounts receivable deemed uncollectible against the allowance for doubtful accounts.</w:t>
      </w:r>
    </w:p>
    <w:p>
      <w:pPr>
        <w:spacing w:after="0" w:line="191" w:lineRule="exact"/>
        <w:rPr>
          <w:sz w:val="20"/>
          <w:szCs w:val="20"/>
          <w:color w:val="auto"/>
        </w:rPr>
      </w:pPr>
    </w:p>
    <w:p>
      <w:pPr>
        <w:ind w:right="200" w:firstLine="761"/>
        <w:spacing w:after="0" w:line="259" w:lineRule="auto"/>
        <w:rPr>
          <w:sz w:val="20"/>
          <w:szCs w:val="20"/>
          <w:color w:val="auto"/>
        </w:rPr>
      </w:pPr>
      <w:r>
        <w:rPr>
          <w:rFonts w:ascii="Arial" w:cs="Arial" w:eastAsia="Arial" w:hAnsi="Arial"/>
          <w:sz w:val="18"/>
          <w:szCs w:val="18"/>
          <w:color w:val="231F20"/>
        </w:rPr>
        <w:t>Unbilled accounts receivable represents revenue recognized on contracts for which billings have not yet been presented to customers because the amounts were earned but not contractually billable as of the balance sheet date, substantially all of which is expected to be billed and collected within one year. As of December 31, 2019 and 2018, unbilled accounts receivable of approximately $14.4 million and $13.1 million, respectively, was included in accounts receivable on the Company’s consolidated balance sheets.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Internal Use Software Development Costs</w:t>
      </w:r>
    </w:p>
    <w:p>
      <w:pPr>
        <w:spacing w:after="0" w:line="239" w:lineRule="exact"/>
        <w:rPr>
          <w:sz w:val="20"/>
          <w:szCs w:val="20"/>
          <w:color w:val="auto"/>
        </w:rPr>
      </w:pPr>
    </w:p>
    <w:p>
      <w:pPr>
        <w:ind w:right="280" w:firstLine="761"/>
        <w:spacing w:after="0" w:line="276" w:lineRule="auto"/>
        <w:rPr>
          <w:sz w:val="20"/>
          <w:szCs w:val="20"/>
          <w:color w:val="auto"/>
        </w:rPr>
      </w:pPr>
      <w:r>
        <w:rPr>
          <w:rFonts w:ascii="Arial" w:cs="Arial" w:eastAsia="Arial" w:hAnsi="Arial"/>
          <w:sz w:val="17"/>
          <w:szCs w:val="17"/>
          <w:color w:val="231F20"/>
        </w:rPr>
        <w:t>The Company capitalizes qualifying internal use software development costs related to its cloud platform. The costs consist of personnel costs (including related benefits and stock-based compensation) that are incurred during the application development stage.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w:t>
      </w:r>
    </w:p>
    <w:p>
      <w:pPr>
        <w:spacing w:after="0" w:line="186" w:lineRule="exact"/>
        <w:rPr>
          <w:sz w:val="20"/>
          <w:szCs w:val="20"/>
          <w:color w:val="auto"/>
        </w:rPr>
      </w:pPr>
    </w:p>
    <w:p>
      <w:pPr>
        <w:ind w:right="180" w:firstLine="761"/>
        <w:spacing w:after="0" w:line="259" w:lineRule="auto"/>
        <w:rPr>
          <w:sz w:val="20"/>
          <w:szCs w:val="20"/>
          <w:color w:val="auto"/>
        </w:rPr>
      </w:pPr>
      <w:r>
        <w:rPr>
          <w:rFonts w:ascii="Arial" w:cs="Arial" w:eastAsia="Arial" w:hAnsi="Arial"/>
          <w:sz w:val="18"/>
          <w:szCs w:val="18"/>
          <w:color w:val="231F20"/>
        </w:rPr>
        <w:t>Capitalized costs are included in property and equipment. These costs are amortized over the estimated useful life of the software, which is two years, on a straight-line basis, which represents the manner in which the expected benefit will be derived. The amortization of costs related to the platform applications is included in cost of revenue and sales and marketing expense based on an allocation between paid customer accounts and free customer accounts not generating revenue.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239" w:lineRule="exact"/>
        <w:rPr>
          <w:sz w:val="20"/>
          <w:szCs w:val="20"/>
          <w:color w:val="auto"/>
        </w:rPr>
      </w:pPr>
    </w:p>
    <w:p>
      <w:pPr>
        <w:ind w:right="400" w:firstLine="761"/>
        <w:spacing w:after="0" w:line="286" w:lineRule="auto"/>
        <w:rPr>
          <w:sz w:val="20"/>
          <w:szCs w:val="20"/>
          <w:color w:val="auto"/>
        </w:rPr>
      </w:pPr>
      <w:r>
        <w:rPr>
          <w:rFonts w:ascii="Arial" w:cs="Arial" w:eastAsia="Arial" w:hAnsi="Arial"/>
          <w:sz w:val="17"/>
          <w:szCs w:val="17"/>
          <w:color w:val="231F20"/>
        </w:rPr>
        <w:t>Property and equipment, net is stated at cost less accumulated depreciation and amortization. Depreciation is computed using the straight-line method over the estimated useful life of the related asset. Expenses that improve an asset or extend its remaining useful life are capitalized. Costs of maintenance or repairs that do not extend the lives of the respective assets are charged to expenses as incurred.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Deferred Contract Costs</w:t>
      </w:r>
    </w:p>
    <w:p>
      <w:pPr>
        <w:spacing w:after="0" w:line="239" w:lineRule="exact"/>
        <w:rPr>
          <w:sz w:val="20"/>
          <w:szCs w:val="20"/>
          <w:color w:val="auto"/>
        </w:rPr>
      </w:pPr>
    </w:p>
    <w:p>
      <w:pPr>
        <w:ind w:firstLine="761"/>
        <w:spacing w:after="0" w:line="293" w:lineRule="auto"/>
        <w:rPr>
          <w:sz w:val="20"/>
          <w:szCs w:val="20"/>
          <w:color w:val="auto"/>
        </w:rPr>
      </w:pPr>
      <w:r>
        <w:rPr>
          <w:rFonts w:ascii="Arial" w:cs="Arial" w:eastAsia="Arial" w:hAnsi="Arial"/>
          <w:sz w:val="16"/>
          <w:szCs w:val="16"/>
          <w:color w:val="231F20"/>
        </w:rPr>
        <w:t>Sales commissions earned by the Company’s sales force are considered incremental and recoverable costs of obtaining a contract with a customer. There are no sales commissions earned on renewals. These costs are deferred and then amortized over a period of benefit which is determined to be four years. The Company determined the period of benefit by taking into consideration the length of terms in its customer contracts, life of the technology and other factors. Amounts expected to be recognized within one year of the balance sheet date are recorded as deferred contract costs, current; the remaining portion is recorded as deferred contract costs, non-current, in the consolidated balance sheets. Deferred contract costs are periodically analyzed for impairment. Amortization expense is included in sales and marketing expenses in the accompanying consolidated statements of operations.</w:t>
      </w:r>
    </w:p>
    <w:p>
      <w:pPr>
        <w:spacing w:after="0" w:line="178" w:lineRule="exact"/>
        <w:rPr>
          <w:sz w:val="20"/>
          <w:szCs w:val="20"/>
          <w:color w:val="auto"/>
        </w:rPr>
      </w:pPr>
    </w:p>
    <w:p>
      <w:pPr>
        <w:ind w:right="60" w:firstLine="761"/>
        <w:spacing w:after="0" w:line="277" w:lineRule="auto"/>
        <w:rPr>
          <w:sz w:val="20"/>
          <w:szCs w:val="20"/>
          <w:color w:val="auto"/>
        </w:rPr>
      </w:pPr>
      <w:r>
        <w:rPr>
          <w:rFonts w:ascii="Arial" w:cs="Arial" w:eastAsia="Arial" w:hAnsi="Arial"/>
          <w:sz w:val="18"/>
          <w:szCs w:val="18"/>
          <w:color w:val="231F20"/>
        </w:rPr>
        <w:t>The adoption of ASC 606 related to the deferral of incremental commission costs of obtaining a contract, primarily sales commissions, resulted in a decrease to accumulated deficit of $2.7 million as of January 1, 2017.</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69" w:name="page70"/>
    <w:bookmarkEnd w:id="69"/>
    <w:p>
      <w:pPr>
        <w:ind w:left="760"/>
        <w:spacing w:after="0"/>
        <w:rPr>
          <w:sz w:val="20"/>
          <w:szCs w:val="20"/>
          <w:color w:val="auto"/>
        </w:rPr>
      </w:pPr>
      <w:r>
        <w:rPr>
          <w:rFonts w:ascii="Arial" w:cs="Arial" w:eastAsia="Arial" w:hAnsi="Arial"/>
          <w:sz w:val="18"/>
          <w:szCs w:val="18"/>
          <w:color w:val="231F20"/>
        </w:rPr>
        <w:t>The following table represents a rollforward of the Company’s deferred contract costs (in thousands):</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Amount</w:t>
            </w:r>
          </w:p>
        </w:tc>
      </w:tr>
      <w:tr>
        <w:trPr>
          <w:trHeight w:val="223"/>
        </w:trPr>
        <w:tc>
          <w:tcPr>
            <w:tcW w:w="20" w:type="dxa"/>
            <w:vAlign w:val="bottom"/>
          </w:tcPr>
          <w:p>
            <w:pPr>
              <w:spacing w:after="0"/>
              <w:rPr>
                <w:sz w:val="19"/>
                <w:szCs w:val="19"/>
                <w:color w:val="auto"/>
              </w:rPr>
            </w:pPr>
          </w:p>
        </w:tc>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1, 2017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2,677</w:t>
            </w: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Additions to deferred contract costs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3,352</w:t>
            </w:r>
          </w:p>
        </w:tc>
      </w:tr>
      <w:tr>
        <w:trPr>
          <w:trHeight w:val="230"/>
        </w:trPr>
        <w:tc>
          <w:tcPr>
            <w:tcW w:w="20" w:type="dxa"/>
            <w:vAlign w:val="bottom"/>
          </w:tcPr>
          <w:p>
            <w:pPr>
              <w:spacing w:after="0"/>
              <w:rPr>
                <w:sz w:val="19"/>
                <w:szCs w:val="19"/>
                <w:color w:val="auto"/>
              </w:rPr>
            </w:pPr>
          </w:p>
        </w:tc>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contract costs</w:t>
            </w: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w:t>
            </w: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4,755</w:t>
            </w:r>
          </w:p>
        </w:tc>
      </w:tr>
      <w:tr>
        <w:trPr>
          <w:trHeight w:val="223"/>
        </w:trPr>
        <w:tc>
          <w:tcPr>
            <w:tcW w:w="20" w:type="dxa"/>
            <w:vAlign w:val="bottom"/>
          </w:tcPr>
          <w:p>
            <w:pPr>
              <w:spacing w:after="0"/>
              <w:rPr>
                <w:sz w:val="19"/>
                <w:szCs w:val="19"/>
                <w:color w:val="auto"/>
              </w:rPr>
            </w:pPr>
          </w:p>
        </w:tc>
        <w:tc>
          <w:tcPr>
            <w:tcW w:w="7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Additions to deferred contract costs</w:t>
            </w: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8,925</w:t>
            </w:r>
          </w:p>
        </w:tc>
      </w:tr>
      <w:tr>
        <w:trPr>
          <w:trHeight w:val="230"/>
        </w:trPr>
        <w:tc>
          <w:tcPr>
            <w:tcW w:w="20" w:type="dxa"/>
            <w:vAlign w:val="bottom"/>
          </w:tcPr>
          <w:p>
            <w:pPr>
              <w:spacing w:after="0"/>
              <w:rPr>
                <w:sz w:val="19"/>
                <w:szCs w:val="19"/>
                <w:color w:val="auto"/>
              </w:rPr>
            </w:pPr>
          </w:p>
        </w:tc>
        <w:tc>
          <w:tcPr>
            <w:tcW w:w="7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deferred contract costs</w:t>
            </w: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r>
      <w:tr>
        <w:trPr>
          <w:trHeight w:val="223"/>
        </w:trPr>
        <w:tc>
          <w:tcPr>
            <w:tcW w:w="20" w:type="dxa"/>
            <w:vAlign w:val="bottom"/>
          </w:tcPr>
          <w:p>
            <w:pPr>
              <w:spacing w:after="0"/>
              <w:rPr>
                <w:sz w:val="19"/>
                <w:szCs w:val="19"/>
                <w:color w:val="auto"/>
              </w:rPr>
            </w:pPr>
          </w:p>
        </w:tc>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11,009</w:t>
            </w: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Additions to deferred contract costs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20,146</w:t>
            </w:r>
          </w:p>
        </w:tc>
      </w:tr>
      <w:tr>
        <w:trPr>
          <w:trHeight w:val="230"/>
        </w:trPr>
        <w:tc>
          <w:tcPr>
            <w:tcW w:w="20" w:type="dxa"/>
            <w:vAlign w:val="bottom"/>
          </w:tcPr>
          <w:p>
            <w:pPr>
              <w:spacing w:after="0"/>
              <w:rPr>
                <w:sz w:val="19"/>
                <w:szCs w:val="19"/>
                <w:color w:val="auto"/>
              </w:rPr>
            </w:pPr>
          </w:p>
        </w:tc>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contract costs</w:t>
            </w: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(5,400)</w:t>
            </w: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Balance as of December 31, 2019</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25,755</w:t>
            </w: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Business Combinations</w:t>
      </w:r>
    </w:p>
    <w:p>
      <w:pPr>
        <w:spacing w:after="0" w:line="239" w:lineRule="exact"/>
        <w:rPr>
          <w:sz w:val="20"/>
          <w:szCs w:val="20"/>
          <w:color w:val="auto"/>
        </w:rPr>
      </w:pPr>
    </w:p>
    <w:p>
      <w:pPr>
        <w:ind w:right="60" w:firstLine="761"/>
        <w:spacing w:after="0" w:line="270" w:lineRule="auto"/>
        <w:rPr>
          <w:sz w:val="20"/>
          <w:szCs w:val="20"/>
          <w:color w:val="auto"/>
        </w:rPr>
      </w:pPr>
      <w:r>
        <w:rPr>
          <w:rFonts w:ascii="Arial" w:cs="Arial" w:eastAsia="Arial" w:hAnsi="Arial"/>
          <w:sz w:val="17"/>
          <w:szCs w:val="17"/>
          <w:color w:val="231F20"/>
        </w:rPr>
        <w:t>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Such valuations require the Company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The Company’s estimates of fair value are based upon assumptions believed to be reasonable, but which are inherently uncertain and unpredictable and, as a result, actual results may differ from estimates. During the measurement period, the Company may record adjustments to the assets acquired and liabilities assumed, with the corresponding offset to goodwill. Upon the conclusion of the measurement period, any subsequent adjustments are recorded to other income, net in the consolidated statement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Accounting for Impairment of Long-Lived Assets (Including Goodwill and Intangibles)</w:t>
      </w:r>
    </w:p>
    <w:p>
      <w:pPr>
        <w:spacing w:after="0" w:line="239" w:lineRule="exact"/>
        <w:rPr>
          <w:sz w:val="20"/>
          <w:szCs w:val="20"/>
          <w:color w:val="auto"/>
        </w:rPr>
      </w:pPr>
    </w:p>
    <w:p>
      <w:pPr>
        <w:ind w:right="140" w:firstLine="761"/>
        <w:spacing w:after="0" w:line="277" w:lineRule="auto"/>
        <w:rPr>
          <w:sz w:val="20"/>
          <w:szCs w:val="20"/>
          <w:color w:val="auto"/>
        </w:rPr>
      </w:pPr>
      <w:r>
        <w:rPr>
          <w:rFonts w:ascii="Arial" w:cs="Arial" w:eastAsia="Arial" w:hAnsi="Arial"/>
          <w:sz w:val="18"/>
          <w:szCs w:val="18"/>
          <w:color w:val="231F20"/>
        </w:rPr>
        <w:t>Long-lived assets with finite lives include property and equipment, capitalized development software costs and acquired intangible assets. Long-lived assets are amortized over their estimated useful lives which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Computers and equipment</w:t>
            </w:r>
          </w:p>
        </w:tc>
        <w:tc>
          <w:tcPr>
            <w:tcW w:w="6600" w:type="dxa"/>
            <w:vAlign w:val="bottom"/>
            <w:shd w:val="clear" w:color="auto" w:fill="CFF0FC"/>
          </w:tcPr>
          <w:p>
            <w:pPr>
              <w:ind w:left="1940"/>
              <w:spacing w:after="0"/>
              <w:rPr>
                <w:sz w:val="20"/>
                <w:szCs w:val="20"/>
                <w:color w:val="auto"/>
              </w:rPr>
            </w:pPr>
            <w:r>
              <w:rPr>
                <w:rFonts w:ascii="Arial" w:cs="Arial" w:eastAsia="Arial" w:hAnsi="Arial"/>
                <w:sz w:val="18"/>
                <w:szCs w:val="18"/>
                <w:color w:val="auto"/>
              </w:rPr>
              <w:t>3 years</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Furnitures and fixtures</w:t>
            </w:r>
          </w:p>
        </w:tc>
        <w:tc>
          <w:tcPr>
            <w:tcW w:w="6600" w:type="dxa"/>
            <w:vAlign w:val="bottom"/>
          </w:tcPr>
          <w:p>
            <w:pPr>
              <w:ind w:left="1940"/>
              <w:spacing w:after="0"/>
              <w:rPr>
                <w:sz w:val="20"/>
                <w:szCs w:val="20"/>
                <w:color w:val="auto"/>
              </w:rPr>
            </w:pPr>
            <w:r>
              <w:rPr>
                <w:rFonts w:ascii="Arial" w:cs="Arial" w:eastAsia="Arial" w:hAnsi="Arial"/>
                <w:sz w:val="18"/>
                <w:szCs w:val="18"/>
                <w:color w:val="auto"/>
              </w:rPr>
              <w:t>5 years</w:t>
            </w: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6600" w:type="dxa"/>
            <w:vAlign w:val="bottom"/>
            <w:shd w:val="clear" w:color="auto" w:fill="CFF0FC"/>
          </w:tcPr>
          <w:p>
            <w:pPr>
              <w:ind w:left="1940"/>
              <w:spacing w:after="0"/>
              <w:rPr>
                <w:sz w:val="20"/>
                <w:szCs w:val="20"/>
                <w:color w:val="auto"/>
              </w:rPr>
            </w:pPr>
            <w:r>
              <w:rPr>
                <w:rFonts w:ascii="Arial" w:cs="Arial" w:eastAsia="Arial" w:hAnsi="Arial"/>
                <w:sz w:val="18"/>
                <w:szCs w:val="18"/>
                <w:color w:val="auto"/>
              </w:rPr>
              <w:t>Shorter of lease term or useful life of asset</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Capitalized software development costs</w:t>
            </w:r>
          </w:p>
        </w:tc>
        <w:tc>
          <w:tcPr>
            <w:tcW w:w="6600" w:type="dxa"/>
            <w:vAlign w:val="bottom"/>
          </w:tcPr>
          <w:p>
            <w:pPr>
              <w:ind w:left="1940"/>
              <w:spacing w:after="0"/>
              <w:rPr>
                <w:sz w:val="20"/>
                <w:szCs w:val="20"/>
                <w:color w:val="auto"/>
              </w:rPr>
            </w:pPr>
            <w:r>
              <w:rPr>
                <w:rFonts w:ascii="Arial" w:cs="Arial" w:eastAsia="Arial" w:hAnsi="Arial"/>
                <w:sz w:val="18"/>
                <w:szCs w:val="18"/>
                <w:color w:val="auto"/>
              </w:rPr>
              <w:t>2 years</w:t>
            </w: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6600" w:type="dxa"/>
            <w:vAlign w:val="bottom"/>
            <w:shd w:val="clear" w:color="auto" w:fill="CFF0FC"/>
          </w:tcPr>
          <w:p>
            <w:pPr>
              <w:ind w:left="1940"/>
              <w:spacing w:after="0"/>
              <w:rPr>
                <w:sz w:val="20"/>
                <w:szCs w:val="20"/>
                <w:color w:val="auto"/>
              </w:rPr>
            </w:pPr>
            <w:r>
              <w:rPr>
                <w:rFonts w:ascii="Arial" w:cs="Arial" w:eastAsia="Arial" w:hAnsi="Arial"/>
                <w:sz w:val="18"/>
                <w:szCs w:val="18"/>
                <w:color w:val="auto"/>
              </w:rPr>
              <w:t>1-3 years</w:t>
            </w:r>
          </w:p>
        </w:tc>
      </w:tr>
    </w:tbl>
    <w:p>
      <w:pPr>
        <w:spacing w:after="0" w:line="215" w:lineRule="exact"/>
        <w:rPr>
          <w:sz w:val="20"/>
          <w:szCs w:val="20"/>
          <w:color w:val="auto"/>
        </w:rPr>
      </w:pPr>
    </w:p>
    <w:p>
      <w:pPr>
        <w:ind w:right="100" w:firstLine="761"/>
        <w:spacing w:after="0" w:line="255" w:lineRule="auto"/>
        <w:rPr>
          <w:sz w:val="20"/>
          <w:szCs w:val="20"/>
          <w:color w:val="auto"/>
        </w:rPr>
      </w:pPr>
      <w:r>
        <w:rPr>
          <w:rFonts w:ascii="Arial" w:cs="Arial" w:eastAsia="Arial" w:hAnsi="Arial"/>
          <w:sz w:val="18"/>
          <w:szCs w:val="18"/>
          <w:color w:val="231F20"/>
        </w:rPr>
        <w:t>The Company evaluates long lived assets, including acquired intangible assets and capitalized software development costs, for impairment whenever events or changes in circumstances indicate that the carrying amount of an asset may not be recoverable or the estimated useful life becomes shorter than originally estimated.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 based on discounted cash flows.</w:t>
      </w:r>
    </w:p>
    <w:p>
      <w:pPr>
        <w:spacing w:after="0" w:line="207"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231F20"/>
        </w:rPr>
        <w:t>Goodwill is not amortized but rather tested for impairment at least annually on October 1, or more frequently if events or changes in circumstances indicate that goodwill may be impaired. Goodwill impairment is recognized when the quantitative assessment results in the carrying value exceeding the fair value, in which case an impairment charge is recorded to the extent the carrying value exceeds the fair value. The Company did not recognize any impairment of goodwill during the years ended December 31, 2019, 2018 or 2017.</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231F20"/>
        </w:rPr>
        <w:t>Operating Leases</w:t>
      </w:r>
    </w:p>
    <w:p>
      <w:pPr>
        <w:spacing w:after="0" w:line="239" w:lineRule="exact"/>
        <w:rPr>
          <w:sz w:val="20"/>
          <w:szCs w:val="20"/>
          <w:color w:val="auto"/>
        </w:rPr>
      </w:pPr>
    </w:p>
    <w:p>
      <w:pPr>
        <w:ind w:right="20" w:firstLine="761"/>
        <w:spacing w:after="0" w:line="269" w:lineRule="auto"/>
        <w:rPr>
          <w:sz w:val="20"/>
          <w:szCs w:val="20"/>
          <w:color w:val="auto"/>
        </w:rPr>
      </w:pPr>
      <w:r>
        <w:rPr>
          <w:rFonts w:ascii="Arial" w:cs="Arial" w:eastAsia="Arial" w:hAnsi="Arial"/>
          <w:sz w:val="17"/>
          <w:szCs w:val="17"/>
          <w:color w:val="231F20"/>
        </w:rPr>
        <w:t>The Company determines if an arrangement is a lease at inception. Operating lease assets and liabilities are reflected within operating lease assets, operating lease liabilities, current, and operating lease liabilities, non-current, on the consolidated balance sheets. For short-term leases (an initial term of 12 months or less), an operating lease asset and corresponding lease liability are not recorded and the Company records rent expense in its consolidated statements of operations on a straight-line basis over the lease term. Operating lease assets represent the Company’s right to use an underlying asset for the lease term and lease liabilities represent the Company’s obligation to make lease payments arising from the lease. Operating lease assets and liabilities are recognized at commencement date based on the present value of lease payments over the lease term. As most of the Company’s leases do not provide an implicit rate, the Company generally uses its incremental borrowing rate based on the estimated rate of interest for collateralized borrowing over a similar term of the lease payments at commencement date. The operating lease assets also include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separately.</w:t>
      </w:r>
    </w:p>
    <w:p>
      <w:pPr>
        <w:spacing w:after="0" w:line="223" w:lineRule="exact"/>
        <w:rPr>
          <w:sz w:val="20"/>
          <w:szCs w:val="20"/>
          <w:color w:val="auto"/>
        </w:rPr>
      </w:pPr>
    </w:p>
    <w:p>
      <w:pPr>
        <w:ind w:right="20" w:firstLine="761"/>
        <w:spacing w:after="0" w:line="277" w:lineRule="auto"/>
        <w:rPr>
          <w:sz w:val="20"/>
          <w:szCs w:val="20"/>
          <w:color w:val="auto"/>
        </w:rPr>
      </w:pPr>
      <w:r>
        <w:rPr>
          <w:rFonts w:ascii="Arial" w:cs="Arial" w:eastAsia="Arial" w:hAnsi="Arial"/>
          <w:sz w:val="18"/>
          <w:szCs w:val="18"/>
          <w:color w:val="231F20"/>
        </w:rPr>
        <w:t xml:space="preserve">Prior to the adoption of ASC 842, </w:t>
      </w:r>
      <w:r>
        <w:rPr>
          <w:rFonts w:ascii="Arial" w:cs="Arial" w:eastAsia="Arial" w:hAnsi="Arial"/>
          <w:sz w:val="18"/>
          <w:szCs w:val="18"/>
          <w:i w:val="1"/>
          <w:iCs w:val="1"/>
          <w:color w:val="231F20"/>
        </w:rPr>
        <w:t>Leases</w:t>
      </w:r>
      <w:r>
        <w:rPr>
          <w:rFonts w:ascii="Arial" w:cs="Arial" w:eastAsia="Arial" w:hAnsi="Arial"/>
          <w:sz w:val="18"/>
          <w:szCs w:val="18"/>
          <w:color w:val="231F20"/>
        </w:rPr>
        <w:t xml:space="preserve"> on January 1, 2019, the Company recorded the difference between the rent paid and the straight-line rent expense as a deferred rent liability within accrued expenses and other current liabilities and other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Deferred Revenue</w:t>
      </w:r>
    </w:p>
    <w:p>
      <w:pPr>
        <w:spacing w:after="0" w:line="239" w:lineRule="exact"/>
        <w:rPr>
          <w:sz w:val="20"/>
          <w:szCs w:val="20"/>
          <w:color w:val="auto"/>
        </w:rPr>
      </w:pPr>
    </w:p>
    <w:p>
      <w:pPr>
        <w:ind w:right="180" w:firstLine="761"/>
        <w:spacing w:after="0" w:line="264" w:lineRule="auto"/>
        <w:rPr>
          <w:sz w:val="20"/>
          <w:szCs w:val="20"/>
          <w:color w:val="auto"/>
        </w:rPr>
      </w:pPr>
      <w:r>
        <w:rPr>
          <w:rFonts w:ascii="Arial" w:cs="Arial" w:eastAsia="Arial" w:hAnsi="Arial"/>
          <w:sz w:val="18"/>
          <w:szCs w:val="18"/>
          <w:color w:val="231F20"/>
        </w:rPr>
        <w:t>The Company records contract liabilities to deferred revenue when the Company receives customer payments in advance of the performance obligations being satisfied on the Company’s contracts. Certain of the Company’s customers pay in advance of satisfaction of performance obligations and other customers with monthly contract terms are billed in arrears on a monthly basis.</w:t>
      </w:r>
    </w:p>
    <w:p>
      <w:pPr>
        <w:spacing w:after="0" w:line="195" w:lineRule="exact"/>
        <w:rPr>
          <w:sz w:val="20"/>
          <w:szCs w:val="20"/>
          <w:color w:val="auto"/>
        </w:rPr>
      </w:pPr>
    </w:p>
    <w:p>
      <w:pPr>
        <w:ind w:right="480" w:firstLine="761"/>
        <w:spacing w:after="0" w:line="277" w:lineRule="auto"/>
        <w:rPr>
          <w:sz w:val="20"/>
          <w:szCs w:val="20"/>
          <w:color w:val="auto"/>
        </w:rPr>
      </w:pPr>
      <w:r>
        <w:rPr>
          <w:rFonts w:ascii="Arial" w:cs="Arial" w:eastAsia="Arial" w:hAnsi="Arial"/>
          <w:sz w:val="18"/>
          <w:szCs w:val="18"/>
          <w:color w:val="231F20"/>
        </w:rPr>
        <w:t>Revenue recognized during the years ended December 31, 2019, 2018 and 2017, which was included in the deferred revenue balances at the beginning of each respective period, was $71.0 million, $37.1 million, and $9.2 million.</w:t>
      </w:r>
    </w:p>
    <w:p>
      <w:pPr>
        <w:spacing w:after="0" w:line="184" w:lineRule="exact"/>
        <w:rPr>
          <w:sz w:val="20"/>
          <w:szCs w:val="20"/>
          <w:color w:val="auto"/>
        </w:rPr>
      </w:pPr>
    </w:p>
    <w:p>
      <w:pPr>
        <w:ind w:firstLine="761"/>
        <w:spacing w:after="0" w:line="291" w:lineRule="auto"/>
        <w:rPr>
          <w:sz w:val="20"/>
          <w:szCs w:val="20"/>
          <w:color w:val="auto"/>
        </w:rPr>
      </w:pPr>
      <w:r>
        <w:rPr>
          <w:rFonts w:ascii="Arial" w:cs="Arial" w:eastAsia="Arial" w:hAnsi="Arial"/>
          <w:sz w:val="16"/>
          <w:szCs w:val="16"/>
          <w:color w:val="231F20"/>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and does not include usage of our products beyond the contractually committed level. As of December 31, 2019, and December 31, 2018, the aggregate transaction price allocated to remaining performance obligations was $243.8 million and $127.1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 and more than a majority will be recognized to revenue over the next 12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Income (Loss) Per Share Attributable to Common Shareholders</w:t>
      </w:r>
    </w:p>
    <w:p>
      <w:pPr>
        <w:spacing w:after="0" w:line="239" w:lineRule="exact"/>
        <w:rPr>
          <w:sz w:val="20"/>
          <w:szCs w:val="20"/>
          <w:color w:val="auto"/>
        </w:rPr>
      </w:pPr>
    </w:p>
    <w:p>
      <w:pPr>
        <w:ind w:right="140" w:firstLine="761"/>
        <w:spacing w:after="0" w:line="273" w:lineRule="auto"/>
        <w:rPr>
          <w:sz w:val="20"/>
          <w:szCs w:val="20"/>
          <w:color w:val="auto"/>
        </w:rPr>
      </w:pPr>
      <w:r>
        <w:rPr>
          <w:rFonts w:ascii="Arial" w:cs="Arial" w:eastAsia="Arial" w:hAnsi="Arial"/>
          <w:sz w:val="17"/>
          <w:szCs w:val="17"/>
          <w:color w:val="231F20"/>
        </w:rPr>
        <w:t>Basic net income (loss) per share is computed by dividing net income (loss) by the weighted-average number of shares of common stock outstanding during the period. Diluted net income (loss) per share is computed by dividing net income (loss) by the weighted-average number of shares of common stock outstanding during the period giving effect to all potentially dilutive securities to the extent they are dilutive. The dilutive effect of potentially dilutive securities is reflected in diluted net income (loss) per share by application of the two-class method. During the periods when the Company is in a net loss position, the net loss attributable to common stockholders was not allocated to the convertible preferred stock and unvested common stock under the two-class method as these securities do not have a contractual obligation to share in the Company’s losses.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Accounting Pronouncements Recently Adopted</w:t>
      </w:r>
    </w:p>
    <w:p>
      <w:pPr>
        <w:spacing w:after="0" w:line="239" w:lineRule="exact"/>
        <w:rPr>
          <w:sz w:val="20"/>
          <w:szCs w:val="20"/>
          <w:color w:val="auto"/>
        </w:rPr>
      </w:pPr>
    </w:p>
    <w:p>
      <w:pPr>
        <w:ind w:firstLine="761"/>
        <w:spacing w:after="0" w:line="289" w:lineRule="auto"/>
        <w:rPr>
          <w:sz w:val="20"/>
          <w:szCs w:val="20"/>
          <w:color w:val="auto"/>
        </w:rPr>
      </w:pPr>
      <w:r>
        <w:rPr>
          <w:rFonts w:ascii="Arial" w:cs="Arial" w:eastAsia="Arial" w:hAnsi="Arial"/>
          <w:sz w:val="16"/>
          <w:szCs w:val="16"/>
          <w:color w:val="231F20"/>
        </w:rPr>
        <w:t xml:space="preserve">In November 2015, the FASB issued ASU No. 2015-17, </w:t>
      </w:r>
      <w:r>
        <w:rPr>
          <w:rFonts w:ascii="Arial" w:cs="Arial" w:eastAsia="Arial" w:hAnsi="Arial"/>
          <w:sz w:val="16"/>
          <w:szCs w:val="16"/>
          <w:i w:val="1"/>
          <w:iCs w:val="1"/>
          <w:color w:val="231F20"/>
        </w:rPr>
        <w:t>Income Taxes (Topic 740), Balance Sheet Classification of Deferred Tax</w:t>
      </w:r>
      <w:r>
        <w:rPr>
          <w:rFonts w:ascii="Arial" w:cs="Arial" w:eastAsia="Arial" w:hAnsi="Arial"/>
          <w:sz w:val="16"/>
          <w:szCs w:val="16"/>
          <w:color w:val="231F20"/>
        </w:rPr>
        <w:t>. ASU No. 2015-17 was issued by the FASB as part of its initiative to reduce complexity in accounting standards (the Simplification Initiative). Current GAAP requires an entity to separate deferred income tax liabilities and assets into current and noncurrent amounts in a classified statement of financial position. To simplify the presentation of deferred income taxes, the amendments in ASU 2015-17 require that deferred tax liabilities and assets be classified as noncurrent in a classified statement of financial position. The current requirement that deferred tax liabilities and assets of a tax-paying component of an entity be offset and presented as a single amount is not affected by the amendments of ASU 2015-17. ASU 2015-17 is effective for financial statements issued for annual periods beginning after December 15, 2017 and interim periods within those annual periods. Early adoption is permitted for financial statements that have not been previously issued. The ASU was adopted January 1, 2019 and applied retrospectively to all deferred tax assets and liabilities for all periods presented. The Company adoption of this ASU had no material impact on the Company’s consolidated financial statements.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1" w:name="page72"/>
    <w:bookmarkEnd w:id="71"/>
    <w:p>
      <w:pPr>
        <w:jc w:val="both"/>
        <w:ind w:right="40" w:firstLine="761"/>
        <w:spacing w:after="0" w:line="312" w:lineRule="auto"/>
        <w:rPr>
          <w:sz w:val="20"/>
          <w:szCs w:val="20"/>
          <w:color w:val="auto"/>
        </w:rPr>
      </w:pPr>
      <w:r>
        <w:rPr>
          <w:rFonts w:ascii="Arial" w:cs="Arial" w:eastAsia="Arial" w:hAnsi="Arial"/>
          <w:sz w:val="16"/>
          <w:szCs w:val="16"/>
          <w:color w:val="231F20"/>
        </w:rPr>
        <w:t xml:space="preserve">In August 2016, the FASB issued ASU 2016-15, </w:t>
      </w:r>
      <w:r>
        <w:rPr>
          <w:rFonts w:ascii="Arial" w:cs="Arial" w:eastAsia="Arial" w:hAnsi="Arial"/>
          <w:sz w:val="16"/>
          <w:szCs w:val="16"/>
          <w:i w:val="1"/>
          <w:iCs w:val="1"/>
          <w:color w:val="231F20"/>
        </w:rPr>
        <w:t>Statement of Cash Flows</w:t>
      </w:r>
      <w:r>
        <w:rPr>
          <w:rFonts w:ascii="Arial" w:cs="Arial" w:eastAsia="Arial" w:hAnsi="Arial"/>
          <w:sz w:val="16"/>
          <w:szCs w:val="16"/>
          <w:color w:val="231F20"/>
        </w:rPr>
        <w:t>. The ASU provides guidance on how certain cash receipts and outflows should be classified on entities’ statement of cash flows. The Company adopted the ASU on January 1, 2019 on a retrospective basis to all periods presented. Adoption of this ASU did not have a material impact on the Company’s consolidated statements of cash flows for the periods presented.</w:t>
      </w:r>
    </w:p>
    <w:p>
      <w:pPr>
        <w:spacing w:after="0" w:line="160" w:lineRule="exact"/>
        <w:rPr>
          <w:sz w:val="20"/>
          <w:szCs w:val="20"/>
          <w:color w:val="auto"/>
        </w:rPr>
      </w:pPr>
    </w:p>
    <w:p>
      <w:pPr>
        <w:ind w:right="140" w:firstLine="761"/>
        <w:spacing w:after="0" w:line="255" w:lineRule="auto"/>
        <w:rPr>
          <w:sz w:val="20"/>
          <w:szCs w:val="20"/>
          <w:color w:val="auto"/>
        </w:rPr>
      </w:pPr>
      <w:r>
        <w:rPr>
          <w:rFonts w:ascii="Arial" w:cs="Arial" w:eastAsia="Arial" w:hAnsi="Arial"/>
          <w:sz w:val="18"/>
          <w:szCs w:val="18"/>
          <w:color w:val="231F20"/>
        </w:rPr>
        <w:t xml:space="preserve">In November 2016, the FASB issued ASU 2016-18, </w:t>
      </w:r>
      <w:r>
        <w:rPr>
          <w:rFonts w:ascii="Arial" w:cs="Arial" w:eastAsia="Arial" w:hAnsi="Arial"/>
          <w:sz w:val="18"/>
          <w:szCs w:val="18"/>
          <w:i w:val="1"/>
          <w:iCs w:val="1"/>
          <w:color w:val="231F20"/>
        </w:rPr>
        <w:t>Statement of Cash Flows</w:t>
      </w:r>
      <w:r>
        <w:rPr>
          <w:rFonts w:ascii="Arial" w:cs="Arial" w:eastAsia="Arial" w:hAnsi="Arial"/>
          <w:sz w:val="18"/>
          <w:szCs w:val="18"/>
          <w:color w:val="231F20"/>
        </w:rPr>
        <w:t>. The standard requires that the statements of cash flows explain the change during the period in the total of cash, cash equivalents, and amounts generally described as restricted cash or restricted cash equivalents. The Company adopted the ASU on January 1, 2019 on a retrospective basis for all periods presented. As a result of adopting the ASU, the Company includes restricted cash with cash and cash equivalents when reconciling the beginning-of-period and end-of-period total amounts presented on the statement of consolidated cash flows. Accordingly, the statement of cash flows has been revised to include restricted cash as a consolidated component of cash, cash equivalents, and restricted cash.</w:t>
      </w:r>
    </w:p>
    <w:p>
      <w:pPr>
        <w:spacing w:after="0" w:line="207" w:lineRule="exact"/>
        <w:rPr>
          <w:sz w:val="20"/>
          <w:szCs w:val="20"/>
          <w:color w:val="auto"/>
        </w:rPr>
      </w:pPr>
    </w:p>
    <w:p>
      <w:pPr>
        <w:ind w:firstLine="761"/>
        <w:spacing w:after="0" w:line="255" w:lineRule="auto"/>
        <w:rPr>
          <w:sz w:val="20"/>
          <w:szCs w:val="20"/>
          <w:color w:val="auto"/>
        </w:rPr>
      </w:pPr>
      <w:r>
        <w:rPr>
          <w:rFonts w:ascii="Arial" w:cs="Arial" w:eastAsia="Arial" w:hAnsi="Arial"/>
          <w:sz w:val="18"/>
          <w:szCs w:val="18"/>
          <w:color w:val="231F20"/>
        </w:rPr>
        <w:t xml:space="preserve">In February 2016, the FASB issued ASU 2016-02, </w:t>
      </w:r>
      <w:r>
        <w:rPr>
          <w:rFonts w:ascii="Arial" w:cs="Arial" w:eastAsia="Arial" w:hAnsi="Arial"/>
          <w:sz w:val="18"/>
          <w:szCs w:val="18"/>
          <w:i w:val="1"/>
          <w:iCs w:val="1"/>
          <w:color w:val="231F20"/>
        </w:rPr>
        <w:t>Leases (ASC 842)</w:t>
      </w:r>
      <w:r>
        <w:rPr>
          <w:rFonts w:ascii="Arial" w:cs="Arial" w:eastAsia="Arial" w:hAnsi="Arial"/>
          <w:sz w:val="18"/>
          <w:szCs w:val="18"/>
          <w:color w:val="231F20"/>
        </w:rPr>
        <w:t>, which requires, among other items, lessees to recognize most leases as assets and liabilities on the balance sheet. Qualitative and quantitative disclosures are also enhanced to better understand the amount, timing and uncertainty of cash flows arising from leases. The Company adopted this ASU on January 1, 2019 and has elected the transition option prescribed by ASU 2018-11, and accordingly will not restate prior periods under ASC 842. The Company elected the package of practical expedients permitted under the transition guidance within the new standard, which among other things, allowed the Company to carry forward the historical lease classification and determination of the lease term. Upon adoption, the Company recognized a right of use asset of $47.9 million and a lease liability of $51.4 million with no impact to accumulated deficit or consolidated statement of cash flows.</w:t>
      </w:r>
    </w:p>
    <w:p>
      <w:pPr>
        <w:spacing w:after="0" w:line="230" w:lineRule="exact"/>
        <w:rPr>
          <w:sz w:val="20"/>
          <w:szCs w:val="20"/>
          <w:color w:val="auto"/>
        </w:rPr>
      </w:pPr>
    </w:p>
    <w:p>
      <w:pPr>
        <w:ind w:right="200" w:firstLine="761"/>
        <w:spacing w:after="0" w:line="257" w:lineRule="auto"/>
        <w:rPr>
          <w:sz w:val="20"/>
          <w:szCs w:val="20"/>
          <w:color w:val="auto"/>
        </w:rPr>
      </w:pPr>
      <w:r>
        <w:rPr>
          <w:rFonts w:ascii="Arial" w:cs="Arial" w:eastAsia="Arial" w:hAnsi="Arial"/>
          <w:sz w:val="18"/>
          <w:szCs w:val="18"/>
          <w:color w:val="231F20"/>
        </w:rPr>
        <w:t>In June 2018, the FASB issued ASU 2018-07, Compensation—</w:t>
      </w:r>
      <w:r>
        <w:rPr>
          <w:rFonts w:ascii="Arial" w:cs="Arial" w:eastAsia="Arial" w:hAnsi="Arial"/>
          <w:sz w:val="18"/>
          <w:szCs w:val="18"/>
          <w:i w:val="1"/>
          <w:iCs w:val="1"/>
          <w:color w:val="231F20"/>
        </w:rPr>
        <w:t>Stock Compensation (Topic 718): Improvements to Nonemployee Share-Based</w:t>
      </w:r>
      <w:r>
        <w:rPr>
          <w:rFonts w:ascii="Arial" w:cs="Arial" w:eastAsia="Arial" w:hAnsi="Arial"/>
          <w:sz w:val="18"/>
          <w:szCs w:val="18"/>
          <w:color w:val="231F20"/>
        </w:rPr>
        <w:t xml:space="preserve"> </w:t>
      </w:r>
      <w:r>
        <w:rPr>
          <w:rFonts w:ascii="Arial" w:cs="Arial" w:eastAsia="Arial" w:hAnsi="Arial"/>
          <w:sz w:val="18"/>
          <w:szCs w:val="18"/>
          <w:i w:val="1"/>
          <w:iCs w:val="1"/>
          <w:color w:val="231F20"/>
        </w:rPr>
        <w:t>Payment Accounting</w:t>
      </w:r>
      <w:r>
        <w:rPr>
          <w:rFonts w:ascii="Arial" w:cs="Arial" w:eastAsia="Arial" w:hAnsi="Arial"/>
          <w:sz w:val="18"/>
          <w:szCs w:val="18"/>
          <w:color w:val="231F20"/>
        </w:rPr>
        <w:t>. The updated guidance simplifies the accounting for nonemployee share-based payment transactions. The amendments in the new</w:t>
      </w:r>
      <w:r>
        <w:rPr>
          <w:rFonts w:ascii="Arial" w:cs="Arial" w:eastAsia="Arial" w:hAnsi="Arial"/>
          <w:sz w:val="18"/>
          <w:szCs w:val="18"/>
          <w:i w:val="1"/>
          <w:iCs w:val="1"/>
          <w:color w:val="231F20"/>
        </w:rPr>
        <w:t xml:space="preserve"> </w:t>
      </w:r>
      <w:r>
        <w:rPr>
          <w:rFonts w:ascii="Arial" w:cs="Arial" w:eastAsia="Arial" w:hAnsi="Arial"/>
          <w:sz w:val="18"/>
          <w:szCs w:val="18"/>
          <w:color w:val="231F20"/>
        </w:rPr>
        <w:t>guidance specify that Topic 718 applies to all share-based payment transactions in which a grantor acquires goods or services to be used or consumed in a grantor’s own operations by issuing share-based payment awards. The Company adopted this ASU on January 1, 2019 and it had no impact on the Company’s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Accounting Pronouncements Not Yet Adopted</w:t>
      </w:r>
    </w:p>
    <w:p>
      <w:pPr>
        <w:spacing w:after="0" w:line="239" w:lineRule="exact"/>
        <w:rPr>
          <w:sz w:val="20"/>
          <w:szCs w:val="20"/>
          <w:color w:val="auto"/>
        </w:rPr>
      </w:pPr>
    </w:p>
    <w:p>
      <w:pPr>
        <w:ind w:right="40" w:firstLine="761"/>
        <w:spacing w:after="0" w:line="293" w:lineRule="auto"/>
        <w:rPr>
          <w:sz w:val="20"/>
          <w:szCs w:val="20"/>
          <w:color w:val="auto"/>
        </w:rPr>
      </w:pPr>
      <w:r>
        <w:rPr>
          <w:rFonts w:ascii="Arial" w:cs="Arial" w:eastAsia="Arial" w:hAnsi="Arial"/>
          <w:sz w:val="16"/>
          <w:szCs w:val="16"/>
          <w:color w:val="231F20"/>
        </w:rPr>
        <w:t xml:space="preserve">In August 2018, the FASB issued ASU No. 2018-15, </w:t>
      </w:r>
      <w:r>
        <w:rPr>
          <w:rFonts w:ascii="Arial" w:cs="Arial" w:eastAsia="Arial" w:hAnsi="Arial"/>
          <w:sz w:val="16"/>
          <w:szCs w:val="16"/>
          <w:i w:val="1"/>
          <w:iCs w:val="1"/>
          <w:color w:val="231F20"/>
        </w:rPr>
        <w:t>Intangibles—Goodwill and Other—Internal-Use Software</w:t>
      </w:r>
      <w:r>
        <w:rPr>
          <w:rFonts w:ascii="Arial" w:cs="Arial" w:eastAsia="Arial" w:hAnsi="Arial"/>
          <w:sz w:val="16"/>
          <w:szCs w:val="16"/>
          <w:color w:val="231F20"/>
        </w:rPr>
        <w:t>, which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ASU. The amendments in this ASU are effective for public business entities for fiscal years beginning after December 15, 2019, and interim periods within those fiscal years. Early adoption is permitted. The Company does not expect the adoption of this ASU to have a material effect on the Company’s consolidated financial statements.</w:t>
      </w:r>
    </w:p>
    <w:p>
      <w:pPr>
        <w:spacing w:after="0" w:line="192" w:lineRule="exact"/>
        <w:rPr>
          <w:sz w:val="20"/>
          <w:szCs w:val="20"/>
          <w:color w:val="auto"/>
        </w:rPr>
      </w:pPr>
    </w:p>
    <w:p>
      <w:pPr>
        <w:ind w:right="120" w:firstLine="761"/>
        <w:spacing w:after="0" w:line="255" w:lineRule="auto"/>
        <w:rPr>
          <w:sz w:val="20"/>
          <w:szCs w:val="20"/>
          <w:color w:val="auto"/>
        </w:rPr>
      </w:pPr>
      <w:r>
        <w:rPr>
          <w:rFonts w:ascii="Arial" w:cs="Arial" w:eastAsia="Arial" w:hAnsi="Arial"/>
          <w:sz w:val="18"/>
          <w:szCs w:val="18"/>
          <w:color w:val="auto"/>
        </w:rPr>
        <w:t>In June 2016, the FASB issued ASU No. 2016-13, Financial Instruments—</w:t>
      </w:r>
      <w:r>
        <w:rPr>
          <w:rFonts w:ascii="Arial" w:cs="Arial" w:eastAsia="Arial" w:hAnsi="Arial"/>
          <w:sz w:val="18"/>
          <w:szCs w:val="18"/>
          <w:i w:val="1"/>
          <w:iCs w:val="1"/>
          <w:color w:val="auto"/>
        </w:rPr>
        <w:t>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requires an entity to utilize a new impairment model known as the current expected credit loss (“CECL”) model to estimate its lifetime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This guidance will be effective for the Company beginning January 1, 2020. The Company does not expect the adoption of this ASU to have a material effect on the Company’s consolidated financial statements.</w:t>
      </w:r>
    </w:p>
    <w:p>
      <w:pPr>
        <w:spacing w:after="0" w:line="230" w:lineRule="exact"/>
        <w:rPr>
          <w:sz w:val="20"/>
          <w:szCs w:val="20"/>
          <w:color w:val="auto"/>
        </w:rPr>
      </w:pPr>
    </w:p>
    <w:p>
      <w:pPr>
        <w:ind w:right="80" w:firstLine="761"/>
        <w:spacing w:after="0" w:line="25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which aims to reduce complexity in accounting standards by improving certain areas of generally accepted accounting principles (GAAP) without compromising information provided to users of financial statements. This guidance will be effective for the Company beginning January 1, 2021. The Company is currently evaluating the impact of the adoption of this standard on its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231F20"/>
        </w:rPr>
        <w:t>3. Marketable Securities</w:t>
      </w:r>
    </w:p>
    <w:p>
      <w:pPr>
        <w:spacing w:after="0" w:line="256"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The following is a summary of available-for-sale marketable securities, excluding those securities classified within cash and cash equivalents on the consolidated balance sheet as of December 31, 2019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Unrealized</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Arial" w:cs="Arial" w:eastAsia="Arial" w:hAnsi="Arial"/>
                <w:sz w:val="14"/>
                <w:szCs w:val="14"/>
                <w:b w:val="1"/>
                <w:bCs w:val="1"/>
                <w:color w:val="auto"/>
              </w:rPr>
              <w:t>Fair</w:t>
            </w:r>
          </w:p>
        </w:tc>
      </w:tr>
      <w:tr>
        <w:trPr>
          <w:trHeight w:val="17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Gain</w:t>
            </w:r>
          </w:p>
        </w:tc>
        <w:tc>
          <w:tcPr>
            <w:tcW w:w="940" w:type="dxa"/>
            <w:vAlign w:val="bottom"/>
          </w:tcPr>
          <w:p>
            <w:pPr>
              <w:jc w:val="right"/>
              <w:ind w:right="79"/>
              <w:spacing w:after="0"/>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Value</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debt securities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80,376</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80,417</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U.S. government treasury securities</w:t>
            </w:r>
          </w:p>
        </w:tc>
        <w:tc>
          <w:tcPr>
            <w:tcW w:w="16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72,467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72,473</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23,784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23,784</w:t>
            </w: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176,627</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176,674</w:t>
            </w: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20" w:firstLine="761"/>
        <w:spacing w:after="0" w:line="277" w:lineRule="auto"/>
        <w:rPr>
          <w:sz w:val="20"/>
          <w:szCs w:val="20"/>
          <w:color w:val="auto"/>
        </w:rPr>
      </w:pPr>
      <w:r>
        <w:rPr>
          <w:rFonts w:ascii="Arial" w:cs="Arial" w:eastAsia="Arial" w:hAnsi="Arial"/>
          <w:sz w:val="18"/>
          <w:szCs w:val="18"/>
          <w:color w:val="auto"/>
        </w:rPr>
        <w:t>As of December 31, 2019, the fair values of available-for-sale marketable securities, by remaining contractual maturity, were as follows (in thousands):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302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97,816</w:t>
            </w: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in one year through five years</w:t>
            </w:r>
          </w:p>
        </w:tc>
        <w:tc>
          <w:tcPr>
            <w:tcW w:w="25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78,858</w:t>
            </w: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176,674</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761"/>
        <w:spacing w:after="0" w:line="259" w:lineRule="auto"/>
        <w:rPr>
          <w:sz w:val="20"/>
          <w:szCs w:val="20"/>
          <w:color w:val="auto"/>
        </w:rPr>
      </w:pPr>
      <w:r>
        <w:rPr>
          <w:rFonts w:ascii="Arial" w:cs="Arial" w:eastAsia="Arial" w:hAnsi="Arial"/>
          <w:sz w:val="18"/>
          <w:szCs w:val="18"/>
          <w:color w:val="auto"/>
        </w:rPr>
        <w:t>The Company does not believe that any unrealized losses represent other-than-temporary impairments based on its evaluation of available evidence. To determine whether a decline in value is other-than-temporary, the Company evaluates, among other factors: the duration and extent to which the fair value has been less than the carrying value and its intent and ability to retain the marketable securities for a period of time sufficient to allow for any anticipated recovery in fair value.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Fair Value Measurements</w:t>
      </w:r>
    </w:p>
    <w:p>
      <w:pPr>
        <w:spacing w:after="0" w:line="243" w:lineRule="exact"/>
        <w:rPr>
          <w:sz w:val="20"/>
          <w:szCs w:val="20"/>
          <w:color w:val="auto"/>
        </w:rPr>
      </w:pPr>
    </w:p>
    <w:p>
      <w:pPr>
        <w:ind w:right="180" w:firstLine="761"/>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have been measured at fair value on a recurring basis as of December 31, 2019 and 2018, and indicate the fair value hierarchy of the valuation inputs utilized to determine such fair value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2"/>
              </w:rPr>
              <w:t>Fair Value Measurement as of December 31, 2019</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78"/>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2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588,762</w:t>
            </w:r>
          </w:p>
        </w:tc>
        <w:tc>
          <w:tcPr>
            <w:tcW w:w="4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588,762</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80,417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80,417</w:t>
            </w: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U.S. government treasury securities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72,473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72,473</w:t>
            </w: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23,784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23,784</w:t>
            </w: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588,762</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176,674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765,436</w:t>
            </w: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67"/>
        </w:trPr>
        <w:tc>
          <w:tcPr>
            <w:tcW w:w="5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2"/>
              </w:rPr>
              <w:t>Fair Value Measurement as of December 31, 2018</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56"/>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78"/>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2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47,187</w:t>
            </w:r>
          </w:p>
        </w:tc>
        <w:tc>
          <w:tcPr>
            <w:tcW w:w="4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47,187</w:t>
            </w: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47,187</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47,187</w:t>
            </w: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761"/>
        <w:spacing w:after="0" w:line="259" w:lineRule="auto"/>
        <w:rPr>
          <w:sz w:val="20"/>
          <w:szCs w:val="20"/>
          <w:color w:val="auto"/>
        </w:rPr>
      </w:pPr>
      <w:r>
        <w:rPr>
          <w:rFonts w:ascii="Arial" w:cs="Arial" w:eastAsia="Arial" w:hAnsi="Arial"/>
          <w:sz w:val="18"/>
          <w:szCs w:val="18"/>
          <w:color w:val="auto"/>
        </w:rPr>
        <w:t>The Company classifies its highly liquid money market funds within Level 1 of the fair value hierarchy because they are valued based on quoted market prices in active markets. The Company classifies its commercial paper, corporate debt securities,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231F20"/>
        </w:rPr>
        <w:t>5. Prepaid Expenses and Other Current Assets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Prepaid expenses and other current assets consisted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5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8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Hosting</w:t>
            </w: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9,180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General prepaid expenses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5,700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Other receivables</w:t>
            </w: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2,578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Rent</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Marketing</w:t>
            </w: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516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10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436</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10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19,231</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8,773</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6. Property and Equipment, Net</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tcPr>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center"/>
              <w:ind w:right="29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8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Computers and equipment</w:t>
            </w:r>
          </w:p>
        </w:tc>
        <w:tc>
          <w:tcPr>
            <w:tcW w:w="10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7,536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4,804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16,517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8,554</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software development costs</w:t>
            </w:r>
          </w:p>
        </w:tc>
        <w:tc>
          <w:tcPr>
            <w:tcW w:w="10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24,630</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w:t>
            </w:r>
          </w:p>
        </w:tc>
        <w:tc>
          <w:tcPr>
            <w:tcW w:w="10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53,487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30,715</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0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(20,738)</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(9,066)</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32,749</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21,649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761"/>
        <w:spacing w:after="0" w:line="264" w:lineRule="auto"/>
        <w:rPr>
          <w:sz w:val="20"/>
          <w:szCs w:val="20"/>
          <w:color w:val="auto"/>
        </w:rPr>
      </w:pPr>
      <w:r>
        <w:rPr>
          <w:rFonts w:ascii="Arial" w:cs="Arial" w:eastAsia="Arial" w:hAnsi="Arial"/>
          <w:sz w:val="18"/>
          <w:szCs w:val="18"/>
          <w:color w:val="auto"/>
        </w:rPr>
        <w:t>As discussed in Note 2, Basis of Presentation and Summary of Significant Accounting Policies—Internal Use Software Development Costs, the Company capitalizes costs related to the development of computer software for internal use and is included in capitalized software development costs within property and equipment, net.</w:t>
      </w:r>
    </w:p>
    <w:p>
      <w:pPr>
        <w:spacing w:after="0" w:line="222"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Depreciation and amortization expense was approximately $11.6 million, $5.5 million, and $2.2 million for the years ended December 31, 2019,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7. Acquisition, Intangible Assets and Goodwill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2019 Acquisition</w:t>
      </w:r>
    </w:p>
    <w:p>
      <w:pPr>
        <w:spacing w:after="0" w:line="239" w:lineRule="exact"/>
        <w:rPr>
          <w:sz w:val="20"/>
          <w:szCs w:val="20"/>
          <w:color w:val="auto"/>
        </w:rPr>
      </w:pPr>
    </w:p>
    <w:p>
      <w:pPr>
        <w:ind w:right="100" w:firstLine="761"/>
        <w:spacing w:after="0" w:line="272" w:lineRule="auto"/>
        <w:rPr>
          <w:sz w:val="20"/>
          <w:szCs w:val="20"/>
          <w:color w:val="auto"/>
        </w:rPr>
      </w:pPr>
      <w:r>
        <w:rPr>
          <w:rFonts w:ascii="Arial" w:cs="Arial" w:eastAsia="Arial" w:hAnsi="Arial"/>
          <w:sz w:val="17"/>
          <w:szCs w:val="17"/>
          <w:color w:val="231F20"/>
        </w:rPr>
        <w:t xml:space="preserve">On November 6, 2019, the Company entered into a Stock Purchase Agreement whereby the Company acquired all of the issued and outstanding shares of a target company for $2.2 million in cash consideration. The acquisition was accounted for as a business combination in accordance with ASC 805, </w:t>
      </w:r>
      <w:r>
        <w:rPr>
          <w:rFonts w:ascii="Arial" w:cs="Arial" w:eastAsia="Arial" w:hAnsi="Arial"/>
          <w:sz w:val="17"/>
          <w:szCs w:val="17"/>
          <w:i w:val="1"/>
          <w:iCs w:val="1"/>
          <w:color w:val="231F20"/>
        </w:rPr>
        <w:t>Business Combinations</w:t>
      </w:r>
      <w:r>
        <w:rPr>
          <w:rFonts w:ascii="Arial" w:cs="Arial" w:eastAsia="Arial" w:hAnsi="Arial"/>
          <w:sz w:val="17"/>
          <w:szCs w:val="17"/>
          <w:color w:val="231F20"/>
        </w:rPr>
        <w:t>. Goodwill resulted primarily from the expectation of integrating and enhancing the Company's current data streaming platform. The</w:t>
      </w:r>
      <w:r>
        <w:rPr>
          <w:rFonts w:ascii="Arial" w:cs="Arial" w:eastAsia="Arial" w:hAnsi="Arial"/>
          <w:sz w:val="17"/>
          <w:szCs w:val="17"/>
          <w:i w:val="1"/>
          <w:iCs w:val="1"/>
          <w:color w:val="231F20"/>
        </w:rPr>
        <w:t xml:space="preserve"> </w:t>
      </w:r>
      <w:r>
        <w:rPr>
          <w:rFonts w:ascii="Arial" w:cs="Arial" w:eastAsia="Arial" w:hAnsi="Arial"/>
          <w:sz w:val="17"/>
          <w:szCs w:val="17"/>
          <w:color w:val="231F20"/>
        </w:rPr>
        <w:t>preliminary allocation of the purchase price was based on available information and assumptions at the time of the initial valuation and may be subject to change within the measurement period. The results of the operations have been included in the Company’s consolidated statements of operations and comprehensive loss since the acquisition date and were not material. Pro forma results of operations for this acquisition have not been presented because it was also not material to the consolidated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4" w:name="page75"/>
    <w:bookmarkEnd w:id="74"/>
    <w:p>
      <w:pPr>
        <w:ind w:right="420" w:firstLine="761"/>
        <w:spacing w:after="0" w:line="277" w:lineRule="auto"/>
        <w:rPr>
          <w:sz w:val="20"/>
          <w:szCs w:val="20"/>
          <w:color w:val="auto"/>
        </w:rPr>
      </w:pPr>
      <w:r>
        <w:rPr>
          <w:rFonts w:ascii="Arial" w:cs="Arial" w:eastAsia="Arial" w:hAnsi="Arial"/>
          <w:sz w:val="18"/>
          <w:szCs w:val="18"/>
          <w:color w:val="231F20"/>
        </w:rPr>
        <w:t>The aggregate purchase consideration and estimated fair values of the assets acquired and liabilities assumed at the date of acquisition were as follows (in thousands):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Borders>
              <w:bottom w:val="single" w:sz="8" w:color="CFF0FC"/>
            </w:tcBorders>
          </w:tcPr>
          <w:p>
            <w:pPr>
              <w:spacing w:after="0"/>
              <w:rPr>
                <w:sz w:val="14"/>
                <w:szCs w:val="14"/>
                <w:color w:val="auto"/>
              </w:rPr>
            </w:pPr>
          </w:p>
        </w:tc>
        <w:tc>
          <w:tcPr>
            <w:tcW w:w="24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Fair value of net assets acquired:</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Net tangible assets</w:t>
            </w:r>
          </w:p>
        </w:tc>
        <w:tc>
          <w:tcPr>
            <w:tcW w:w="26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Software technology</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910</w:t>
            </w:r>
          </w:p>
        </w:tc>
      </w:tr>
      <w:tr>
        <w:trPr>
          <w:trHeight w:val="230"/>
        </w:trPr>
        <w:tc>
          <w:tcPr>
            <w:tcW w:w="20" w:type="dxa"/>
            <w:vAlign w:val="bottom"/>
          </w:tcPr>
          <w:p>
            <w:pPr>
              <w:spacing w:after="0"/>
              <w:rPr>
                <w:sz w:val="19"/>
                <w:szCs w:val="19"/>
                <w:color w:val="auto"/>
              </w:rPr>
            </w:pPr>
          </w:p>
        </w:tc>
        <w:tc>
          <w:tcPr>
            <w:tcW w:w="5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Goodwill</w:t>
            </w:r>
          </w:p>
        </w:tc>
        <w:tc>
          <w:tcPr>
            <w:tcW w:w="2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1,285</w:t>
            </w: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fair value of net assets acquired</w:t>
            </w:r>
          </w:p>
        </w:tc>
        <w:tc>
          <w:tcPr>
            <w:tcW w:w="2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2,204</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Madumbo Acquisition</w:t>
      </w:r>
    </w:p>
    <w:p>
      <w:pPr>
        <w:spacing w:after="0" w:line="225" w:lineRule="exact"/>
        <w:rPr>
          <w:sz w:val="20"/>
          <w:szCs w:val="20"/>
          <w:color w:val="auto"/>
        </w:rPr>
      </w:pPr>
    </w:p>
    <w:p>
      <w:pPr>
        <w:ind w:right="40" w:firstLine="761"/>
        <w:spacing w:after="0" w:line="254" w:lineRule="auto"/>
        <w:rPr>
          <w:sz w:val="20"/>
          <w:szCs w:val="20"/>
          <w:color w:val="auto"/>
        </w:rPr>
      </w:pPr>
      <w:r>
        <w:rPr>
          <w:rFonts w:ascii="Arial" w:cs="Arial" w:eastAsia="Arial" w:hAnsi="Arial"/>
          <w:sz w:val="18"/>
          <w:szCs w:val="18"/>
          <w:color w:val="231F20"/>
        </w:rPr>
        <w:t xml:space="preserve">On September 28, 2018, the Company entered into a Stock Purchase Agreement with Madumbo whereby the Company acquired all of the issued and outstanding shares of Madumbo for $1.6 million in cash consideration. Madumbo created an artificial intelligence platform that the Company plans to use to strengthen the Company’s current product offering. Goodwill was not deductible for tax purposes. Goodwill resulted primarily from the expected integration of Madumbo’s platform with the Company’s existing product offerings. The acquisition was accounted for as a business combination in accordance with ASC 805, </w:t>
      </w:r>
      <w:r>
        <w:rPr>
          <w:rFonts w:ascii="Arial" w:cs="Arial" w:eastAsia="Arial" w:hAnsi="Arial"/>
          <w:sz w:val="18"/>
          <w:szCs w:val="18"/>
          <w:i w:val="1"/>
          <w:iCs w:val="1"/>
          <w:color w:val="231F20"/>
        </w:rPr>
        <w:t>Business Combinations</w:t>
      </w:r>
      <w:r>
        <w:rPr>
          <w:rFonts w:ascii="Arial" w:cs="Arial" w:eastAsia="Arial" w:hAnsi="Arial"/>
          <w:sz w:val="18"/>
          <w:szCs w:val="18"/>
          <w:color w:val="231F20"/>
        </w:rPr>
        <w:t>. The results of Madumbo’s operations have been included in the Company’s consolidated statements of operations and comprehensive loss since the acquisition date and were not material. Pro forma results of operations for this acquisition have not been presented because it was also not material to the consolidated results of operations. Transaction costs amounted to approximately $0.1 million and were expensed as incurred.</w:t>
      </w:r>
    </w:p>
    <w:p>
      <w:pPr>
        <w:spacing w:after="0" w:line="192" w:lineRule="exact"/>
        <w:rPr>
          <w:sz w:val="20"/>
          <w:szCs w:val="20"/>
          <w:color w:val="auto"/>
        </w:rPr>
      </w:pPr>
    </w:p>
    <w:p>
      <w:pPr>
        <w:ind w:right="420" w:firstLine="761"/>
        <w:spacing w:after="0" w:line="277" w:lineRule="auto"/>
        <w:rPr>
          <w:sz w:val="20"/>
          <w:szCs w:val="20"/>
          <w:color w:val="auto"/>
        </w:rPr>
      </w:pPr>
      <w:r>
        <w:rPr>
          <w:rFonts w:ascii="Arial" w:cs="Arial" w:eastAsia="Arial" w:hAnsi="Arial"/>
          <w:sz w:val="18"/>
          <w:szCs w:val="18"/>
          <w:color w:val="231F20"/>
        </w:rPr>
        <w:t>The aggregate purchase consideration and estimated fair values of the assets acquired and liabilities assumed at the date of acquisition were as follows (in thousands):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Borders>
              <w:bottom w:val="single" w:sz="8" w:color="CFF0FC"/>
            </w:tcBorders>
          </w:tcPr>
          <w:p>
            <w:pPr>
              <w:spacing w:after="0"/>
              <w:rPr>
                <w:sz w:val="14"/>
                <w:szCs w:val="14"/>
                <w:color w:val="auto"/>
              </w:rPr>
            </w:pPr>
          </w:p>
        </w:tc>
        <w:tc>
          <w:tcPr>
            <w:tcW w:w="24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Fair value of net assets acquired:</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Net tangible assets (liabilities)</w:t>
            </w:r>
          </w:p>
        </w:tc>
        <w:tc>
          <w:tcPr>
            <w:tcW w:w="26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Developed technology</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825</w:t>
            </w:r>
          </w:p>
        </w:tc>
      </w:tr>
      <w:tr>
        <w:trPr>
          <w:trHeight w:val="230"/>
        </w:trPr>
        <w:tc>
          <w:tcPr>
            <w:tcW w:w="20" w:type="dxa"/>
            <w:vAlign w:val="bottom"/>
          </w:tcPr>
          <w:p>
            <w:pPr>
              <w:spacing w:after="0"/>
              <w:rPr>
                <w:sz w:val="19"/>
                <w:szCs w:val="19"/>
                <w:color w:val="auto"/>
              </w:rPr>
            </w:pPr>
          </w:p>
        </w:tc>
        <w:tc>
          <w:tcPr>
            <w:tcW w:w="5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Goodwill</w:t>
            </w:r>
          </w:p>
        </w:tc>
        <w:tc>
          <w:tcPr>
            <w:tcW w:w="2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1,334</w:t>
            </w: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fair value of net assets acquired</w:t>
            </w:r>
          </w:p>
        </w:tc>
        <w:tc>
          <w:tcPr>
            <w:tcW w:w="2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1,623</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Focusmatic Acquisition</w:t>
      </w:r>
    </w:p>
    <w:p>
      <w:pPr>
        <w:spacing w:after="0" w:line="252" w:lineRule="exact"/>
        <w:rPr>
          <w:sz w:val="20"/>
          <w:szCs w:val="20"/>
          <w:color w:val="auto"/>
        </w:rPr>
      </w:pPr>
    </w:p>
    <w:p>
      <w:pPr>
        <w:ind w:right="100" w:firstLine="761"/>
        <w:spacing w:after="0" w:line="270" w:lineRule="auto"/>
        <w:rPr>
          <w:sz w:val="20"/>
          <w:szCs w:val="20"/>
          <w:color w:val="auto"/>
        </w:rPr>
      </w:pPr>
      <w:r>
        <w:rPr>
          <w:rFonts w:ascii="Arial" w:cs="Arial" w:eastAsia="Arial" w:hAnsi="Arial"/>
          <w:sz w:val="17"/>
          <w:szCs w:val="17"/>
          <w:color w:val="auto"/>
        </w:rPr>
        <w:t xml:space="preserve">On March 28, 2017, the Company completed an acquisition of Focusmatic SAS (“Focusmatic”). Focusmatic is a log processing and analytics company that aligns with the Company’s goal of improving visibility for its customers IT infrastructure. Goodwill was not deductible for tax purposes. Pursuant to the Agreement and Plan of Merger, the entire ownership of Focusmatic was purchased by the Company in exchange for 2,292,012 shares of the Company’s common stock and $5.4 million of cash consideration. Goodwill resulted primarily from the expected integration of the employee base and product offerings of Focusmatic with the Company. The acquisition was accounted for as a business combination in accordance with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with the results of Focusmatic’s operations included in the consolidated financial statements from the date of acquisition. Results of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for this acquisition have been included in the Company’s consolidated statements of operations and comprehensive loss since the acquisition date and were not material. Pro forma results of operations for this acquisition have not been presented because it was also not material to the consolidated results of operations. Transaction costs amounted to approximately $0.1 million and were expensed as incurred.</w:t>
      </w:r>
    </w:p>
    <w:p>
      <w:pPr>
        <w:spacing w:after="0" w:line="222" w:lineRule="exact"/>
        <w:rPr>
          <w:sz w:val="20"/>
          <w:szCs w:val="20"/>
          <w:color w:val="auto"/>
        </w:rPr>
      </w:pPr>
    </w:p>
    <w:p>
      <w:pPr>
        <w:ind w:right="420" w:firstLine="761"/>
        <w:spacing w:after="0" w:line="277" w:lineRule="auto"/>
        <w:rPr>
          <w:sz w:val="20"/>
          <w:szCs w:val="20"/>
          <w:color w:val="auto"/>
        </w:rPr>
      </w:pPr>
      <w:r>
        <w:rPr>
          <w:rFonts w:ascii="Arial" w:cs="Arial" w:eastAsia="Arial" w:hAnsi="Arial"/>
          <w:sz w:val="18"/>
          <w:szCs w:val="18"/>
          <w:color w:val="auto"/>
        </w:rPr>
        <w:t>The aggregate purchase consideration and estimated fair values of the assets acquired and liabilities assumed at the date of acquisition were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560" w:type="dxa"/>
            <w:vAlign w:val="bottom"/>
            <w:tcBorders>
              <w:bottom w:val="single" w:sz="8" w:color="CFF0FC"/>
            </w:tcBorders>
          </w:tcPr>
          <w:p>
            <w:pPr>
              <w:spacing w:after="0"/>
              <w:rPr>
                <w:sz w:val="14"/>
                <w:szCs w:val="14"/>
                <w:color w:val="auto"/>
              </w:rPr>
            </w:pPr>
          </w:p>
        </w:tc>
        <w:tc>
          <w:tcPr>
            <w:tcW w:w="39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purchase consideration:</w:t>
            </w:r>
          </w:p>
        </w:tc>
        <w:tc>
          <w:tcPr>
            <w:tcW w:w="3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Cash consideration</w:t>
            </w:r>
          </w:p>
        </w:tc>
        <w:tc>
          <w:tcPr>
            <w:tcW w:w="42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5,397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w:t>
            </w:r>
          </w:p>
        </w:tc>
        <w:tc>
          <w:tcPr>
            <w:tcW w:w="39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2,015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1140"/>
              <w:spacing w:after="0"/>
              <w:rPr>
                <w:sz w:val="20"/>
                <w:szCs w:val="20"/>
                <w:color w:val="auto"/>
              </w:rPr>
            </w:pPr>
            <w:r>
              <w:rPr>
                <w:rFonts w:ascii="Arial" w:cs="Arial" w:eastAsia="Arial" w:hAnsi="Arial"/>
                <w:sz w:val="18"/>
                <w:szCs w:val="18"/>
                <w:color w:val="auto"/>
              </w:rPr>
              <w:t>Total fair value of net assets acquired</w:t>
            </w:r>
          </w:p>
        </w:tc>
        <w:tc>
          <w:tcPr>
            <w:tcW w:w="39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7,412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940" w:type="dxa"/>
            <w:vAlign w:val="bottom"/>
            <w:vMerge w:val="restart"/>
          </w:tcPr>
          <w:p>
            <w:pPr>
              <w:jc w:val="right"/>
              <w:ind w:right="2770"/>
              <w:spacing w:after="0"/>
              <w:rPr>
                <w:sz w:val="20"/>
                <w:szCs w:val="20"/>
                <w:color w:val="auto"/>
              </w:rPr>
            </w:pPr>
            <w:r>
              <w:rPr>
                <w:rFonts w:ascii="Arial" w:cs="Arial" w:eastAsia="Arial" w:hAnsi="Arial"/>
                <w:sz w:val="18"/>
                <w:szCs w:val="18"/>
                <w:color w:val="auto"/>
              </w:rPr>
              <w:t>73</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75" w:name="page76"/>
    <w:bookmarkEnd w:id="75"/>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Fair value of net assets acquired:</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Net tangible assets (liabilities)</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Developed technology</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1,300</w:t>
            </w:r>
          </w:p>
        </w:tc>
      </w:tr>
      <w:tr>
        <w:trPr>
          <w:trHeight w:val="230"/>
        </w:trPr>
        <w:tc>
          <w:tcPr>
            <w:tcW w:w="20" w:type="dxa"/>
            <w:vAlign w:val="bottom"/>
          </w:tcPr>
          <w:p>
            <w:pPr>
              <w:spacing w:after="0"/>
              <w:rPr>
                <w:sz w:val="19"/>
                <w:szCs w:val="19"/>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6,292</w:t>
            </w: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Total fair value of net assets acquired</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7,412</w:t>
            </w: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Intangibles, net consisted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2019</w:t>
            </w: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241"/>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7"/>
              </w:rPr>
              <w:t>Net</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Carrying</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2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01"/>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3,046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1,435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 years</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2018</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241"/>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7"/>
              </w:rPr>
              <w:t>Net</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Carrying</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2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01"/>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2,125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1,288</w:t>
            </w: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 years</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 year</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2,145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1,288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761"/>
        <w:spacing w:after="0" w:line="264" w:lineRule="auto"/>
        <w:rPr>
          <w:sz w:val="20"/>
          <w:szCs w:val="20"/>
          <w:color w:val="auto"/>
        </w:rPr>
      </w:pPr>
      <w:r>
        <w:rPr>
          <w:rFonts w:ascii="Arial" w:cs="Arial" w:eastAsia="Arial" w:hAnsi="Arial"/>
          <w:sz w:val="18"/>
          <w:szCs w:val="18"/>
          <w:color w:val="231F20"/>
        </w:rPr>
        <w:t>Intangible amortization expense was approximately $0.8 million, $0.5 million and $0.5 million for the years ended December 31, 2019, 2018 and 2017, respectively. Amortization of developed technology and customer relationships are included in cost of revenue on the Company’s consolidated statement of operations and comprehensive loss.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As of December 31, 2019, future amortization expense by year is expected to be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644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675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2021</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501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0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259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1,435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ind w:left="760"/>
              <w:spacing w:after="0"/>
              <w:rPr>
                <w:sz w:val="20"/>
                <w:szCs w:val="20"/>
                <w:color w:val="auto"/>
              </w:rPr>
            </w:pPr>
            <w:r>
              <w:rPr>
                <w:rFonts w:ascii="Arial" w:cs="Arial" w:eastAsia="Arial" w:hAnsi="Arial"/>
                <w:sz w:val="18"/>
                <w:szCs w:val="18"/>
                <w:color w:val="231F20"/>
              </w:rPr>
              <w:t>The changes in the carrying amount of goodwill were as follows (in thousands):</w:t>
            </w: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0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4"/>
                <w:szCs w:val="24"/>
                <w:color w:val="auto"/>
              </w:rPr>
            </w:pPr>
          </w:p>
        </w:tc>
        <w:tc>
          <w:tcPr>
            <w:tcW w:w="6440" w:type="dxa"/>
            <w:vAlign w:val="bottom"/>
            <w:tcBorders>
              <w:bottom w:val="single" w:sz="8" w:color="CFF0FC"/>
            </w:tcBorders>
          </w:tcPr>
          <w:p>
            <w:pPr>
              <w:spacing w:after="0"/>
              <w:rPr>
                <w:sz w:val="24"/>
                <w:szCs w:val="24"/>
                <w:color w:val="auto"/>
              </w:rPr>
            </w:pPr>
          </w:p>
        </w:tc>
        <w:tc>
          <w:tcPr>
            <w:tcW w:w="106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231F20"/>
              </w:rPr>
              <w:t>Balance as of December 31, 2017</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231F20"/>
                <w:w w:val="71"/>
              </w:rPr>
              <w:t>$</w:t>
            </w:r>
          </w:p>
        </w:tc>
        <w:tc>
          <w:tcPr>
            <w:tcW w:w="13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231F20"/>
              </w:rPr>
              <w:t>6,292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231F20"/>
              </w:rPr>
              <w:t>Madumbo acquisition</w:t>
            </w:r>
          </w:p>
        </w:tc>
        <w:tc>
          <w:tcPr>
            <w:tcW w:w="10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231F20"/>
              </w:rPr>
              <w:t>1,334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231F20"/>
              </w:rPr>
              <w:t>Balance as of December 31, 2018</w:t>
            </w:r>
          </w:p>
        </w:tc>
        <w:tc>
          <w:tcPr>
            <w:tcW w:w="10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231F20"/>
                <w:w w:val="71"/>
              </w:rPr>
              <w:t>$</w:t>
            </w:r>
          </w:p>
        </w:tc>
        <w:tc>
          <w:tcPr>
            <w:tcW w:w="13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231F20"/>
              </w:rPr>
              <w:t>7,626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ind w:left="1140"/>
              <w:spacing w:after="0"/>
              <w:rPr>
                <w:sz w:val="20"/>
                <w:szCs w:val="20"/>
                <w:color w:val="auto"/>
              </w:rPr>
            </w:pPr>
            <w:r>
              <w:rPr>
                <w:rFonts w:ascii="Arial" w:cs="Arial" w:eastAsia="Arial" w:hAnsi="Arial"/>
                <w:sz w:val="18"/>
                <w:szCs w:val="18"/>
                <w:color w:val="231F20"/>
              </w:rPr>
              <w:t>2019 acquisition</w:t>
            </w: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231F20"/>
              </w:rPr>
              <w:t>1,285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231F20"/>
              </w:rPr>
              <w:t>Foreign currency translation adjustments</w:t>
            </w:r>
          </w:p>
        </w:tc>
        <w:tc>
          <w:tcPr>
            <w:tcW w:w="10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231F20"/>
              </w:rPr>
              <w:t>147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gridSpan w:val="2"/>
          </w:tcPr>
          <w:p>
            <w:pPr>
              <w:ind w:left="1140"/>
              <w:spacing w:after="0"/>
              <w:rPr>
                <w:sz w:val="20"/>
                <w:szCs w:val="20"/>
                <w:color w:val="auto"/>
              </w:rPr>
            </w:pPr>
            <w:r>
              <w:rPr>
                <w:rFonts w:ascii="Arial" w:cs="Arial" w:eastAsia="Arial" w:hAnsi="Arial"/>
                <w:sz w:val="18"/>
                <w:szCs w:val="18"/>
                <w:color w:val="231F20"/>
              </w:rPr>
              <w:t>Balance as of December 31, 2019</w:t>
            </w:r>
          </w:p>
        </w:tc>
        <w:tc>
          <w:tcPr>
            <w:tcW w:w="10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231F20"/>
                <w:w w:val="71"/>
              </w:rPr>
              <w:t>$</w:t>
            </w: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231F20"/>
              </w:rPr>
              <w:t>9,058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ind w:left="5620"/>
              <w:spacing w:after="0"/>
              <w:rPr>
                <w:sz w:val="20"/>
                <w:szCs w:val="20"/>
                <w:color w:val="auto"/>
              </w:rPr>
            </w:pPr>
            <w:r>
              <w:rPr>
                <w:rFonts w:ascii="Arial" w:cs="Arial" w:eastAsia="Arial" w:hAnsi="Arial"/>
                <w:sz w:val="18"/>
                <w:szCs w:val="18"/>
                <w:color w:val="auto"/>
              </w:rPr>
              <w:t>74</w:t>
            </w: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60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4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71" w:right="21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231F20"/>
        </w:rPr>
        <w:t>8. Accrued Expenses and Other Current Liabilities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Accrued expenses and other current liabilities consisted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4"/>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commissions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21,910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15,229</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12,692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6,940</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Early exercise liability-stock options</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1,776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2,931</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Payroll and sales taxes</w:t>
            </w: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1,626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1,147</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Other tax liability</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516</w:t>
            </w: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rent</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3,527</w:t>
            </w: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38,746</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30,290</w:t>
            </w: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9. Commitments and Contingencies</w:t>
      </w:r>
    </w:p>
    <w:p>
      <w:pPr>
        <w:spacing w:after="0" w:line="229" w:lineRule="exact"/>
        <w:rPr>
          <w:sz w:val="20"/>
          <w:szCs w:val="20"/>
          <w:color w:val="auto"/>
        </w:rPr>
      </w:pPr>
    </w:p>
    <w:p>
      <w:pPr>
        <w:jc w:val="both"/>
        <w:ind w:right="320" w:firstLine="761"/>
        <w:spacing w:after="0" w:line="286" w:lineRule="auto"/>
        <w:rPr>
          <w:sz w:val="20"/>
          <w:szCs w:val="20"/>
          <w:color w:val="auto"/>
        </w:rPr>
      </w:pPr>
      <w:r>
        <w:rPr>
          <w:rFonts w:ascii="Arial" w:cs="Arial" w:eastAsia="Arial" w:hAnsi="Arial"/>
          <w:sz w:val="17"/>
          <w:szCs w:val="17"/>
          <w:b w:val="1"/>
          <w:bCs w:val="1"/>
          <w:i w:val="1"/>
          <w:iCs w:val="1"/>
          <w:color w:val="231F20"/>
        </w:rPr>
        <w:t>Lease Commitments</w:t>
      </w:r>
      <w:r>
        <w:rPr>
          <w:rFonts w:ascii="Arial" w:cs="Arial" w:eastAsia="Arial" w:hAnsi="Arial"/>
          <w:sz w:val="17"/>
          <w:szCs w:val="17"/>
          <w:color w:val="231F20"/>
        </w:rPr>
        <w:t>—The Company has entered into various noncancelable operating leases for its facilities expiring between fiscal 2019 and</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2025. Certain operating leases contain provisions under which monthly rent escalates over time. When lease agreements contain escalating rent clauses or free rent periods, the Company recognizes rent expense on a straight-line basis over the term of the lease.</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Rent expense for the years ended December 31, 2019, 2018 and 2017 was $16.7 million, $10.0 million and $3.8 million, respectively.</w:t>
      </w:r>
    </w:p>
    <w:p>
      <w:pPr>
        <w:spacing w:after="0" w:line="225" w:lineRule="exact"/>
        <w:rPr>
          <w:sz w:val="20"/>
          <w:szCs w:val="20"/>
          <w:color w:val="auto"/>
        </w:rPr>
      </w:pPr>
    </w:p>
    <w:p>
      <w:pPr>
        <w:ind w:right="280" w:firstLine="761"/>
        <w:spacing w:after="0" w:line="277" w:lineRule="auto"/>
        <w:rPr>
          <w:sz w:val="20"/>
          <w:szCs w:val="20"/>
          <w:color w:val="auto"/>
        </w:rPr>
      </w:pPr>
      <w:r>
        <w:rPr>
          <w:rFonts w:ascii="Arial" w:cs="Arial" w:eastAsia="Arial" w:hAnsi="Arial"/>
          <w:sz w:val="18"/>
          <w:szCs w:val="18"/>
          <w:color w:val="231F20"/>
        </w:rPr>
        <w:t>During 2019, 2018 and 2017, the Company recorded $1.0 million, $0.7 million and $0.1 million, respectively, in sub-lease income which were recorded as a credit to rent expense.</w:t>
      </w:r>
    </w:p>
    <w:p>
      <w:pPr>
        <w:spacing w:after="0" w:line="170" w:lineRule="exact"/>
        <w:rPr>
          <w:sz w:val="20"/>
          <w:szCs w:val="20"/>
          <w:color w:val="auto"/>
        </w:rPr>
      </w:pPr>
    </w:p>
    <w:p>
      <w:pPr>
        <w:ind w:right="80" w:firstLine="761"/>
        <w:spacing w:after="0" w:line="255" w:lineRule="auto"/>
        <w:rPr>
          <w:sz w:val="20"/>
          <w:szCs w:val="20"/>
          <w:color w:val="auto"/>
        </w:rPr>
      </w:pPr>
      <w:r>
        <w:rPr>
          <w:rFonts w:ascii="Arial" w:cs="Arial" w:eastAsia="Arial" w:hAnsi="Arial"/>
          <w:sz w:val="18"/>
          <w:szCs w:val="18"/>
          <w:b w:val="1"/>
          <w:bCs w:val="1"/>
          <w:i w:val="1"/>
          <w:iCs w:val="1"/>
          <w:color w:val="auto"/>
        </w:rPr>
        <w:t>Non-Income Tax Matters</w:t>
      </w:r>
      <w:r>
        <w:rPr>
          <w:rFonts w:ascii="Arial" w:cs="Arial" w:eastAsia="Arial" w:hAnsi="Arial"/>
          <w:sz w:val="18"/>
          <w:szCs w:val="18"/>
          <w:color w:val="auto"/>
        </w:rPr>
        <w:t>—In January 2015, the Company recorded a $5.0 million contingent Federal payroll tax liability in conjunction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with common stock repurchase transactions, as part of a capital raise, with </w:t>
      </w:r>
      <w:r>
        <w:rPr>
          <w:rFonts w:ascii="Arial" w:cs="Arial" w:eastAsia="Arial" w:hAnsi="Arial"/>
          <w:sz w:val="18"/>
          <w:szCs w:val="18"/>
          <w:color w:val="231F20"/>
        </w:rPr>
        <w:t>certain of its employees. The potential payroll tax treatment of these</w:t>
      </w:r>
      <w:r>
        <w:rPr>
          <w:rFonts w:ascii="Arial" w:cs="Arial" w:eastAsia="Arial" w:hAnsi="Arial"/>
          <w:sz w:val="18"/>
          <w:szCs w:val="18"/>
          <w:color w:val="auto"/>
        </w:rPr>
        <w:t xml:space="preserve"> </w:t>
      </w:r>
      <w:r>
        <w:rPr>
          <w:rFonts w:ascii="Arial" w:cs="Arial" w:eastAsia="Arial" w:hAnsi="Arial"/>
          <w:sz w:val="18"/>
          <w:szCs w:val="18"/>
          <w:color w:val="231F20"/>
        </w:rPr>
        <w:t>transactions was subject to uncertainty, and the contingent payroll tax liability was deemed probable and reasonably estimable. On April 15, 2019, the period of limitations for assessing the contingent Federal payroll tax liability expired and the Company was legally released from being the primary obligor. As a result, the Company recognized a $5.0 million benefit in the operating expenses section of the consolidated statement of operations during the year ended December 31, 2019.</w:t>
      </w:r>
    </w:p>
    <w:p>
      <w:pPr>
        <w:spacing w:after="0" w:line="193" w:lineRule="exact"/>
        <w:rPr>
          <w:sz w:val="20"/>
          <w:szCs w:val="20"/>
          <w:color w:val="auto"/>
        </w:rPr>
      </w:pPr>
    </w:p>
    <w:p>
      <w:pPr>
        <w:ind w:right="120" w:firstLine="761"/>
        <w:spacing w:after="0" w:line="308" w:lineRule="auto"/>
        <w:rPr>
          <w:sz w:val="20"/>
          <w:szCs w:val="20"/>
          <w:color w:val="auto"/>
        </w:rPr>
      </w:pPr>
      <w:r>
        <w:rPr>
          <w:rFonts w:ascii="Arial" w:cs="Arial" w:eastAsia="Arial" w:hAnsi="Arial"/>
          <w:sz w:val="17"/>
          <w:szCs w:val="17"/>
          <w:b w:val="1"/>
          <w:bCs w:val="1"/>
          <w:i w:val="1"/>
          <w:iCs w:val="1"/>
          <w:color w:val="231F20"/>
        </w:rPr>
        <w:t>401(k) Plan</w:t>
      </w:r>
      <w:r>
        <w:rPr>
          <w:rFonts w:ascii="Arial" w:cs="Arial" w:eastAsia="Arial" w:hAnsi="Arial"/>
          <w:sz w:val="17"/>
          <w:szCs w:val="17"/>
          <w:color w:val="231F20"/>
        </w:rPr>
        <w:t>—The Company sponsors a 401(k) defined contribution plan covering all eligible US employees. Contributions to the 401(k) plan are</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discretionary. The Company did not make any matching contributions to the 401(k) plan for the years ended December 31, 2019 and 2018.</w:t>
      </w:r>
    </w:p>
    <w:p>
      <w:pPr>
        <w:spacing w:after="0" w:line="147" w:lineRule="exact"/>
        <w:rPr>
          <w:sz w:val="20"/>
          <w:szCs w:val="20"/>
          <w:color w:val="auto"/>
        </w:rPr>
      </w:pPr>
    </w:p>
    <w:p>
      <w:pPr>
        <w:ind w:right="60" w:firstLine="761"/>
        <w:spacing w:after="0" w:line="264" w:lineRule="auto"/>
        <w:rPr>
          <w:sz w:val="20"/>
          <w:szCs w:val="20"/>
          <w:color w:val="auto"/>
        </w:rPr>
      </w:pPr>
      <w:r>
        <w:rPr>
          <w:rFonts w:ascii="Arial" w:cs="Arial" w:eastAsia="Arial" w:hAnsi="Arial"/>
          <w:sz w:val="18"/>
          <w:szCs w:val="18"/>
          <w:b w:val="1"/>
          <w:bCs w:val="1"/>
          <w:i w:val="1"/>
          <w:iCs w:val="1"/>
          <w:color w:val="231F20"/>
        </w:rPr>
        <w:t>Legal Matters</w:t>
      </w:r>
      <w:r>
        <w:rPr>
          <w:rFonts w:ascii="Arial" w:cs="Arial" w:eastAsia="Arial" w:hAnsi="Arial"/>
          <w:sz w:val="18"/>
          <w:szCs w:val="18"/>
          <w:color w:val="231F20"/>
        </w:rPr>
        <w:t>—The Company is involved from time to time in various claims and legal actions arising in the ordinary course of business.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While it is not feasible to predict or determine the ultimate outcome of these matters, the Company believes that none of its current legal proceedings will have a material adverse effect on its financial position or results of operations.</w:t>
      </w:r>
    </w:p>
    <w:p>
      <w:pPr>
        <w:spacing w:after="0" w:line="181" w:lineRule="exact"/>
        <w:rPr>
          <w:sz w:val="20"/>
          <w:szCs w:val="20"/>
          <w:color w:val="auto"/>
        </w:rPr>
      </w:pPr>
    </w:p>
    <w:p>
      <w:pPr>
        <w:ind w:right="80" w:firstLine="761"/>
        <w:spacing w:after="0" w:line="272" w:lineRule="auto"/>
        <w:rPr>
          <w:sz w:val="20"/>
          <w:szCs w:val="20"/>
          <w:color w:val="auto"/>
        </w:rPr>
      </w:pPr>
      <w:r>
        <w:rPr>
          <w:rFonts w:ascii="Arial" w:cs="Arial" w:eastAsia="Arial" w:hAnsi="Arial"/>
          <w:sz w:val="17"/>
          <w:szCs w:val="17"/>
          <w:b w:val="1"/>
          <w:bCs w:val="1"/>
          <w:i w:val="1"/>
          <w:iCs w:val="1"/>
          <w:color w:val="231F20"/>
        </w:rPr>
        <w:t>Indemnification</w:t>
      </w:r>
      <w:r>
        <w:rPr>
          <w:rFonts w:ascii="Arial" w:cs="Arial" w:eastAsia="Arial" w:hAnsi="Arial"/>
          <w:sz w:val="17"/>
          <w:szCs w:val="17"/>
          <w:color w:val="231F20"/>
        </w:rPr>
        <w:t>—The Company enters into indemnification provisions under some agreements with other parties in the ordinary course of</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consolidated statements of operations and comprehensive (loss) income in connection with the indemnification provisions have not been material.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231F20"/>
        </w:rPr>
        <w:t>10. Leases</w:t>
      </w:r>
    </w:p>
    <w:p>
      <w:pPr>
        <w:spacing w:after="0" w:line="229" w:lineRule="exact"/>
        <w:rPr>
          <w:sz w:val="20"/>
          <w:szCs w:val="20"/>
          <w:color w:val="auto"/>
        </w:rPr>
      </w:pPr>
    </w:p>
    <w:p>
      <w:pPr>
        <w:jc w:val="both"/>
        <w:ind w:right="260" w:firstLine="761"/>
        <w:spacing w:after="0" w:line="312" w:lineRule="auto"/>
        <w:rPr>
          <w:sz w:val="20"/>
          <w:szCs w:val="20"/>
          <w:color w:val="auto"/>
        </w:rPr>
      </w:pPr>
      <w:r>
        <w:rPr>
          <w:rFonts w:ascii="Arial" w:cs="Arial" w:eastAsia="Arial" w:hAnsi="Arial"/>
          <w:sz w:val="16"/>
          <w:szCs w:val="16"/>
          <w:color w:val="231F20"/>
        </w:rPr>
        <w:t>The Company has entered into various noncancelable operating leases for its facilities expiring between fiscal 2019 and 2025. Certain lease agreements contain an option for the Company to renew a lease for a term of up to five years or an option to terminate a lease early within three years. The Company considers these options, which may be elected at the Company’s sole discretion, in determining the lease term on a lease-by-lease basis.</w:t>
      </w:r>
    </w:p>
    <w:p>
      <w:pPr>
        <w:spacing w:after="0" w:line="147" w:lineRule="exact"/>
        <w:rPr>
          <w:sz w:val="20"/>
          <w:szCs w:val="20"/>
          <w:color w:val="auto"/>
        </w:rPr>
      </w:pPr>
    </w:p>
    <w:p>
      <w:pPr>
        <w:ind w:right="420" w:firstLine="761"/>
        <w:spacing w:after="0" w:line="277" w:lineRule="auto"/>
        <w:rPr>
          <w:sz w:val="20"/>
          <w:szCs w:val="20"/>
          <w:color w:val="auto"/>
        </w:rPr>
      </w:pPr>
      <w:r>
        <w:rPr>
          <w:rFonts w:ascii="Arial" w:cs="Arial" w:eastAsia="Arial" w:hAnsi="Arial"/>
          <w:sz w:val="18"/>
          <w:szCs w:val="18"/>
          <w:color w:val="231F20"/>
        </w:rPr>
        <w:t>Lease expense for these leases is recognized on a straight-line basis over the lease term, with variable lease payments recognized in the period those payments are incurred.</w:t>
      </w:r>
    </w:p>
    <w:p>
      <w:pPr>
        <w:spacing w:after="0" w:line="170" w:lineRule="exact"/>
        <w:rPr>
          <w:sz w:val="20"/>
          <w:szCs w:val="20"/>
          <w:color w:val="auto"/>
        </w:rPr>
      </w:pPr>
    </w:p>
    <w:p>
      <w:pPr>
        <w:ind w:right="120" w:firstLine="761"/>
        <w:spacing w:after="0" w:line="277" w:lineRule="auto"/>
        <w:rPr>
          <w:sz w:val="20"/>
          <w:szCs w:val="20"/>
          <w:color w:val="auto"/>
        </w:rPr>
      </w:pPr>
      <w:r>
        <w:rPr>
          <w:rFonts w:ascii="Arial" w:cs="Arial" w:eastAsia="Arial" w:hAnsi="Arial"/>
          <w:sz w:val="18"/>
          <w:szCs w:val="18"/>
          <w:color w:val="231F20"/>
        </w:rPr>
        <w:t>The components of lease cost recognized within the Company’s consolidated statements of operations and comprehensive loss were as follows (in thousands):</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377"/>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3"/>
              </w:rPr>
              <w:t>December 31, 2019</w:t>
            </w: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15"/>
                <w:szCs w:val="15"/>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13,636</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14"/>
          <w:szCs w:val="14"/>
          <w:color w:val="231F20"/>
        </w:rPr>
      </w:pPr>
      <w:r>
        <w:rPr>
          <w:rFonts w:ascii="Arial" w:cs="Arial" w:eastAsia="Arial" w:hAnsi="Arial"/>
          <w:sz w:val="14"/>
          <w:szCs w:val="14"/>
          <w:color w:val="231F20"/>
        </w:rPr>
        <w:t>Includes non-cash lease expense of $10.4 million</w:t>
      </w:r>
    </w:p>
    <w:p>
      <w:pPr>
        <w:ind w:left="380" w:hanging="372"/>
        <w:spacing w:after="0"/>
        <w:tabs>
          <w:tab w:leader="none" w:pos="380" w:val="left"/>
        </w:tabs>
        <w:numPr>
          <w:ilvl w:val="0"/>
          <w:numId w:val="39"/>
        </w:numPr>
        <w:rPr>
          <w:rFonts w:ascii="Arial" w:cs="Arial" w:eastAsia="Arial" w:hAnsi="Arial"/>
          <w:sz w:val="14"/>
          <w:szCs w:val="14"/>
          <w:color w:val="231F20"/>
        </w:rPr>
      </w:pPr>
      <w:r>
        <w:rPr>
          <w:rFonts w:ascii="Arial" w:cs="Arial" w:eastAsia="Arial" w:hAnsi="Arial"/>
          <w:sz w:val="14"/>
          <w:szCs w:val="14"/>
          <w:color w:val="231F20"/>
        </w:rPr>
        <w:t>Primarily related to Consumer Price Index adjustments, common area maintenance and property tax.</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Supplemental cash flow information and non-cash activity related to the Company’s operating leases are as follows (in thousands):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right"/>
              <w:ind w:right="519"/>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8"/>
              </w:rPr>
              <w:t>December 31, 2019</w:t>
            </w: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9,767</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14,618</w:t>
            </w:r>
          </w:p>
        </w:tc>
      </w:tr>
    </w:tbl>
    <w:p>
      <w:pPr>
        <w:spacing w:after="0" w:line="214"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Maturities of lease liabilities by fiscal year for the Company’s operating leases are as follows (in thousands):</w:t>
      </w:r>
    </w:p>
    <w:p>
      <w:pPr>
        <w:spacing w:after="0" w:line="338"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Amount</w:t>
            </w: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14,576</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16,944</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16,731</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14,569</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2024 and beyond</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4,017</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66,837</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(6,411)</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60,426</w:t>
            </w: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 w:firstLine="761"/>
        <w:spacing w:after="0" w:line="279" w:lineRule="auto"/>
        <w:rPr>
          <w:sz w:val="20"/>
          <w:szCs w:val="20"/>
          <w:color w:val="auto"/>
        </w:rPr>
      </w:pPr>
      <w:r>
        <w:rPr>
          <w:rFonts w:ascii="Arial" w:cs="Arial" w:eastAsia="Arial" w:hAnsi="Arial"/>
          <w:sz w:val="18"/>
          <w:szCs w:val="18"/>
          <w:color w:val="231F20"/>
        </w:rPr>
        <w:t>As of December 31, 2019, the Company had one additional operating lease that has not yet commenced. This operating lease will commence in fiscal year 2020 with a lease term of six years. Pursuant to the terms of the office lease, the Company will pay $2.2 million in aggregate through the life of the lease.</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Weighted average remaining lease term and discount rate for the Company’s operating leases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December 31,</w:t>
            </w:r>
          </w:p>
        </w:tc>
        <w:tc>
          <w:tcPr>
            <w:tcW w:w="230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552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2300" w:type="dxa"/>
            <w:vAlign w:val="bottom"/>
          </w:tcPr>
          <w:p>
            <w:pPr>
              <w:spacing w:after="0"/>
              <w:rPr>
                <w:sz w:val="14"/>
                <w:szCs w:val="14"/>
                <w:color w:val="auto"/>
              </w:rPr>
            </w:pPr>
          </w:p>
        </w:tc>
      </w:tr>
      <w:tr>
        <w:trPr>
          <w:trHeight w:val="223"/>
        </w:trPr>
        <w:tc>
          <w:tcPr>
            <w:tcW w:w="230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(years)</w:t>
            </w:r>
          </w:p>
        </w:tc>
        <w:tc>
          <w:tcPr>
            <w:tcW w:w="13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4.00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320" w:type="dxa"/>
            <w:vAlign w:val="bottom"/>
          </w:tcPr>
          <w:p>
            <w:pPr>
              <w:ind w:left="820"/>
              <w:spacing w:after="0"/>
              <w:rPr>
                <w:sz w:val="20"/>
                <w:szCs w:val="20"/>
                <w:color w:val="auto"/>
              </w:rPr>
            </w:pPr>
            <w:r>
              <w:rPr>
                <w:rFonts w:ascii="Arial" w:cs="Arial" w:eastAsia="Arial" w:hAnsi="Arial"/>
                <w:sz w:val="18"/>
                <w:szCs w:val="18"/>
                <w:color w:val="auto"/>
                <w:w w:val="93"/>
              </w:rPr>
              <w:t>4.98%</w:t>
            </w:r>
          </w:p>
        </w:tc>
        <w:tc>
          <w:tcPr>
            <w:tcW w:w="2300" w:type="dxa"/>
            <w:vAlign w:val="bottom"/>
          </w:tcPr>
          <w:p>
            <w:pPr>
              <w:spacing w:after="0"/>
              <w:rPr>
                <w:sz w:val="20"/>
                <w:szCs w:val="20"/>
                <w:color w:val="auto"/>
              </w:rPr>
            </w:pPr>
          </w:p>
        </w:tc>
      </w:tr>
      <w:tr>
        <w:trPr>
          <w:trHeight w:val="661"/>
        </w:trPr>
        <w:tc>
          <w:tcPr>
            <w:tcW w:w="7820" w:type="dxa"/>
            <w:vAlign w:val="bottom"/>
            <w:gridSpan w:val="2"/>
          </w:tcPr>
          <w:p>
            <w:pPr>
              <w:jc w:val="right"/>
              <w:ind w:right="1930"/>
              <w:spacing w:after="0"/>
              <w:rPr>
                <w:sz w:val="20"/>
                <w:szCs w:val="20"/>
                <w:color w:val="auto"/>
              </w:rPr>
            </w:pPr>
            <w:r>
              <w:rPr>
                <w:rFonts w:ascii="Arial" w:cs="Arial" w:eastAsia="Arial" w:hAnsi="Arial"/>
                <w:sz w:val="18"/>
                <w:szCs w:val="18"/>
                <w:color w:val="auto"/>
              </w:rPr>
              <w:t>76</w:t>
            </w:r>
          </w:p>
        </w:tc>
        <w:tc>
          <w:tcPr>
            <w:tcW w:w="1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231F20"/>
        </w:rPr>
        <w:t>11. Stockholders’ Equity (Deficit)</w:t>
      </w:r>
    </w:p>
    <w:p>
      <w:pPr>
        <w:spacing w:after="0" w:line="243" w:lineRule="exact"/>
        <w:rPr>
          <w:sz w:val="20"/>
          <w:szCs w:val="20"/>
          <w:color w:val="auto"/>
        </w:rPr>
      </w:pPr>
    </w:p>
    <w:p>
      <w:pPr>
        <w:ind w:right="380" w:firstLine="761"/>
        <w:spacing w:after="0" w:line="308" w:lineRule="auto"/>
        <w:rPr>
          <w:sz w:val="20"/>
          <w:szCs w:val="20"/>
          <w:color w:val="auto"/>
        </w:rPr>
      </w:pPr>
      <w:r>
        <w:rPr>
          <w:rFonts w:ascii="Arial" w:cs="Arial" w:eastAsia="Arial" w:hAnsi="Arial"/>
          <w:sz w:val="17"/>
          <w:szCs w:val="17"/>
          <w:color w:val="231F20"/>
        </w:rPr>
        <w:t>In January 2018, the Company converted the then outstanding shares of non-voting common stock to common stock. The non-voting common stock had the same rights and preferences as common stock except that the non-voting stock did not contain any voting rights.</w:t>
      </w:r>
    </w:p>
    <w:p>
      <w:pPr>
        <w:spacing w:after="0" w:line="160" w:lineRule="exact"/>
        <w:rPr>
          <w:sz w:val="20"/>
          <w:szCs w:val="20"/>
          <w:color w:val="auto"/>
        </w:rPr>
      </w:pPr>
    </w:p>
    <w:p>
      <w:pPr>
        <w:ind w:right="40" w:firstLine="761"/>
        <w:spacing w:after="0" w:line="257" w:lineRule="auto"/>
        <w:rPr>
          <w:sz w:val="20"/>
          <w:szCs w:val="20"/>
          <w:color w:val="auto"/>
        </w:rPr>
      </w:pPr>
      <w:r>
        <w:rPr>
          <w:rFonts w:ascii="Arial" w:cs="Arial" w:eastAsia="Arial" w:hAnsi="Arial"/>
          <w:sz w:val="18"/>
          <w:szCs w:val="18"/>
          <w:color w:val="231F20"/>
        </w:rPr>
        <w:t>In March 2019, certain investors proposed a tender offer to purchase shares of the Company’s capital stock from certain stockholders at a price of $15.92 per share, pursuant to an offer to purchase to which the Company was not a party. The Company agreed to waive certain transfer restrictions in connection with, and assist in the administration of, the tender offer. The tender offer was completed in the second quarter of 2019, and an aggregate of 14,366,871 shares of the Company’s capital stock were successfully tendered, including 803,481 shares of Preferred stock that converted into an equal number of shares of common stock in conjunction with the sale.</w:t>
      </w:r>
    </w:p>
    <w:p>
      <w:pPr>
        <w:spacing w:after="0" w:line="188" w:lineRule="exact"/>
        <w:rPr>
          <w:sz w:val="20"/>
          <w:szCs w:val="20"/>
          <w:color w:val="auto"/>
        </w:rPr>
      </w:pPr>
    </w:p>
    <w:p>
      <w:pPr>
        <w:ind w:right="120" w:firstLine="761"/>
        <w:spacing w:after="0" w:line="264" w:lineRule="auto"/>
        <w:rPr>
          <w:sz w:val="20"/>
          <w:szCs w:val="20"/>
          <w:color w:val="auto"/>
        </w:rPr>
      </w:pPr>
      <w:r>
        <w:rPr>
          <w:rFonts w:ascii="Arial" w:cs="Arial" w:eastAsia="Arial" w:hAnsi="Arial"/>
          <w:sz w:val="18"/>
          <w:szCs w:val="18"/>
          <w:color w:val="auto"/>
        </w:rPr>
        <w:t>As of December 31, 2019, the Company had authorized 2,000,000,000 shares of Class A common stock and 310,000,000 shares of Class B common stock, each at a par value per share of $0.00001, of which 64,308,498 shares of Class A common stock and 232,078,452 shares of Class B common stock were issued and outstanding.</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At December 31, 2019 and 2018, the Company had reserved shares of common stock for future issuance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232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4"/>
                <w:szCs w:val="14"/>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231F20"/>
              </w:rPr>
              <w:t>2019</w:t>
            </w:r>
          </w:p>
        </w:tc>
        <w:tc>
          <w:tcPr>
            <w:tcW w:w="1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92"/>
              <w:spacing w:after="0" w:line="155" w:lineRule="exact"/>
              <w:rPr>
                <w:sz w:val="20"/>
                <w:szCs w:val="20"/>
                <w:color w:val="auto"/>
              </w:rPr>
            </w:pPr>
            <w:r>
              <w:rPr>
                <w:rFonts w:ascii="Arial" w:cs="Arial" w:eastAsia="Arial" w:hAnsi="Arial"/>
                <w:sz w:val="14"/>
                <w:szCs w:val="14"/>
                <w:b w:val="1"/>
                <w:bCs w:val="1"/>
                <w:color w:val="231F20"/>
              </w:rPr>
              <w:t>2018</w:t>
            </w: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231F20"/>
              </w:rPr>
              <w:t>Seed Preferred Stock</w:t>
            </w: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231F20"/>
              </w:rPr>
              <w:t>—</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231F20"/>
              </w:rPr>
              <w:t>19,403,952</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231F20"/>
              </w:rPr>
              <w:t>Series A Preferred Stock</w:t>
            </w:r>
          </w:p>
        </w:tc>
        <w:tc>
          <w:tcPr>
            <w:tcW w:w="2320" w:type="dxa"/>
            <w:vAlign w:val="bottom"/>
            <w:gridSpan w:val="3"/>
          </w:tcPr>
          <w:p>
            <w:pPr>
              <w:jc w:val="right"/>
              <w:ind w:right="760"/>
              <w:spacing w:after="0"/>
              <w:rPr>
                <w:sz w:val="20"/>
                <w:szCs w:val="20"/>
                <w:color w:val="auto"/>
              </w:rPr>
            </w:pPr>
            <w:r>
              <w:rPr>
                <w:rFonts w:ascii="Arial" w:cs="Arial" w:eastAsia="Arial" w:hAnsi="Arial"/>
                <w:sz w:val="18"/>
                <w:szCs w:val="18"/>
                <w:color w:val="231F20"/>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231F20"/>
              </w:rPr>
              <w:t>49,195,632</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231F20"/>
              </w:rPr>
              <w:t>Series B Preferred Stock</w:t>
            </w:r>
          </w:p>
        </w:tc>
        <w:tc>
          <w:tcPr>
            <w:tcW w:w="2320" w:type="dxa"/>
            <w:vAlign w:val="bottom"/>
            <w:gridSpan w:val="3"/>
            <w:shd w:val="clear" w:color="auto" w:fill="CFF0FC"/>
          </w:tcPr>
          <w:p>
            <w:pPr>
              <w:jc w:val="right"/>
              <w:ind w:right="760"/>
              <w:spacing w:after="0"/>
              <w:rPr>
                <w:sz w:val="20"/>
                <w:szCs w:val="20"/>
                <w:color w:val="auto"/>
              </w:rPr>
            </w:pPr>
            <w:r>
              <w:rPr>
                <w:rFonts w:ascii="Arial" w:cs="Arial" w:eastAsia="Arial" w:hAnsi="Arial"/>
                <w:sz w:val="18"/>
                <w:szCs w:val="18"/>
                <w:color w:val="231F20"/>
              </w:rPr>
              <w:t>—</w:t>
            </w: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231F20"/>
              </w:rPr>
              <w:t>39,619,992</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231F20"/>
              </w:rPr>
              <w:t>Series C Preferred Stock</w:t>
            </w:r>
          </w:p>
        </w:tc>
        <w:tc>
          <w:tcPr>
            <w:tcW w:w="2320" w:type="dxa"/>
            <w:vAlign w:val="bottom"/>
            <w:gridSpan w:val="3"/>
          </w:tcPr>
          <w:p>
            <w:pPr>
              <w:jc w:val="right"/>
              <w:ind w:right="760"/>
              <w:spacing w:after="0"/>
              <w:rPr>
                <w:sz w:val="20"/>
                <w:szCs w:val="20"/>
                <w:color w:val="auto"/>
              </w:rPr>
            </w:pPr>
            <w:r>
              <w:rPr>
                <w:rFonts w:ascii="Arial" w:cs="Arial" w:eastAsia="Arial" w:hAnsi="Arial"/>
                <w:sz w:val="18"/>
                <w:szCs w:val="18"/>
                <w:color w:val="231F20"/>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231F20"/>
              </w:rPr>
              <w:t>30,389,424</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231F20"/>
              </w:rPr>
              <w:t>Series D Preferred Stock</w:t>
            </w:r>
          </w:p>
        </w:tc>
        <w:tc>
          <w:tcPr>
            <w:tcW w:w="2320" w:type="dxa"/>
            <w:vAlign w:val="bottom"/>
            <w:gridSpan w:val="3"/>
            <w:shd w:val="clear" w:color="auto" w:fill="CFF0FC"/>
          </w:tcPr>
          <w:p>
            <w:pPr>
              <w:jc w:val="right"/>
              <w:ind w:right="760"/>
              <w:spacing w:after="0"/>
              <w:rPr>
                <w:sz w:val="20"/>
                <w:szCs w:val="20"/>
                <w:color w:val="auto"/>
              </w:rPr>
            </w:pPr>
            <w:r>
              <w:rPr>
                <w:rFonts w:ascii="Arial" w:cs="Arial" w:eastAsia="Arial" w:hAnsi="Arial"/>
                <w:sz w:val="18"/>
                <w:szCs w:val="18"/>
                <w:color w:val="231F20"/>
              </w:rPr>
              <w:t>—</w:t>
            </w: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231F20"/>
              </w:rPr>
              <w:t>41,205,912</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231F20"/>
              </w:rPr>
              <w:t>2012 and 2019 stock option plans: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Options and RSU's outstanding</w:t>
            </w: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231F20"/>
              </w:rPr>
              <w:t>37,031,861</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231F20"/>
              </w:rPr>
              <w:t>38,865,057</w:t>
            </w: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231F20"/>
              </w:rPr>
              <w:t>Shares available for future option and RSU grants</w:t>
            </w:r>
          </w:p>
        </w:tc>
        <w:tc>
          <w:tcPr>
            <w:tcW w:w="1680" w:type="dxa"/>
            <w:vAlign w:val="bottom"/>
          </w:tcPr>
          <w:p>
            <w:pPr>
              <w:jc w:val="right"/>
              <w:ind w:right="33"/>
              <w:spacing w:after="0"/>
              <w:rPr>
                <w:sz w:val="20"/>
                <w:szCs w:val="20"/>
                <w:color w:val="auto"/>
              </w:rPr>
            </w:pPr>
            <w:r>
              <w:rPr>
                <w:rFonts w:ascii="Arial" w:cs="Arial" w:eastAsia="Arial" w:hAnsi="Arial"/>
                <w:sz w:val="18"/>
                <w:szCs w:val="18"/>
                <w:color w:val="231F20"/>
              </w:rPr>
              <w:t>31,729,237</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231F20"/>
              </w:rPr>
              <w:t>69,225</w:t>
            </w: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Shares available subject to the 2019 ESPP Plan</w:t>
            </w:r>
          </w:p>
        </w:tc>
        <w:tc>
          <w:tcPr>
            <w:tcW w:w="16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231F20"/>
              </w:rPr>
              <w:t>6,725,000</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231F20"/>
              </w:rPr>
              <w:t>—</w:t>
            </w:r>
          </w:p>
        </w:tc>
      </w:tr>
      <w:tr>
        <w:trPr>
          <w:trHeight w:val="223"/>
        </w:trPr>
        <w:tc>
          <w:tcPr>
            <w:tcW w:w="7860" w:type="dxa"/>
            <w:vAlign w:val="bottom"/>
          </w:tcPr>
          <w:p>
            <w:pPr>
              <w:spacing w:after="0"/>
              <w:rPr>
                <w:sz w:val="19"/>
                <w:szCs w:val="19"/>
                <w:color w:val="auto"/>
              </w:rPr>
            </w:pPr>
          </w:p>
        </w:tc>
        <w:tc>
          <w:tcPr>
            <w:tcW w:w="1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231F20"/>
              </w:rPr>
              <w:t>75,486,098</w:t>
            </w: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231F20"/>
              </w:rPr>
              <w:t>218,749,194</w:t>
            </w:r>
          </w:p>
        </w:tc>
      </w:tr>
      <w:tr>
        <w:trPr>
          <w:trHeight w:val="20"/>
        </w:trPr>
        <w:tc>
          <w:tcPr>
            <w:tcW w:w="78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00" w:firstLine="761"/>
        <w:spacing w:after="0" w:line="277" w:lineRule="auto"/>
        <w:rPr>
          <w:sz w:val="20"/>
          <w:szCs w:val="20"/>
          <w:color w:val="auto"/>
        </w:rPr>
      </w:pPr>
      <w:r>
        <w:rPr>
          <w:rFonts w:ascii="Arial" w:cs="Arial" w:eastAsia="Arial" w:hAnsi="Arial"/>
          <w:sz w:val="18"/>
          <w:szCs w:val="18"/>
          <w:b w:val="1"/>
          <w:bCs w:val="1"/>
          <w:i w:val="1"/>
          <w:iCs w:val="1"/>
          <w:color w:val="231F20"/>
        </w:rPr>
        <w:t>Convertible Preferred Stock</w:t>
      </w:r>
      <w:r>
        <w:rPr>
          <w:rFonts w:ascii="Arial" w:cs="Arial" w:eastAsia="Arial" w:hAnsi="Arial"/>
          <w:sz w:val="18"/>
          <w:szCs w:val="18"/>
          <w:color w:val="231F20"/>
        </w:rPr>
        <w:t>—Immediately prior to the completion of the IPO in September 2019, all shares of convertible preferred stock then</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outstanding were converted into 179,011,431 shares of Class B common stock.</w:t>
      </w:r>
    </w:p>
    <w:p>
      <w:pPr>
        <w:spacing w:after="0" w:line="170" w:lineRule="exact"/>
        <w:rPr>
          <w:sz w:val="20"/>
          <w:szCs w:val="20"/>
          <w:color w:val="auto"/>
        </w:rPr>
      </w:pPr>
    </w:p>
    <w:p>
      <w:pPr>
        <w:ind w:right="100" w:firstLine="761"/>
        <w:spacing w:after="0" w:line="257" w:lineRule="auto"/>
        <w:rPr>
          <w:sz w:val="20"/>
          <w:szCs w:val="20"/>
          <w:color w:val="auto"/>
        </w:rPr>
      </w:pPr>
      <w:r>
        <w:rPr>
          <w:rFonts w:ascii="Arial" w:cs="Arial" w:eastAsia="Arial" w:hAnsi="Arial"/>
          <w:sz w:val="18"/>
          <w:szCs w:val="18"/>
          <w:b w:val="1"/>
          <w:bCs w:val="1"/>
          <w:i w:val="1"/>
          <w:iCs w:val="1"/>
          <w:color w:val="231F20"/>
        </w:rPr>
        <w:t>Class A and Class B Common Stock</w:t>
      </w:r>
      <w:r>
        <w:rPr>
          <w:rFonts w:ascii="Arial" w:cs="Arial" w:eastAsia="Arial" w:hAnsi="Arial"/>
          <w:sz w:val="18"/>
          <w:szCs w:val="18"/>
          <w:color w:val="231F20"/>
        </w:rPr>
        <w:t>—</w:t>
      </w:r>
      <w:r>
        <w:rPr>
          <w:rFonts w:ascii="Arial" w:cs="Arial" w:eastAsia="Arial" w:hAnsi="Arial"/>
          <w:sz w:val="18"/>
          <w:szCs w:val="18"/>
          <w:color w:val="000000"/>
        </w:rPr>
        <w:t>The Company has two classes of common stock, Class A and Class B. The rights of the holders of Class A</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000000"/>
        </w:rPr>
        <w:t>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upon sale or transfer to Class A common stock, subject to certain limited exceptions.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year ended December 31, 2019, 36,464,053 shares of Class B common stock were converted into Class A common stock.</w:t>
      </w:r>
    </w:p>
    <w:p>
      <w:pPr>
        <w:spacing w:after="0" w:line="239" w:lineRule="exact"/>
        <w:rPr>
          <w:sz w:val="20"/>
          <w:szCs w:val="20"/>
          <w:color w:val="auto"/>
        </w:rPr>
      </w:pPr>
    </w:p>
    <w:p>
      <w:pPr>
        <w:ind w:right="60" w:firstLine="761"/>
        <w:spacing w:after="0" w:line="286" w:lineRule="auto"/>
        <w:rPr>
          <w:sz w:val="20"/>
          <w:szCs w:val="20"/>
          <w:color w:val="auto"/>
        </w:rPr>
      </w:pPr>
      <w:r>
        <w:rPr>
          <w:rFonts w:ascii="Arial" w:cs="Arial" w:eastAsia="Arial" w:hAnsi="Arial"/>
          <w:sz w:val="16"/>
          <w:szCs w:val="16"/>
          <w:b w:val="1"/>
          <w:bCs w:val="1"/>
          <w:i w:val="1"/>
          <w:iCs w:val="1"/>
          <w:color w:val="231F20"/>
        </w:rPr>
        <w:t>Employee Stock Purchase Plan</w:t>
      </w:r>
      <w:r>
        <w:rPr>
          <w:rFonts w:ascii="Arial" w:cs="Arial" w:eastAsia="Arial" w:hAnsi="Arial"/>
          <w:sz w:val="16"/>
          <w:szCs w:val="16"/>
          <w:color w:val="231F20"/>
        </w:rPr>
        <w:t>—In September 2019, the Board adopted and approved the 2019 ESPP, which became effective on September 18,</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2019. The ESPP initially reserved and authorized the issuance of up to a total of 6,725,000 shares of Class A common stock to participating employees. As of December 31, 2019, 6,725,000 shares of Class A common stock remain available for grant under the ESPP. The initial offering period began on September 18, 2019 and will end on May 15, 2020. On each purchase date, eligible employees will purchase the shares at a price per share equal to 85% of the lesser of</w:t>
      </w:r>
    </w:p>
    <w:p>
      <w:pPr>
        <w:spacing w:after="0" w:line="2" w:lineRule="exact"/>
        <w:rPr>
          <w:sz w:val="20"/>
          <w:szCs w:val="20"/>
          <w:color w:val="auto"/>
        </w:rPr>
      </w:pPr>
    </w:p>
    <w:p>
      <w:pPr>
        <w:ind w:right="120" w:firstLine="8"/>
        <w:spacing w:after="0" w:line="261" w:lineRule="auto"/>
        <w:tabs>
          <w:tab w:leader="none" w:pos="255"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the $27.00 initial public offering price of the Company’s Class A common stock or (2) the fair market value of the Company’s Class A common stock on the purchase date, as defined in the ESPP.</w:t>
      </w:r>
    </w:p>
    <w:p>
      <w:pPr>
        <w:spacing w:after="0" w:line="184" w:lineRule="exact"/>
        <w:rPr>
          <w:sz w:val="20"/>
          <w:szCs w:val="20"/>
          <w:color w:val="auto"/>
        </w:rPr>
      </w:pPr>
    </w:p>
    <w:p>
      <w:pPr>
        <w:ind w:right="120" w:firstLine="761"/>
        <w:spacing w:after="0" w:line="286" w:lineRule="auto"/>
        <w:rPr>
          <w:sz w:val="20"/>
          <w:szCs w:val="20"/>
          <w:color w:val="auto"/>
        </w:rPr>
      </w:pPr>
      <w:r>
        <w:rPr>
          <w:rFonts w:ascii="Arial" w:cs="Arial" w:eastAsia="Arial" w:hAnsi="Arial"/>
          <w:sz w:val="17"/>
          <w:szCs w:val="17"/>
          <w:color w:val="auto"/>
        </w:rPr>
        <w:t>The Company recognized $1.2 million of stock-based compensation expense related to the ESPP during the year ended December 31, 2019, beginning upon the IPO in September 2019. Total compensation cost related to the ESPP not yet recognized was approximately $1.5 million as of December 31, 2019. The weighted average period over which this compensation cost will be recognized is 0.4 years as of December 31,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ind w:right="140" w:firstLine="761"/>
        <w:spacing w:after="0" w:line="277" w:lineRule="auto"/>
        <w:rPr>
          <w:sz w:val="20"/>
          <w:szCs w:val="20"/>
          <w:color w:val="auto"/>
        </w:rPr>
      </w:pPr>
      <w:r>
        <w:rPr>
          <w:rFonts w:ascii="Arial" w:cs="Arial" w:eastAsia="Arial" w:hAnsi="Arial"/>
          <w:sz w:val="18"/>
          <w:szCs w:val="18"/>
          <w:color w:val="auto"/>
        </w:rPr>
        <w:t>As of December 31, 2019, $3.3 million has been withheld on behalf of employees for a future purchase under the ESPP. There were no purchases for the year ended December 31, 2019 related to the ESPP.</w:t>
      </w:r>
    </w:p>
    <w:p>
      <w:pPr>
        <w:spacing w:after="0" w:line="170" w:lineRule="exact"/>
        <w:rPr>
          <w:sz w:val="20"/>
          <w:szCs w:val="20"/>
          <w:color w:val="auto"/>
        </w:rPr>
      </w:pPr>
    </w:p>
    <w:p>
      <w:pPr>
        <w:ind w:right="20" w:firstLine="761"/>
        <w:spacing w:after="0" w:line="270" w:lineRule="auto"/>
        <w:rPr>
          <w:sz w:val="20"/>
          <w:szCs w:val="20"/>
          <w:color w:val="auto"/>
        </w:rPr>
      </w:pPr>
      <w:r>
        <w:rPr>
          <w:rFonts w:ascii="Arial" w:cs="Arial" w:eastAsia="Arial" w:hAnsi="Arial"/>
          <w:sz w:val="17"/>
          <w:szCs w:val="17"/>
          <w:b w:val="1"/>
          <w:bCs w:val="1"/>
          <w:i w:val="1"/>
          <w:iCs w:val="1"/>
          <w:color w:val="231F20"/>
        </w:rPr>
        <w:t>Stock-Based Compensation</w:t>
      </w:r>
      <w:r>
        <w:rPr>
          <w:rFonts w:ascii="Arial" w:cs="Arial" w:eastAsia="Arial" w:hAnsi="Arial"/>
          <w:sz w:val="17"/>
          <w:szCs w:val="17"/>
          <w:color w:val="231F20"/>
        </w:rPr>
        <w:t>—The Company has two equity incentive plans, the 2012 equity incentive plan (the “2012 Plan”) and the 2019 equity</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 xml:space="preserve">incentive plan (the “2019 Plan”). On September 18, 2019, the Company ceased granting awards under the 2012 Plan, and all shares that remained available for issuance under the 2012 Plan at that time were transferred to the 2019 Plan. Additionally, as of December 31, 2019, there were 36,364,067 shares of Class A common stock issuable upon conversion of Class B common stock underlying options outstanding under the 2012 Plan. Under the 2019 Plan, the Board and any other committee or subcommittee of the Board may grant stock options, stock appreciation rights, restricted stock awards, RSUs and performance-based and other awards, each valued or based on the Company’s Class A common stock, to employees, consultants, and advisors of the Company. Through December 31, 2019, the Company has only issued stock options and RSUs in connection with the 2012 and 2019 Plans. As of December 31, 2019, the Company was authorized to grant awards representing up to </w:t>
      </w:r>
      <w:r>
        <w:rPr>
          <w:rFonts w:ascii="Arial" w:cs="Arial" w:eastAsia="Arial" w:hAnsi="Arial"/>
          <w:sz w:val="17"/>
          <w:szCs w:val="17"/>
          <w:color w:val="000000"/>
        </w:rPr>
        <w:t>70,296,733</w:t>
      </w:r>
      <w:r>
        <w:rPr>
          <w:rFonts w:ascii="Arial" w:cs="Arial" w:eastAsia="Arial" w:hAnsi="Arial"/>
          <w:sz w:val="17"/>
          <w:szCs w:val="17"/>
          <w:color w:val="231F20"/>
        </w:rPr>
        <w:t xml:space="preserve"> shares under the 2019 Plan and had awards representing 31,729,237 shares of Class A common stock available to grant under the 2019 Plan.</w:t>
      </w:r>
    </w:p>
    <w:p>
      <w:pPr>
        <w:spacing w:after="0" w:line="182" w:lineRule="exact"/>
        <w:rPr>
          <w:sz w:val="20"/>
          <w:szCs w:val="20"/>
          <w:color w:val="auto"/>
        </w:rPr>
      </w:pPr>
    </w:p>
    <w:p>
      <w:pPr>
        <w:ind w:right="60" w:firstLine="761"/>
        <w:spacing w:after="0" w:line="259" w:lineRule="auto"/>
        <w:rPr>
          <w:sz w:val="20"/>
          <w:szCs w:val="20"/>
          <w:color w:val="auto"/>
        </w:rPr>
      </w:pPr>
      <w:r>
        <w:rPr>
          <w:rFonts w:ascii="Arial" w:cs="Arial" w:eastAsia="Arial" w:hAnsi="Arial"/>
          <w:sz w:val="18"/>
          <w:szCs w:val="18"/>
          <w:color w:val="231F20"/>
        </w:rPr>
        <w:t>The Company uses the Black-Scholes option pricing model to value stock options. The fair value of each award is recognized on a straight-line basis over the vesting or service period, which is typically four years. The Black-Scholes model requires specified inputs to determine the fair value of stock-based awards, consisting of (i) the expected volatility of the Company’s common stock over the expected option life, (ii) the risk-free interest rate, (iii) the expected dividend yield, and (iv) the expected option life.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The following table summarizes the assumptions used during the years ended December 31, 2019, 2018 and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56"/>
        </w:trPr>
        <w:tc>
          <w:tcPr>
            <w:tcW w:w="6540" w:type="dxa"/>
            <w:vAlign w:val="bottom"/>
          </w:tcPr>
          <w:p>
            <w:pPr>
              <w:spacing w:after="0"/>
              <w:rPr>
                <w:sz w:val="13"/>
                <w:szCs w:val="13"/>
                <w:color w:val="auto"/>
              </w:rPr>
            </w:pPr>
          </w:p>
        </w:tc>
        <w:tc>
          <w:tcPr>
            <w:tcW w:w="15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231F20"/>
                <w:w w:val="89"/>
              </w:rPr>
              <w:t>2019</w:t>
            </w:r>
          </w:p>
        </w:tc>
        <w:tc>
          <w:tcPr>
            <w:tcW w:w="1680" w:type="dxa"/>
            <w:vAlign w:val="bottom"/>
            <w:gridSpan w:val="3"/>
          </w:tcPr>
          <w:p>
            <w:pPr>
              <w:jc w:val="right"/>
              <w:ind w:right="55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1540" w:type="dxa"/>
            <w:vAlign w:val="bottom"/>
            <w:gridSpan w:val="2"/>
          </w:tcPr>
          <w:p>
            <w:pPr>
              <w:jc w:val="right"/>
              <w:ind w:right="550"/>
              <w:spacing w:after="0" w:line="155" w:lineRule="exact"/>
              <w:rPr>
                <w:sz w:val="20"/>
                <w:szCs w:val="20"/>
                <w:color w:val="auto"/>
              </w:rPr>
            </w:pPr>
            <w:r>
              <w:rPr>
                <w:rFonts w:ascii="Arial" w:cs="Arial" w:eastAsia="Arial" w:hAnsi="Arial"/>
                <w:sz w:val="14"/>
                <w:szCs w:val="14"/>
                <w:b w:val="1"/>
                <w:bCs w:val="1"/>
                <w:color w:val="auto"/>
              </w:rPr>
              <w:t>2017</w:t>
            </w: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231F20"/>
              </w:rPr>
              <w:t>Expected volatility</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rPr>
              <w:t>38.9%</w:t>
            </w:r>
          </w:p>
        </w:tc>
        <w:tc>
          <w:tcPr>
            <w:tcW w:w="8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231F20"/>
              </w:rPr>
              <w:t>- 39.5%</w:t>
            </w:r>
          </w:p>
        </w:tc>
        <w:tc>
          <w:tcPr>
            <w:tcW w:w="1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rPr>
              <w:t>38.4%</w:t>
            </w:r>
          </w:p>
        </w:tc>
        <w:tc>
          <w:tcPr>
            <w:tcW w:w="8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231F20"/>
              </w:rPr>
              <w:t>- 39.0%</w:t>
            </w:r>
          </w:p>
        </w:tc>
        <w:tc>
          <w:tcPr>
            <w:tcW w:w="1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rPr>
              <w:t>37.1%</w:t>
            </w:r>
          </w:p>
        </w:tc>
        <w:tc>
          <w:tcPr>
            <w:tcW w:w="8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231F20"/>
              </w:rPr>
              <w:t>- 38.8%</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231F20"/>
              </w:rPr>
              <w:t>Risk-free interest rate</w:t>
            </w:r>
          </w:p>
        </w:tc>
        <w:tc>
          <w:tcPr>
            <w:tcW w:w="700" w:type="dxa"/>
            <w:vAlign w:val="bottom"/>
          </w:tcPr>
          <w:p>
            <w:pPr>
              <w:jc w:val="right"/>
              <w:spacing w:after="0"/>
              <w:rPr>
                <w:sz w:val="20"/>
                <w:szCs w:val="20"/>
                <w:color w:val="auto"/>
              </w:rPr>
            </w:pPr>
            <w:r>
              <w:rPr>
                <w:rFonts w:ascii="Arial" w:cs="Arial" w:eastAsia="Arial" w:hAnsi="Arial"/>
                <w:sz w:val="18"/>
                <w:szCs w:val="18"/>
                <w:color w:val="231F20"/>
              </w:rPr>
              <w:t>1.4%</w:t>
            </w:r>
          </w:p>
        </w:tc>
        <w:tc>
          <w:tcPr>
            <w:tcW w:w="820" w:type="dxa"/>
            <w:vAlign w:val="bottom"/>
          </w:tcPr>
          <w:p>
            <w:pPr>
              <w:ind w:left="20"/>
              <w:spacing w:after="0"/>
              <w:rPr>
                <w:sz w:val="20"/>
                <w:szCs w:val="20"/>
                <w:color w:val="auto"/>
              </w:rPr>
            </w:pPr>
            <w:r>
              <w:rPr>
                <w:rFonts w:ascii="Arial" w:cs="Arial" w:eastAsia="Arial" w:hAnsi="Arial"/>
                <w:sz w:val="18"/>
                <w:szCs w:val="18"/>
                <w:color w:val="231F20"/>
              </w:rPr>
              <w:t>- 2.6%</w:t>
            </w:r>
          </w:p>
        </w:tc>
        <w:tc>
          <w:tcPr>
            <w:tcW w:w="840" w:type="dxa"/>
            <w:vAlign w:val="bottom"/>
            <w:gridSpan w:val="2"/>
          </w:tcPr>
          <w:p>
            <w:pPr>
              <w:jc w:val="right"/>
              <w:spacing w:after="0"/>
              <w:rPr>
                <w:sz w:val="20"/>
                <w:szCs w:val="20"/>
                <w:color w:val="auto"/>
              </w:rPr>
            </w:pPr>
            <w:r>
              <w:rPr>
                <w:rFonts w:ascii="Arial" w:cs="Arial" w:eastAsia="Arial" w:hAnsi="Arial"/>
                <w:sz w:val="18"/>
                <w:szCs w:val="18"/>
                <w:color w:val="231F20"/>
              </w:rPr>
              <w:t>2.6%</w:t>
            </w:r>
          </w:p>
        </w:tc>
        <w:tc>
          <w:tcPr>
            <w:tcW w:w="840" w:type="dxa"/>
            <w:vAlign w:val="bottom"/>
          </w:tcPr>
          <w:p>
            <w:pPr>
              <w:ind w:left="40"/>
              <w:spacing w:after="0"/>
              <w:rPr>
                <w:sz w:val="20"/>
                <w:szCs w:val="20"/>
                <w:color w:val="auto"/>
              </w:rPr>
            </w:pPr>
            <w:r>
              <w:rPr>
                <w:rFonts w:ascii="Arial" w:cs="Arial" w:eastAsia="Arial" w:hAnsi="Arial"/>
                <w:sz w:val="18"/>
                <w:szCs w:val="18"/>
                <w:color w:val="231F20"/>
              </w:rPr>
              <w:t>- 3.0%</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231F20"/>
              </w:rPr>
              <w:t>1.8%</w:t>
            </w:r>
          </w:p>
        </w:tc>
        <w:tc>
          <w:tcPr>
            <w:tcW w:w="820" w:type="dxa"/>
            <w:vAlign w:val="bottom"/>
          </w:tcPr>
          <w:p>
            <w:pPr>
              <w:ind w:left="20"/>
              <w:spacing w:after="0"/>
              <w:rPr>
                <w:sz w:val="20"/>
                <w:szCs w:val="20"/>
                <w:color w:val="auto"/>
              </w:rPr>
            </w:pPr>
            <w:r>
              <w:rPr>
                <w:rFonts w:ascii="Arial" w:cs="Arial" w:eastAsia="Arial" w:hAnsi="Arial"/>
                <w:sz w:val="18"/>
                <w:szCs w:val="18"/>
                <w:color w:val="231F20"/>
              </w:rPr>
              <w:t>- 2.2%</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231F20"/>
              </w:rPr>
              <w:t>Expected dividend yield</w:t>
            </w:r>
          </w:p>
        </w:tc>
        <w:tc>
          <w:tcPr>
            <w:tcW w:w="15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231F20"/>
                <w:w w:val="99"/>
              </w:rPr>
              <w:t>—%</w:t>
            </w:r>
          </w:p>
        </w:tc>
        <w:tc>
          <w:tcPr>
            <w:tcW w:w="14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center"/>
              <w:ind w:right="160"/>
              <w:spacing w:after="0"/>
              <w:rPr>
                <w:sz w:val="20"/>
                <w:szCs w:val="20"/>
                <w:color w:val="auto"/>
              </w:rPr>
            </w:pPr>
            <w:r>
              <w:rPr>
                <w:rFonts w:ascii="Arial" w:cs="Arial" w:eastAsia="Arial" w:hAnsi="Arial"/>
                <w:sz w:val="18"/>
                <w:szCs w:val="18"/>
                <w:color w:val="231F20"/>
                <w:w w:val="93"/>
              </w:rPr>
              <w:t>—%</w:t>
            </w:r>
          </w:p>
        </w:tc>
        <w:tc>
          <w:tcPr>
            <w:tcW w:w="15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231F20"/>
                <w:w w:val="93"/>
              </w:rPr>
              <w:t>—%</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231F20"/>
              </w:rPr>
              <w:t>Expected term (in years)</w:t>
            </w:r>
          </w:p>
        </w:tc>
        <w:tc>
          <w:tcPr>
            <w:tcW w:w="700" w:type="dxa"/>
            <w:vAlign w:val="bottom"/>
          </w:tcPr>
          <w:p>
            <w:pPr>
              <w:jc w:val="right"/>
              <w:spacing w:after="0"/>
              <w:rPr>
                <w:sz w:val="20"/>
                <w:szCs w:val="20"/>
                <w:color w:val="auto"/>
              </w:rPr>
            </w:pPr>
            <w:r>
              <w:rPr>
                <w:rFonts w:ascii="Arial" w:cs="Arial" w:eastAsia="Arial" w:hAnsi="Arial"/>
                <w:sz w:val="18"/>
                <w:szCs w:val="18"/>
                <w:color w:val="231F20"/>
              </w:rPr>
              <w:t>5.2</w:t>
            </w:r>
          </w:p>
        </w:tc>
        <w:tc>
          <w:tcPr>
            <w:tcW w:w="820" w:type="dxa"/>
            <w:vAlign w:val="bottom"/>
          </w:tcPr>
          <w:p>
            <w:pPr>
              <w:ind w:left="20"/>
              <w:spacing w:after="0"/>
              <w:rPr>
                <w:sz w:val="20"/>
                <w:szCs w:val="20"/>
                <w:color w:val="auto"/>
              </w:rPr>
            </w:pPr>
            <w:r>
              <w:rPr>
                <w:rFonts w:ascii="Arial" w:cs="Arial" w:eastAsia="Arial" w:hAnsi="Arial"/>
                <w:sz w:val="18"/>
                <w:szCs w:val="18"/>
                <w:color w:val="231F20"/>
              </w:rPr>
              <w:t>- 6.3</w:t>
            </w:r>
          </w:p>
        </w:tc>
        <w:tc>
          <w:tcPr>
            <w:tcW w:w="840" w:type="dxa"/>
            <w:vAlign w:val="bottom"/>
            <w:gridSpan w:val="2"/>
          </w:tcPr>
          <w:p>
            <w:pPr>
              <w:jc w:val="right"/>
              <w:spacing w:after="0"/>
              <w:rPr>
                <w:sz w:val="20"/>
                <w:szCs w:val="20"/>
                <w:color w:val="auto"/>
              </w:rPr>
            </w:pPr>
            <w:r>
              <w:rPr>
                <w:rFonts w:ascii="Arial" w:cs="Arial" w:eastAsia="Arial" w:hAnsi="Arial"/>
                <w:sz w:val="18"/>
                <w:szCs w:val="18"/>
                <w:color w:val="231F20"/>
              </w:rPr>
              <w:t>5.8</w:t>
            </w:r>
          </w:p>
        </w:tc>
        <w:tc>
          <w:tcPr>
            <w:tcW w:w="840" w:type="dxa"/>
            <w:vAlign w:val="bottom"/>
          </w:tcPr>
          <w:p>
            <w:pPr>
              <w:ind w:left="40"/>
              <w:spacing w:after="0"/>
              <w:rPr>
                <w:sz w:val="20"/>
                <w:szCs w:val="20"/>
                <w:color w:val="auto"/>
              </w:rPr>
            </w:pPr>
            <w:r>
              <w:rPr>
                <w:rFonts w:ascii="Arial" w:cs="Arial" w:eastAsia="Arial" w:hAnsi="Arial"/>
                <w:sz w:val="18"/>
                <w:szCs w:val="18"/>
                <w:color w:val="231F20"/>
              </w:rPr>
              <w:t>- 6.1</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231F20"/>
              </w:rPr>
              <w:t>5.1</w:t>
            </w:r>
          </w:p>
        </w:tc>
        <w:tc>
          <w:tcPr>
            <w:tcW w:w="820" w:type="dxa"/>
            <w:vAlign w:val="bottom"/>
          </w:tcPr>
          <w:p>
            <w:pPr>
              <w:ind w:left="20"/>
              <w:spacing w:after="0"/>
              <w:rPr>
                <w:sz w:val="20"/>
                <w:szCs w:val="20"/>
                <w:color w:val="auto"/>
              </w:rPr>
            </w:pPr>
            <w:r>
              <w:rPr>
                <w:rFonts w:ascii="Arial" w:cs="Arial" w:eastAsia="Arial" w:hAnsi="Arial"/>
                <w:sz w:val="18"/>
                <w:szCs w:val="18"/>
                <w:color w:val="231F20"/>
              </w:rPr>
              <w:t>- 6.1</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231F20"/>
              </w:rPr>
              <w:t>Fair value of common stock</w:t>
            </w:r>
          </w:p>
        </w:tc>
        <w:tc>
          <w:tcPr>
            <w:tcW w:w="15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231F20"/>
                <w:w w:val="91"/>
              </w:rPr>
              <w:t>$6.16 - $38.21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231F20"/>
              </w:rPr>
              <w:t>$2.23</w:t>
            </w:r>
          </w:p>
        </w:tc>
        <w:tc>
          <w:tcPr>
            <w:tcW w:w="840" w:type="dxa"/>
            <w:vAlign w:val="bottom"/>
            <w:shd w:val="clear" w:color="auto" w:fill="CFF0FC"/>
          </w:tcPr>
          <w:p>
            <w:pPr>
              <w:ind w:left="40"/>
              <w:spacing w:after="0"/>
              <w:rPr>
                <w:sz w:val="20"/>
                <w:szCs w:val="20"/>
                <w:color w:val="auto"/>
              </w:rPr>
            </w:pPr>
            <w:r>
              <w:rPr>
                <w:rFonts w:ascii="Arial" w:cs="Arial" w:eastAsia="Arial" w:hAnsi="Arial"/>
                <w:sz w:val="18"/>
                <w:szCs w:val="18"/>
                <w:color w:val="231F20"/>
              </w:rPr>
              <w:t>- $5.63</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$0.87</w:t>
            </w:r>
          </w:p>
        </w:tc>
        <w:tc>
          <w:tcPr>
            <w:tcW w:w="820" w:type="dxa"/>
            <w:vAlign w:val="bottom"/>
            <w:shd w:val="clear" w:color="auto" w:fill="CFF0FC"/>
          </w:tcPr>
          <w:p>
            <w:pPr>
              <w:ind w:left="20"/>
              <w:spacing w:after="0"/>
              <w:rPr>
                <w:sz w:val="20"/>
                <w:szCs w:val="20"/>
                <w:color w:val="auto"/>
              </w:rPr>
            </w:pPr>
            <w:r>
              <w:rPr>
                <w:rFonts w:ascii="Arial" w:cs="Arial" w:eastAsia="Arial" w:hAnsi="Arial"/>
                <w:sz w:val="18"/>
                <w:szCs w:val="18"/>
                <w:color w:val="231F20"/>
              </w:rPr>
              <w:t>- $1.02</w:t>
            </w:r>
          </w:p>
        </w:tc>
      </w:tr>
    </w:tbl>
    <w:p>
      <w:pPr>
        <w:spacing w:after="0" w:line="215" w:lineRule="exact"/>
        <w:rPr>
          <w:sz w:val="20"/>
          <w:szCs w:val="20"/>
          <w:color w:val="auto"/>
        </w:rPr>
      </w:pPr>
    </w:p>
    <w:p>
      <w:pPr>
        <w:ind w:right="500" w:firstLine="761"/>
        <w:spacing w:after="0" w:line="277" w:lineRule="auto"/>
        <w:rPr>
          <w:sz w:val="20"/>
          <w:szCs w:val="20"/>
          <w:color w:val="auto"/>
        </w:rPr>
      </w:pPr>
      <w:r>
        <w:rPr>
          <w:rFonts w:ascii="Arial" w:cs="Arial" w:eastAsia="Arial" w:hAnsi="Arial"/>
          <w:sz w:val="18"/>
          <w:szCs w:val="18"/>
          <w:i w:val="1"/>
          <w:iCs w:val="1"/>
          <w:color w:val="231F20"/>
        </w:rPr>
        <w:t>Expected volatility</w:t>
      </w:r>
      <w:r>
        <w:rPr>
          <w:rFonts w:ascii="Arial" w:cs="Arial" w:eastAsia="Arial" w:hAnsi="Arial"/>
          <w:sz w:val="18"/>
          <w:szCs w:val="18"/>
          <w:color w:val="231F20"/>
        </w:rPr>
        <w:t>—The Company performed an analysis of its peer companies with similar expected lives to develop an expected volatility</w:t>
      </w:r>
      <w:r>
        <w:rPr>
          <w:rFonts w:ascii="Arial" w:cs="Arial" w:eastAsia="Arial" w:hAnsi="Arial"/>
          <w:sz w:val="18"/>
          <w:szCs w:val="18"/>
          <w:i w:val="1"/>
          <w:iCs w:val="1"/>
          <w:color w:val="231F20"/>
        </w:rPr>
        <w:t xml:space="preserve"> </w:t>
      </w:r>
      <w:r>
        <w:rPr>
          <w:rFonts w:ascii="Arial" w:cs="Arial" w:eastAsia="Arial" w:hAnsi="Arial"/>
          <w:sz w:val="18"/>
          <w:szCs w:val="18"/>
          <w:color w:val="231F20"/>
        </w:rPr>
        <w:t>assumption.</w:t>
      </w:r>
    </w:p>
    <w:p>
      <w:pPr>
        <w:spacing w:after="0" w:line="170" w:lineRule="exact"/>
        <w:rPr>
          <w:sz w:val="20"/>
          <w:szCs w:val="20"/>
          <w:color w:val="auto"/>
        </w:rPr>
      </w:pPr>
    </w:p>
    <w:p>
      <w:pPr>
        <w:ind w:right="200" w:firstLine="761"/>
        <w:spacing w:after="0" w:line="277" w:lineRule="auto"/>
        <w:rPr>
          <w:sz w:val="20"/>
          <w:szCs w:val="20"/>
          <w:color w:val="auto"/>
        </w:rPr>
      </w:pPr>
      <w:r>
        <w:rPr>
          <w:rFonts w:ascii="Arial" w:cs="Arial" w:eastAsia="Arial" w:hAnsi="Arial"/>
          <w:sz w:val="18"/>
          <w:szCs w:val="18"/>
          <w:i w:val="1"/>
          <w:iCs w:val="1"/>
          <w:color w:val="231F20"/>
        </w:rPr>
        <w:t>Expected term</w:t>
      </w:r>
      <w:r>
        <w:rPr>
          <w:rFonts w:ascii="Arial" w:cs="Arial" w:eastAsia="Arial" w:hAnsi="Arial"/>
          <w:sz w:val="18"/>
          <w:szCs w:val="18"/>
          <w:color w:val="231F20"/>
        </w:rPr>
        <w:t>—Derived from the life of the options granted under the option plan and is based on the simplified method which is essentially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weighted average of the vesting period and contractual term.</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231F20"/>
        </w:rPr>
        <w:t>Risk-free interest rate</w:t>
      </w:r>
      <w:r>
        <w:rPr>
          <w:rFonts w:ascii="Arial" w:cs="Arial" w:eastAsia="Arial" w:hAnsi="Arial"/>
          <w:sz w:val="18"/>
          <w:szCs w:val="18"/>
          <w:color w:val="231F20"/>
        </w:rPr>
        <w:t>—Based upon quoted market yields for the United States Treasury debt securities.</w:t>
      </w:r>
    </w:p>
    <w:p>
      <w:pPr>
        <w:spacing w:after="0" w:line="225" w:lineRule="exact"/>
        <w:rPr>
          <w:sz w:val="20"/>
          <w:szCs w:val="20"/>
          <w:color w:val="auto"/>
        </w:rPr>
      </w:pPr>
    </w:p>
    <w:p>
      <w:pPr>
        <w:ind w:right="140" w:firstLine="761"/>
        <w:spacing w:after="0" w:line="277" w:lineRule="auto"/>
        <w:rPr>
          <w:sz w:val="20"/>
          <w:szCs w:val="20"/>
          <w:color w:val="auto"/>
        </w:rPr>
      </w:pPr>
      <w:r>
        <w:rPr>
          <w:rFonts w:ascii="Arial" w:cs="Arial" w:eastAsia="Arial" w:hAnsi="Arial"/>
          <w:sz w:val="18"/>
          <w:szCs w:val="18"/>
          <w:i w:val="1"/>
          <w:iCs w:val="1"/>
          <w:color w:val="231F20"/>
        </w:rPr>
        <w:t>Expected dividend yield</w:t>
      </w:r>
      <w:r>
        <w:rPr>
          <w:rFonts w:ascii="Arial" w:cs="Arial" w:eastAsia="Arial" w:hAnsi="Arial"/>
          <w:sz w:val="18"/>
          <w:szCs w:val="18"/>
          <w:color w:val="231F20"/>
        </w:rPr>
        <w:t>—Since the Company has never paid and has no intention to pay cash dividends on common stock, the expected dividend</w:t>
      </w:r>
      <w:r>
        <w:rPr>
          <w:rFonts w:ascii="Arial" w:cs="Arial" w:eastAsia="Arial" w:hAnsi="Arial"/>
          <w:sz w:val="18"/>
          <w:szCs w:val="18"/>
          <w:i w:val="1"/>
          <w:iCs w:val="1"/>
          <w:color w:val="231F20"/>
        </w:rPr>
        <w:t xml:space="preserve"> </w:t>
      </w:r>
      <w:r>
        <w:rPr>
          <w:rFonts w:ascii="Arial" w:cs="Arial" w:eastAsia="Arial" w:hAnsi="Arial"/>
          <w:sz w:val="18"/>
          <w:szCs w:val="18"/>
          <w:color w:val="231F20"/>
        </w:rPr>
        <w:t>yield is zero.</w:t>
      </w:r>
    </w:p>
    <w:p>
      <w:pPr>
        <w:spacing w:after="0" w:line="170" w:lineRule="exact"/>
        <w:rPr>
          <w:sz w:val="20"/>
          <w:szCs w:val="20"/>
          <w:color w:val="auto"/>
        </w:rPr>
      </w:pPr>
    </w:p>
    <w:p>
      <w:pPr>
        <w:ind w:right="140" w:firstLine="761"/>
        <w:spacing w:after="0" w:line="270" w:lineRule="auto"/>
        <w:rPr>
          <w:sz w:val="20"/>
          <w:szCs w:val="20"/>
          <w:color w:val="auto"/>
        </w:rPr>
      </w:pPr>
      <w:r>
        <w:rPr>
          <w:rFonts w:ascii="Arial" w:cs="Arial" w:eastAsia="Arial" w:hAnsi="Arial"/>
          <w:sz w:val="17"/>
          <w:szCs w:val="17"/>
          <w:i w:val="1"/>
          <w:iCs w:val="1"/>
          <w:color w:val="231F20"/>
        </w:rPr>
        <w:t>Fair value of the common stock</w:t>
      </w:r>
      <w:r>
        <w:rPr>
          <w:rFonts w:ascii="Arial" w:cs="Arial" w:eastAsia="Arial" w:hAnsi="Arial"/>
          <w:sz w:val="17"/>
          <w:szCs w:val="17"/>
          <w:color w:val="231F20"/>
        </w:rPr>
        <w:t>—Prior to the IPO, the fair value of common stock underlying the stock-based awards was determined by the</w:t>
      </w:r>
      <w:r>
        <w:rPr>
          <w:rFonts w:ascii="Arial" w:cs="Arial" w:eastAsia="Arial" w:hAnsi="Arial"/>
          <w:sz w:val="17"/>
          <w:szCs w:val="17"/>
          <w:i w:val="1"/>
          <w:iCs w:val="1"/>
          <w:color w:val="231F20"/>
        </w:rPr>
        <w:t xml:space="preserve"> </w:t>
      </w:r>
      <w:r>
        <w:rPr>
          <w:rFonts w:ascii="Arial" w:cs="Arial" w:eastAsia="Arial" w:hAnsi="Arial"/>
          <w:sz w:val="17"/>
          <w:szCs w:val="17"/>
          <w:color w:val="231F20"/>
        </w:rPr>
        <w:t>Company’s Board of Directors. The Board of Directors considered numerous objective and subjective factors to determine the fair value of the Company’s common stock at each meeting in which awards were approved. The factors considered included, but were not limited to: (i) the results of contemporaneous independent third-party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 Since the Company’s IPO, the fair value of the underlying common stock is determined by the closing price, on the date of grant, of the Company’s Class A common stock, which is traded publicly on The Nasdaq Global Market.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0" w:name="page81"/>
    <w:bookmarkEnd w:id="80"/>
    <w:p>
      <w:pPr>
        <w:ind w:left="760"/>
        <w:spacing w:after="0"/>
        <w:rPr>
          <w:sz w:val="20"/>
          <w:szCs w:val="20"/>
          <w:color w:val="auto"/>
        </w:rPr>
      </w:pPr>
      <w:r>
        <w:rPr>
          <w:rFonts w:ascii="Arial" w:cs="Arial" w:eastAsia="Arial" w:hAnsi="Arial"/>
          <w:sz w:val="18"/>
          <w:szCs w:val="18"/>
          <w:color w:val="231F20"/>
        </w:rPr>
        <w:t>Stock option activity during the years ended December 31, 2019, 2018 and 2017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59"/>
              <w:spacing w:after="0"/>
              <w:rPr>
                <w:sz w:val="20"/>
                <w:szCs w:val="20"/>
                <w:color w:val="auto"/>
              </w:rPr>
            </w:pPr>
            <w:r>
              <w:rPr>
                <w:rFonts w:ascii="Arial" w:cs="Arial" w:eastAsia="Arial" w:hAnsi="Arial"/>
                <w:sz w:val="14"/>
                <w:szCs w:val="14"/>
                <w:b w:val="1"/>
                <w:bCs w:val="1"/>
                <w:color w:val="231F20"/>
                <w:w w:val="94"/>
              </w:rPr>
              <w:t>Weighted-</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44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231F20"/>
                <w:w w:val="96"/>
              </w:rPr>
              <w:t>Number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231F20"/>
                <w:w w:val="91"/>
              </w:rPr>
              <w:t>Weighted-</w:t>
            </w:r>
          </w:p>
        </w:tc>
        <w:tc>
          <w:tcPr>
            <w:tcW w:w="14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231F20"/>
                <w:w w:val="90"/>
              </w:rPr>
              <w:t>Average</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231F20"/>
                <w:w w:val="94"/>
              </w:rPr>
              <w:t>Remaining</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4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231F20"/>
                <w:w w:val="90"/>
              </w:rPr>
              <w:t>Options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231F20"/>
                <w:w w:val="90"/>
              </w:rPr>
              <w:t>Average</w:t>
            </w:r>
          </w:p>
        </w:tc>
        <w:tc>
          <w:tcPr>
            <w:tcW w:w="14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231F20"/>
                <w:w w:val="97"/>
              </w:rPr>
              <w:t>Contractual Life</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440" w:type="dxa"/>
            <w:vAlign w:val="bottom"/>
          </w:tcPr>
          <w:p>
            <w:pPr>
              <w:jc w:val="center"/>
              <w:ind w:right="33"/>
              <w:spacing w:after="0"/>
              <w:rPr>
                <w:sz w:val="20"/>
                <w:szCs w:val="20"/>
                <w:color w:val="auto"/>
              </w:rPr>
            </w:pPr>
            <w:r>
              <w:rPr>
                <w:rFonts w:ascii="Arial" w:cs="Arial" w:eastAsia="Arial" w:hAnsi="Arial"/>
                <w:sz w:val="14"/>
                <w:szCs w:val="14"/>
                <w:b w:val="1"/>
                <w:bCs w:val="1"/>
                <w:color w:val="231F20"/>
                <w:w w:val="92"/>
              </w:rPr>
              <w:t>Outstanding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231F20"/>
                <w:w w:val="89"/>
              </w:rPr>
              <w:t>Exercise Price</w:t>
            </w:r>
          </w:p>
        </w:tc>
        <w:tc>
          <w:tcPr>
            <w:tcW w:w="1460" w:type="dxa"/>
            <w:vAlign w:val="bottom"/>
          </w:tcPr>
          <w:p>
            <w:pPr>
              <w:jc w:val="center"/>
              <w:ind w:right="59"/>
              <w:spacing w:after="0"/>
              <w:rPr>
                <w:sz w:val="20"/>
                <w:szCs w:val="20"/>
                <w:color w:val="auto"/>
              </w:rPr>
            </w:pPr>
            <w:r>
              <w:rPr>
                <w:rFonts w:ascii="Arial" w:cs="Arial" w:eastAsia="Arial" w:hAnsi="Arial"/>
                <w:sz w:val="14"/>
                <w:szCs w:val="14"/>
                <w:b w:val="1"/>
                <w:bCs w:val="1"/>
                <w:color w:val="231F20"/>
                <w:w w:val="93"/>
              </w:rPr>
              <w:t>(in Years)</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231F20"/>
              </w:rPr>
              <w:t>Balance—January 1, 2017</w:t>
            </w:r>
          </w:p>
        </w:tc>
        <w:tc>
          <w:tcPr>
            <w:tcW w:w="14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231F20"/>
              </w:rPr>
              <w:t>35,825,160</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w w:val="79"/>
              </w:rPr>
              <w:t>$</w:t>
            </w:r>
          </w:p>
        </w:tc>
        <w:tc>
          <w:tcPr>
            <w:tcW w:w="13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231F20"/>
              </w:rPr>
              <w:t>0.39</w:t>
            </w:r>
          </w:p>
        </w:tc>
        <w:tc>
          <w:tcPr>
            <w:tcW w:w="1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231F20"/>
              </w:rPr>
              <w:t>Options granted</w:t>
            </w:r>
          </w:p>
        </w:tc>
        <w:tc>
          <w:tcPr>
            <w:tcW w:w="1440" w:type="dxa"/>
            <w:vAlign w:val="bottom"/>
          </w:tcPr>
          <w:p>
            <w:pPr>
              <w:jc w:val="right"/>
              <w:ind w:right="33"/>
              <w:spacing w:after="0"/>
              <w:rPr>
                <w:sz w:val="20"/>
                <w:szCs w:val="20"/>
                <w:color w:val="auto"/>
              </w:rPr>
            </w:pPr>
            <w:r>
              <w:rPr>
                <w:rFonts w:ascii="Arial" w:cs="Arial" w:eastAsia="Arial" w:hAnsi="Arial"/>
                <w:sz w:val="18"/>
                <w:szCs w:val="18"/>
                <w:color w:val="231F20"/>
              </w:rPr>
              <w:t>12,841,968</w:t>
            </w:r>
          </w:p>
        </w:tc>
        <w:tc>
          <w:tcPr>
            <w:tcW w:w="30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231F20"/>
              </w:rPr>
              <w:t>0.89</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231F20"/>
              </w:rPr>
              <w:t>Options exercised</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(2,165,976)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231F20"/>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231F20"/>
              </w:rPr>
              <w:t>0.21</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231F20"/>
              </w:rPr>
              <w:t>Options 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(1,623,264)</w:t>
            </w:r>
          </w:p>
        </w:tc>
        <w:tc>
          <w:tcPr>
            <w:tcW w:w="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231F20"/>
              </w:rPr>
              <w:t>$</w:t>
            </w:r>
          </w:p>
        </w:tc>
        <w:tc>
          <w:tcPr>
            <w:tcW w:w="1300" w:type="dxa"/>
            <w:vAlign w:val="bottom"/>
            <w:tcBorders>
              <w:bottom w:val="single" w:sz="8" w:color="CFF0FC"/>
            </w:tcBorders>
          </w:tcPr>
          <w:p>
            <w:pPr>
              <w:jc w:val="right"/>
              <w:ind w:right="33"/>
              <w:spacing w:after="0"/>
              <w:rPr>
                <w:sz w:val="20"/>
                <w:szCs w:val="20"/>
                <w:color w:val="auto"/>
              </w:rPr>
            </w:pPr>
            <w:r>
              <w:rPr>
                <w:rFonts w:ascii="Arial" w:cs="Arial" w:eastAsia="Arial" w:hAnsi="Arial"/>
                <w:sz w:val="18"/>
                <w:szCs w:val="18"/>
                <w:color w:val="231F20"/>
              </w:rPr>
              <w:t>0.64</w:t>
            </w:r>
          </w:p>
        </w:tc>
        <w:tc>
          <w:tcPr>
            <w:tcW w:w="14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231F20"/>
              </w:rPr>
              <w:t>Balance—December 31, 2017</w:t>
            </w: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231F20"/>
              </w:rPr>
              <w:t>44,877,888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231F20"/>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231F20"/>
              </w:rPr>
              <w:t>0.53</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231F20"/>
              </w:rPr>
              <w:t>Options granted</w:t>
            </w:r>
          </w:p>
        </w:tc>
        <w:tc>
          <w:tcPr>
            <w:tcW w:w="1440" w:type="dxa"/>
            <w:vAlign w:val="bottom"/>
          </w:tcPr>
          <w:p>
            <w:pPr>
              <w:jc w:val="right"/>
              <w:ind w:right="33"/>
              <w:spacing w:after="0"/>
              <w:rPr>
                <w:sz w:val="20"/>
                <w:szCs w:val="20"/>
                <w:color w:val="auto"/>
              </w:rPr>
            </w:pPr>
            <w:r>
              <w:rPr>
                <w:rFonts w:ascii="Arial" w:cs="Arial" w:eastAsia="Arial" w:hAnsi="Arial"/>
                <w:sz w:val="18"/>
                <w:szCs w:val="18"/>
                <w:color w:val="231F20"/>
              </w:rPr>
              <w:t>11,236,803</w:t>
            </w:r>
          </w:p>
        </w:tc>
        <w:tc>
          <w:tcPr>
            <w:tcW w:w="30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231F20"/>
              </w:rPr>
              <w:t>1.61</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231F20"/>
              </w:rPr>
              <w:t>Options exercised</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(14,882,622)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231F20"/>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231F20"/>
              </w:rPr>
              <w:t>0.52</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231F20"/>
              </w:rPr>
              <w:t>Options 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(2,367,012)</w:t>
            </w:r>
          </w:p>
        </w:tc>
        <w:tc>
          <w:tcPr>
            <w:tcW w:w="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231F20"/>
              </w:rPr>
              <w:t>$</w:t>
            </w:r>
          </w:p>
        </w:tc>
        <w:tc>
          <w:tcPr>
            <w:tcW w:w="1300" w:type="dxa"/>
            <w:vAlign w:val="bottom"/>
            <w:tcBorders>
              <w:bottom w:val="single" w:sz="8" w:color="CFF0FC"/>
            </w:tcBorders>
          </w:tcPr>
          <w:p>
            <w:pPr>
              <w:jc w:val="right"/>
              <w:ind w:right="33"/>
              <w:spacing w:after="0"/>
              <w:rPr>
                <w:sz w:val="20"/>
                <w:szCs w:val="20"/>
                <w:color w:val="auto"/>
              </w:rPr>
            </w:pPr>
            <w:r>
              <w:rPr>
                <w:rFonts w:ascii="Arial" w:cs="Arial" w:eastAsia="Arial" w:hAnsi="Arial"/>
                <w:sz w:val="18"/>
                <w:szCs w:val="18"/>
                <w:color w:val="231F20"/>
              </w:rPr>
              <w:t>0.79</w:t>
            </w:r>
          </w:p>
        </w:tc>
        <w:tc>
          <w:tcPr>
            <w:tcW w:w="14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231F20"/>
              </w:rPr>
              <w:t>Balance—December 31, 2018</w:t>
            </w: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231F20"/>
              </w:rPr>
              <w:t>38,865,057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231F20"/>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231F20"/>
              </w:rPr>
              <w:t>0.83</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231F20"/>
              </w:rPr>
              <w:t>Options granted</w:t>
            </w:r>
          </w:p>
        </w:tc>
        <w:tc>
          <w:tcPr>
            <w:tcW w:w="1440" w:type="dxa"/>
            <w:vAlign w:val="bottom"/>
          </w:tcPr>
          <w:p>
            <w:pPr>
              <w:jc w:val="right"/>
              <w:ind w:right="33"/>
              <w:spacing w:after="0"/>
              <w:rPr>
                <w:sz w:val="20"/>
                <w:szCs w:val="20"/>
                <w:color w:val="auto"/>
              </w:rPr>
            </w:pPr>
            <w:r>
              <w:rPr>
                <w:rFonts w:ascii="Arial" w:cs="Arial" w:eastAsia="Arial" w:hAnsi="Arial"/>
                <w:sz w:val="18"/>
                <w:szCs w:val="18"/>
                <w:color w:val="231F20"/>
              </w:rPr>
              <w:t>9,518,730</w:t>
            </w:r>
          </w:p>
        </w:tc>
        <w:tc>
          <w:tcPr>
            <w:tcW w:w="30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231F20"/>
              </w:rPr>
              <w:t>9.15</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231F20"/>
              </w:rPr>
              <w:t>Options exercised</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(10,546,987)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231F20"/>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231F20"/>
              </w:rPr>
              <w:t>0.75</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231F20"/>
              </w:rPr>
              <w:t>Options 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(1,452,033)</w:t>
            </w:r>
          </w:p>
        </w:tc>
        <w:tc>
          <w:tcPr>
            <w:tcW w:w="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231F20"/>
              </w:rPr>
              <w:t>$</w:t>
            </w:r>
          </w:p>
        </w:tc>
        <w:tc>
          <w:tcPr>
            <w:tcW w:w="1300" w:type="dxa"/>
            <w:vAlign w:val="bottom"/>
            <w:tcBorders>
              <w:bottom w:val="single" w:sz="8" w:color="CFF0FC"/>
            </w:tcBorders>
          </w:tcPr>
          <w:p>
            <w:pPr>
              <w:jc w:val="right"/>
              <w:ind w:right="33"/>
              <w:spacing w:after="0"/>
              <w:rPr>
                <w:sz w:val="20"/>
                <w:szCs w:val="20"/>
                <w:color w:val="auto"/>
              </w:rPr>
            </w:pPr>
            <w:r>
              <w:rPr>
                <w:rFonts w:ascii="Arial" w:cs="Arial" w:eastAsia="Arial" w:hAnsi="Arial"/>
                <w:sz w:val="18"/>
                <w:szCs w:val="18"/>
                <w:color w:val="231F20"/>
              </w:rPr>
              <w:t>2.54</w:t>
            </w:r>
          </w:p>
        </w:tc>
        <w:tc>
          <w:tcPr>
            <w:tcW w:w="14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231F20"/>
              </w:rPr>
              <w:t>Balance—December 31, 2019</w:t>
            </w: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231F20"/>
              </w:rPr>
              <w:t>36,384,767</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231F20"/>
              </w:rPr>
              <w:t>$</w:t>
            </w:r>
          </w:p>
        </w:tc>
        <w:tc>
          <w:tcPr>
            <w:tcW w:w="130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231F20"/>
              </w:rPr>
              <w:t>2.96</w:t>
            </w:r>
          </w:p>
        </w:tc>
        <w:tc>
          <w:tcPr>
            <w:tcW w:w="14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231F20"/>
              </w:rPr>
              <w:t>Exercisable—December 31, 2019</w:t>
            </w: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231F20"/>
              </w:rPr>
              <w:t>$</w:t>
            </w:r>
          </w:p>
        </w:tc>
        <w:tc>
          <w:tcPr>
            <w:tcW w:w="1300" w:type="dxa"/>
            <w:vAlign w:val="bottom"/>
            <w:vMerge w:val="restart"/>
          </w:tcPr>
          <w:p>
            <w:pPr>
              <w:jc w:val="right"/>
              <w:ind w:right="33"/>
              <w:spacing w:after="0"/>
              <w:rPr>
                <w:sz w:val="20"/>
                <w:szCs w:val="20"/>
                <w:color w:val="auto"/>
              </w:rPr>
            </w:pPr>
            <w:r>
              <w:rPr>
                <w:rFonts w:ascii="Arial" w:cs="Arial" w:eastAsia="Arial" w:hAnsi="Arial"/>
                <w:sz w:val="18"/>
                <w:szCs w:val="18"/>
                <w:color w:val="231F20"/>
              </w:rPr>
              <w:t>2.19</w:t>
            </w:r>
          </w:p>
        </w:tc>
        <w:tc>
          <w:tcPr>
            <w:tcW w:w="140" w:type="dxa"/>
            <w:vAlign w:val="bottom"/>
          </w:tcPr>
          <w:p>
            <w:pPr>
              <w:spacing w:after="0" w:line="20" w:lineRule="exact"/>
              <w:rPr>
                <w:sz w:val="1"/>
                <w:szCs w:val="1"/>
                <w:color w:val="auto"/>
              </w:rPr>
            </w:pPr>
          </w:p>
        </w:tc>
        <w:tc>
          <w:tcPr>
            <w:tcW w:w="1460" w:type="dxa"/>
            <w:vAlign w:val="bottom"/>
            <w:vMerge w:val="restart"/>
          </w:tcPr>
          <w:p>
            <w:pPr>
              <w:jc w:val="right"/>
              <w:ind w:right="59"/>
              <w:spacing w:after="0"/>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211"/>
        </w:trPr>
        <w:tc>
          <w:tcPr>
            <w:tcW w:w="6780" w:type="dxa"/>
            <w:vAlign w:val="bottom"/>
            <w:vMerge w:val="continue"/>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231F20"/>
              </w:rPr>
              <w:t>22,327,967</w:t>
            </w:r>
          </w:p>
        </w:tc>
        <w:tc>
          <w:tcPr>
            <w:tcW w:w="30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60" w:firstLine="761"/>
        <w:spacing w:after="0" w:line="277" w:lineRule="auto"/>
        <w:rPr>
          <w:sz w:val="20"/>
          <w:szCs w:val="20"/>
          <w:color w:val="auto"/>
        </w:rPr>
      </w:pPr>
      <w:r>
        <w:rPr>
          <w:rFonts w:ascii="Arial" w:cs="Arial" w:eastAsia="Arial" w:hAnsi="Arial"/>
          <w:sz w:val="18"/>
          <w:szCs w:val="18"/>
          <w:color w:val="231F20"/>
        </w:rPr>
        <w:t>As of December 31, 2019, there were 20,700 shares of Class A common stock and 36,364,067 shares of Class B common stock issuable upon the exercise of options outstanding.</w:t>
      </w:r>
    </w:p>
    <w:p>
      <w:pPr>
        <w:spacing w:after="0" w:line="184" w:lineRule="exact"/>
        <w:rPr>
          <w:sz w:val="20"/>
          <w:szCs w:val="20"/>
          <w:color w:val="auto"/>
        </w:rPr>
      </w:pPr>
    </w:p>
    <w:p>
      <w:pPr>
        <w:ind w:right="20" w:firstLine="761"/>
        <w:spacing w:after="0" w:line="279" w:lineRule="auto"/>
        <w:rPr>
          <w:sz w:val="20"/>
          <w:szCs w:val="20"/>
          <w:color w:val="auto"/>
        </w:rPr>
      </w:pPr>
      <w:r>
        <w:rPr>
          <w:rFonts w:ascii="Arial" w:cs="Arial" w:eastAsia="Arial" w:hAnsi="Arial"/>
          <w:sz w:val="17"/>
          <w:szCs w:val="17"/>
          <w:color w:val="231F20"/>
        </w:rPr>
        <w:t>The weighted average grant-date fair value of options granted during 2019, 2018 and 2017 was $8.69, $2.48 and $0.40, respectively. The Company received approximately $7.9 million, $7.8 million and $0.5 million in cash proceeds from options exercised during 2019, 2018 and 2017, respectively. The intrinsic value of options exercised in 2019, 2018 and 2017 was approximately $121.3 million, $36.4 million and $1.5 million, respectively. The aggregate fair value of options vested during 2019, 2018 and 2017 was $10.8 million, $3.5 million and $4.2 million, respectively.</w:t>
      </w:r>
    </w:p>
    <w:p>
      <w:pPr>
        <w:spacing w:after="0" w:line="185" w:lineRule="exact"/>
        <w:rPr>
          <w:sz w:val="20"/>
          <w:szCs w:val="20"/>
          <w:color w:val="auto"/>
        </w:rPr>
      </w:pPr>
    </w:p>
    <w:p>
      <w:pPr>
        <w:ind w:right="200" w:firstLine="761"/>
        <w:spacing w:after="0" w:line="264" w:lineRule="auto"/>
        <w:rPr>
          <w:sz w:val="20"/>
          <w:szCs w:val="20"/>
          <w:color w:val="auto"/>
        </w:rPr>
      </w:pPr>
      <w:r>
        <w:rPr>
          <w:rFonts w:ascii="Arial" w:cs="Arial" w:eastAsia="Arial" w:hAnsi="Arial"/>
          <w:sz w:val="18"/>
          <w:szCs w:val="18"/>
          <w:color w:val="231F20"/>
        </w:rPr>
        <w:t>Total compensation cost related to unvested stock options not yet recognized was approximately $90.5 million and $28.4 million as of December 31, 2019 and December 31, 2018, respectively. The weighted average period over which this compensation cost related to unvested stock options will be recognized is 2.7 years and 3.4 years as of December 31, 2019 and December 31, 2018, respectively.</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activity for the Company's unvested RSUs: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56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40" w:type="dxa"/>
            <w:vAlign w:val="bottom"/>
          </w:tcPr>
          <w:p>
            <w:pPr>
              <w:jc w:val="right"/>
              <w:ind w:right="85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1"/>
        </w:trPr>
        <w:tc>
          <w:tcPr>
            <w:tcW w:w="574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ind w:right="10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5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4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647,094</w:t>
            </w:r>
          </w:p>
        </w:tc>
        <w:tc>
          <w:tcPr>
            <w:tcW w:w="7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55"/>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24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Forfeited/canceled</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5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647,094</w:t>
            </w:r>
          </w:p>
        </w:tc>
        <w:tc>
          <w:tcPr>
            <w:tcW w:w="780" w:type="dxa"/>
            <w:vAlign w:val="bottom"/>
            <w:tcBorders>
              <w:top w:val="single" w:sz="8" w:color="CFF0FC"/>
              <w:bottom w:val="single" w:sz="8" w:color="CFF0FC"/>
            </w:tcBorders>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2440" w:type="dxa"/>
            <w:vAlign w:val="bottom"/>
            <w:tcBorders>
              <w:top w:val="single" w:sz="8" w:color="CFF0FC"/>
              <w:bottom w:val="single" w:sz="8" w:color="CFF0FC"/>
            </w:tcBorders>
            <w:shd w:val="clear" w:color="auto" w:fill="CFF0FC"/>
          </w:tcPr>
          <w:p>
            <w:pPr>
              <w:jc w:val="right"/>
              <w:ind w:right="55"/>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761"/>
        <w:spacing w:after="0" w:line="302" w:lineRule="auto"/>
        <w:rPr>
          <w:sz w:val="20"/>
          <w:szCs w:val="20"/>
          <w:color w:val="auto"/>
        </w:rPr>
      </w:pPr>
      <w:r>
        <w:rPr>
          <w:rFonts w:ascii="Arial" w:cs="Arial" w:eastAsia="Arial" w:hAnsi="Arial"/>
          <w:sz w:val="16"/>
          <w:szCs w:val="16"/>
          <w:color w:val="231F20"/>
        </w:rPr>
        <w:t>In November 2019, the Company granted 244,445 restricted shares of Class A common stock, which are subject to service-based vesting conditions over approximately four years. Total compensation cost related to unvested RSUs and restricted shares of common stock not yet recognized was approximately $30.4 million as of December 31, 2019. The weighted average period over which this compensation cost related to unvested RSUs will be recognized is 3.9 years as of December 31, 2019. The Company expects to settle RSUs with shares of its Class A common stock.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1" w:name="page82"/>
    <w:bookmarkEnd w:id="81"/>
    <w:p>
      <w:pPr>
        <w:ind w:left="760"/>
        <w:spacing w:after="0"/>
        <w:rPr>
          <w:sz w:val="20"/>
          <w:szCs w:val="20"/>
          <w:color w:val="auto"/>
        </w:rPr>
      </w:pPr>
      <w:r>
        <w:rPr>
          <w:rFonts w:ascii="Arial" w:cs="Arial" w:eastAsia="Arial" w:hAnsi="Arial"/>
          <w:sz w:val="18"/>
          <w:szCs w:val="18"/>
          <w:color w:val="231F20"/>
        </w:rPr>
        <w:t>Stock-based compensation expense was included in the consolidated statement of operations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231F20"/>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548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2017</w:t>
            </w: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231F20"/>
              </w:rPr>
              <w:t>Cost of revenue</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231F20"/>
                <w:w w:val="79"/>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582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231F20"/>
              </w:rPr>
              <w:t>287</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231F20"/>
                <w:w w:val="71"/>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231F20"/>
              </w:rPr>
              <w:t>112</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231F20"/>
              </w:rPr>
              <w:t>Research and development</w:t>
            </w:r>
          </w:p>
        </w:tc>
        <w:tc>
          <w:tcPr>
            <w:tcW w:w="1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231F20"/>
              </w:rPr>
              <w:t>7,972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231F20"/>
              </w:rPr>
              <w:t>1,641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231F20"/>
              </w:rPr>
              <w:t>1,160</w:t>
            </w: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231F20"/>
              </w:rPr>
              <w:t>Sales and marketing</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5,538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231F20"/>
              </w:rPr>
              <w:t>1,910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231F20"/>
              </w:rPr>
              <w:t>977</w:t>
            </w:r>
          </w:p>
        </w:tc>
      </w:tr>
      <w:tr>
        <w:trPr>
          <w:trHeight w:val="230"/>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231F20"/>
              </w:rPr>
              <w:t>General and administrative</w:t>
            </w:r>
          </w:p>
        </w:tc>
        <w:tc>
          <w:tcPr>
            <w:tcW w:w="1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31F20"/>
              </w:rPr>
              <w:t>4,942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231F20"/>
              </w:rPr>
              <w:t>1,406</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231F20"/>
              </w:rPr>
              <w:t>819</w:t>
            </w:r>
          </w:p>
        </w:tc>
      </w:tr>
      <w:tr>
        <w:trPr>
          <w:trHeight w:val="223"/>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Stock-based compensation, net of amounts capitalized</w:t>
            </w:r>
          </w:p>
        </w:tc>
        <w:tc>
          <w:tcPr>
            <w:tcW w:w="13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231F20"/>
                <w:w w:val="90"/>
              </w:rPr>
              <w:t>19,034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231F20"/>
              </w:rPr>
              <w:t>5,244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231F20"/>
              </w:rPr>
              <w:t>3,068</w:t>
            </w:r>
          </w:p>
        </w:tc>
      </w:tr>
      <w:tr>
        <w:trPr>
          <w:trHeight w:val="223"/>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231F20"/>
              </w:rPr>
              <w:t>Capitalized stock-based compensation expense</w:t>
            </w:r>
          </w:p>
        </w:tc>
        <w:tc>
          <w:tcPr>
            <w:tcW w:w="1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31F20"/>
              </w:rPr>
              <w:t>201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231F20"/>
              </w:rPr>
              <w:t>167</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231F20"/>
              </w:rPr>
              <w:t>248</w:t>
            </w:r>
          </w:p>
        </w:tc>
      </w:tr>
      <w:tr>
        <w:trPr>
          <w:trHeight w:val="223"/>
        </w:trPr>
        <w:tc>
          <w:tcPr>
            <w:tcW w:w="54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231F20"/>
              </w:rPr>
              <w:t>Total stock-based compensation expense</w:t>
            </w:r>
          </w:p>
        </w:tc>
        <w:tc>
          <w:tcPr>
            <w:tcW w:w="1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231F20"/>
                <w:w w:val="79"/>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231F20"/>
                <w:w w:val="90"/>
              </w:rPr>
              <w:t>19,235</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231F20"/>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231F20"/>
              </w:rPr>
              <w:t>5,411</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231F20"/>
                <w:w w:val="71"/>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231F20"/>
              </w:rPr>
              <w:t>3,316</w:t>
            </w:r>
          </w:p>
        </w:tc>
      </w:tr>
      <w:tr>
        <w:trPr>
          <w:trHeight w:val="20"/>
        </w:trPr>
        <w:tc>
          <w:tcPr>
            <w:tcW w:w="5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firstLine="761"/>
        <w:spacing w:after="0" w:line="293" w:lineRule="auto"/>
        <w:rPr>
          <w:sz w:val="20"/>
          <w:szCs w:val="20"/>
          <w:color w:val="auto"/>
        </w:rPr>
      </w:pPr>
      <w:r>
        <w:rPr>
          <w:rFonts w:ascii="Arial" w:cs="Arial" w:eastAsia="Arial" w:hAnsi="Arial"/>
          <w:sz w:val="16"/>
          <w:szCs w:val="16"/>
          <w:color w:val="231F20"/>
        </w:rPr>
        <w:t>Common stock purchased pursuant to an early exercise of stock options is not deemed to be outstanding for accounting purposes until those shares vest. The consideration received for an exercise of an option is considered to be a deposit of the exercise price and the related dollar amount is recorded as a liability. The shares issued upon the early exercise of these unvested stock option awards, which are reflected as exercises in the table above, are considered to be legally issued and outstanding on the date of exercise. Upon termination of service, the Company may repurchase unvested shares acquired through early exercise of stock options at a price equal to the price per share paid upon the exercise of such options. The Company has recorded liabilities related to early exercises of 1,239,750 shares of common stock and 2,095,656 shares of common stock as of December 31, 2019 and 2018,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12. Income Taxes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231F20"/>
        </w:rPr>
        <w:t>Income Taxes</w:t>
      </w:r>
      <w:r>
        <w:rPr>
          <w:rFonts w:ascii="Arial" w:cs="Arial" w:eastAsia="Arial" w:hAnsi="Arial"/>
          <w:sz w:val="18"/>
          <w:szCs w:val="18"/>
          <w:b w:val="1"/>
          <w:bCs w:val="1"/>
          <w:color w:val="231F20"/>
        </w:rPr>
        <w:t>—</w:t>
      </w:r>
      <w:r>
        <w:rPr>
          <w:rFonts w:ascii="Arial" w:cs="Arial" w:eastAsia="Arial" w:hAnsi="Arial"/>
          <w:sz w:val="18"/>
          <w:szCs w:val="18"/>
          <w:color w:val="231F20"/>
        </w:rPr>
        <w:t>For financial reporting purposes, loss before income taxes, includes the following components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231F20"/>
                <w:w w:val="98"/>
              </w:rPr>
              <w:t>December 31,</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231F20"/>
              </w:rPr>
              <w:t>2019</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231F20"/>
              </w:rPr>
              <w:t>2018</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231F20"/>
              </w:rPr>
              <w:t>2017</w:t>
            </w: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231F20"/>
              </w:rPr>
              <w:t>Domestic</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(18,330)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(11,273)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231F20"/>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(2,498)</w:t>
            </w: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231F20"/>
              </w:rPr>
              <w:t>Foreign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231F20"/>
              </w:rPr>
              <w:t>2,354</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231F20"/>
              </w:rPr>
              <w:t>1,033</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231F20"/>
              </w:rPr>
              <w:t>385</w:t>
            </w:r>
          </w:p>
        </w:tc>
      </w:tr>
      <w:tr>
        <w:trPr>
          <w:trHeight w:val="223"/>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231F20"/>
              </w:rPr>
              <w:t>Loss before income taxes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231F20"/>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rPr>
              <w:t>(15,976)</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rPr>
              <w:t>(10,240)</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231F20"/>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rPr>
              <w:t>(2,113)</w:t>
            </w: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Total income taxes allocated to operations for the years ended December 31, 2019, 2018 and 2017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231F20"/>
              </w:rPr>
              <w:t>2019</w:t>
            </w:r>
          </w:p>
        </w:tc>
        <w:tc>
          <w:tcPr>
            <w:tcW w:w="36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231F20"/>
              </w:rPr>
              <w:t>Current</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231F20"/>
              </w:rPr>
              <w:t>Deferred</w:t>
            </w: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231F20"/>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231F20"/>
              </w:rPr>
              <w:t>Federal</w:t>
            </w:r>
          </w:p>
        </w:tc>
        <w:tc>
          <w:tcPr>
            <w:tcW w:w="36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231F20"/>
                <w:w w:val="71"/>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231F20"/>
              </w:rPr>
              <w:t>State</w:t>
            </w:r>
          </w:p>
        </w:tc>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231F20"/>
              </w:rPr>
              <w:t>126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231F20"/>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231F20"/>
              </w:rPr>
              <w:t>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231F20"/>
              </w:rPr>
              <w:t>Foreign</w:t>
            </w:r>
          </w:p>
        </w:tc>
        <w:tc>
          <w:tcPr>
            <w:tcW w:w="36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967</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260"/>
              <w:spacing w:after="0"/>
              <w:rPr>
                <w:sz w:val="20"/>
                <w:szCs w:val="20"/>
                <w:color w:val="auto"/>
              </w:rPr>
            </w:pPr>
            <w:r>
              <w:rPr>
                <w:rFonts w:ascii="Arial" w:cs="Arial" w:eastAsia="Arial" w:hAnsi="Arial"/>
                <w:sz w:val="18"/>
                <w:szCs w:val="18"/>
                <w:color w:val="231F20"/>
              </w:rPr>
              <w:t>Total</w:t>
            </w:r>
          </w:p>
        </w:tc>
        <w:tc>
          <w:tcPr>
            <w:tcW w:w="36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1,093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1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231F20"/>
              </w:rPr>
              <w:t>2018</w:t>
            </w:r>
          </w:p>
        </w:tc>
        <w:tc>
          <w:tcPr>
            <w:tcW w:w="366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231F20"/>
              </w:rPr>
              <w:t>Current</w:t>
            </w:r>
          </w:p>
        </w:tc>
        <w:tc>
          <w:tcPr>
            <w:tcW w:w="14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231F20"/>
              </w:rPr>
              <w:t>Deferred</w:t>
            </w:r>
          </w:p>
        </w:tc>
        <w:tc>
          <w:tcPr>
            <w:tcW w:w="16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231F20"/>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231F20"/>
              </w:rPr>
              <w:t>Federal</w:t>
            </w:r>
          </w:p>
        </w:tc>
        <w:tc>
          <w:tcPr>
            <w:tcW w:w="36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231F20"/>
                <w:w w:val="71"/>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231F20"/>
              </w:rPr>
              <w:t>State</w:t>
            </w:r>
          </w:p>
        </w:tc>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(127)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231F20"/>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231F20"/>
              </w:rPr>
              <w:t>Foreign</w:t>
            </w:r>
          </w:p>
        </w:tc>
        <w:tc>
          <w:tcPr>
            <w:tcW w:w="36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260"/>
              <w:spacing w:after="0"/>
              <w:rPr>
                <w:sz w:val="20"/>
                <w:szCs w:val="20"/>
                <w:color w:val="auto"/>
              </w:rPr>
            </w:pPr>
            <w:r>
              <w:rPr>
                <w:rFonts w:ascii="Arial" w:cs="Arial" w:eastAsia="Arial" w:hAnsi="Arial"/>
                <w:sz w:val="18"/>
                <w:szCs w:val="18"/>
                <w:color w:val="231F20"/>
              </w:rPr>
              <w:t>Total</w:t>
            </w:r>
          </w:p>
        </w:tc>
        <w:tc>
          <w:tcPr>
            <w:tcW w:w="36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1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231F20"/>
              </w:rPr>
              <w:t>2017</w:t>
            </w:r>
          </w:p>
        </w:tc>
        <w:tc>
          <w:tcPr>
            <w:tcW w:w="366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231F20"/>
              </w:rPr>
              <w:t>Current</w:t>
            </w:r>
          </w:p>
        </w:tc>
        <w:tc>
          <w:tcPr>
            <w:tcW w:w="14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231F20"/>
              </w:rPr>
              <w:t>Deferred</w:t>
            </w:r>
          </w:p>
        </w:tc>
        <w:tc>
          <w:tcPr>
            <w:tcW w:w="16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231F20"/>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231F20"/>
              </w:rPr>
              <w:t>Federal</w:t>
            </w:r>
          </w:p>
        </w:tc>
        <w:tc>
          <w:tcPr>
            <w:tcW w:w="36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41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231F20"/>
                <w:w w:val="71"/>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231F20"/>
              </w:rPr>
              <w:t>State</w:t>
            </w:r>
          </w:p>
        </w:tc>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231F20"/>
              </w:rPr>
              <w:t>60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231F20"/>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231F20"/>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231F20"/>
              </w:rPr>
              <w:t>Foreign</w:t>
            </w:r>
          </w:p>
        </w:tc>
        <w:tc>
          <w:tcPr>
            <w:tcW w:w="36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231F20"/>
              </w:rPr>
              <w:t>477</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rPr>
              <w:t>(121)</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231F20"/>
              </w:rPr>
              <w:t>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260"/>
              <w:spacing w:after="0"/>
              <w:rPr>
                <w:sz w:val="20"/>
                <w:szCs w:val="20"/>
                <w:color w:val="auto"/>
              </w:rPr>
            </w:pPr>
            <w:r>
              <w:rPr>
                <w:rFonts w:ascii="Arial" w:cs="Arial" w:eastAsia="Arial" w:hAnsi="Arial"/>
                <w:sz w:val="18"/>
                <w:szCs w:val="18"/>
                <w:color w:val="231F20"/>
              </w:rPr>
              <w:t>Total</w:t>
            </w:r>
          </w:p>
        </w:tc>
        <w:tc>
          <w:tcPr>
            <w:tcW w:w="36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231F20"/>
                <w:w w:val="79"/>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231F20"/>
              </w:rPr>
              <w:t>578</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231F20"/>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(121)</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231F20"/>
                <w:w w:val="71"/>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231F20"/>
              </w:rPr>
              <w:t>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660" w:type="dxa"/>
            <w:vAlign w:val="bottom"/>
            <w:vMerge w:val="restart"/>
          </w:tcPr>
          <w:p>
            <w:pPr>
              <w:jc w:val="right"/>
              <w:ind w:right="890"/>
              <w:spacing w:after="0"/>
              <w:rPr>
                <w:sz w:val="20"/>
                <w:szCs w:val="20"/>
                <w:color w:val="auto"/>
              </w:rPr>
            </w:pPr>
            <w:r>
              <w:rPr>
                <w:rFonts w:ascii="Arial" w:cs="Arial" w:eastAsia="Arial" w:hAnsi="Arial"/>
                <w:sz w:val="18"/>
                <w:szCs w:val="18"/>
                <w:color w:val="auto"/>
              </w:rPr>
              <w:t>80</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1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82" w:name="page83"/>
    <w:bookmarkEnd w:id="82"/>
    <w:p>
      <w:pPr>
        <w:ind w:right="160" w:firstLine="761"/>
        <w:spacing w:after="0" w:line="286" w:lineRule="auto"/>
        <w:rPr>
          <w:sz w:val="20"/>
          <w:szCs w:val="20"/>
          <w:color w:val="auto"/>
        </w:rPr>
      </w:pPr>
      <w:r>
        <w:rPr>
          <w:rFonts w:ascii="Arial" w:cs="Arial" w:eastAsia="Arial" w:hAnsi="Arial"/>
          <w:sz w:val="17"/>
          <w:szCs w:val="17"/>
          <w:b w:val="1"/>
          <w:bCs w:val="1"/>
          <w:i w:val="1"/>
          <w:iCs w:val="1"/>
          <w:color w:val="231F20"/>
        </w:rPr>
        <w:t>Tax Rate Reconciliation</w:t>
      </w:r>
      <w:r>
        <w:rPr>
          <w:rFonts w:ascii="Arial" w:cs="Arial" w:eastAsia="Arial" w:hAnsi="Arial"/>
          <w:sz w:val="17"/>
          <w:szCs w:val="17"/>
          <w:color w:val="231F20"/>
        </w:rPr>
        <w:t>—Income tax expense was $0.7 million, $0.5 million and $0.5 million for the years ended December 31, 2019, 2018 and</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2017, respectively, and differed from the amounts computed by applying the U.S. federal statutory income tax rate of 21%, 21% and 34% for the years ended December 31, 2019, 2018 and 2017, respectively, to pretax loss from operations as a result of the following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231F20"/>
                <w:w w:val="98"/>
              </w:rPr>
              <w:t>December 31,</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231F20"/>
              </w:rPr>
              <w:t>2019</w:t>
            </w: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231F20"/>
              </w:rPr>
              <w:t>2018</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231F20"/>
              </w:rPr>
              <w:t>2017</w:t>
            </w: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231F20"/>
              </w:rPr>
              <w:t>Income tax expense at federal statutory rate</w:t>
            </w:r>
          </w:p>
        </w:tc>
        <w:tc>
          <w:tcPr>
            <w:tcW w:w="9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231F20"/>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231F20"/>
                <w:w w:val="94"/>
              </w:rPr>
              <w:t>(3,355)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(2,151)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231F20"/>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(719)</w:t>
            </w: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231F20"/>
              </w:rPr>
              <w:t>Nondeductible expenses</w:t>
            </w: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31F20"/>
                <w:w w:val="94"/>
              </w:rPr>
              <w:t>(1,049)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231F20"/>
              </w:rPr>
              <w:t>1,289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231F20"/>
              </w:rPr>
              <w:t>735</w:t>
            </w: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State taxes (net of federal benefit)</w:t>
            </w:r>
          </w:p>
        </w:tc>
        <w:tc>
          <w:tcPr>
            <w:tcW w:w="9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100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(100)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231F20"/>
              </w:rPr>
              <w:t>60</w:t>
            </w:r>
          </w:p>
        </w:tc>
      </w:tr>
      <w:tr>
        <w:trPr>
          <w:trHeight w:val="215"/>
        </w:trPr>
        <w:tc>
          <w:tcPr>
            <w:tcW w:w="5880" w:type="dxa"/>
            <w:vAlign w:val="bottom"/>
          </w:tcPr>
          <w:p>
            <w:pPr>
              <w:ind w:left="260"/>
              <w:spacing w:after="0"/>
              <w:rPr>
                <w:sz w:val="20"/>
                <w:szCs w:val="20"/>
                <w:color w:val="auto"/>
              </w:rPr>
            </w:pPr>
            <w:r>
              <w:rPr>
                <w:rFonts w:ascii="Arial" w:cs="Arial" w:eastAsia="Arial" w:hAnsi="Arial"/>
                <w:sz w:val="18"/>
                <w:szCs w:val="18"/>
                <w:color w:val="231F20"/>
              </w:rPr>
              <w:t>Impacts of United States tax reform—rate change and mandatory</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880" w:type="dxa"/>
            <w:vAlign w:val="bottom"/>
          </w:tcPr>
          <w:p>
            <w:pPr>
              <w:ind w:left="380"/>
              <w:spacing w:after="0"/>
              <w:rPr>
                <w:sz w:val="20"/>
                <w:szCs w:val="20"/>
                <w:color w:val="auto"/>
              </w:rPr>
            </w:pPr>
            <w:r>
              <w:rPr>
                <w:rFonts w:ascii="Arial" w:cs="Arial" w:eastAsia="Arial" w:hAnsi="Arial"/>
                <w:sz w:val="18"/>
                <w:szCs w:val="18"/>
                <w:color w:val="231F20"/>
              </w:rPr>
              <w:t>repatriation</w:t>
            </w: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231F20"/>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231F20"/>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231F20"/>
              </w:rPr>
              <w:t>4,353</w:t>
            </w: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Change in valuation allowance</w:t>
            </w:r>
          </w:p>
        </w:tc>
        <w:tc>
          <w:tcPr>
            <w:tcW w:w="9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5,043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231F20"/>
              </w:rPr>
              <w:t>1,052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(4,146)</w:t>
            </w: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231F20"/>
              </w:rPr>
              <w:t>Uncertain tax positions</w:t>
            </w: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231F20"/>
              </w:rPr>
              <w:t>23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231F20"/>
              </w:rPr>
              <w:t>241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231F20"/>
              </w:rPr>
              <w:t>366</w:t>
            </w: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Foreign taxes</w:t>
            </w:r>
          </w:p>
        </w:tc>
        <w:tc>
          <w:tcPr>
            <w:tcW w:w="9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92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231F20"/>
              </w:rPr>
              <w:t>191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(146)</w:t>
            </w:r>
          </w:p>
        </w:tc>
      </w:tr>
      <w:tr>
        <w:trPr>
          <w:trHeight w:val="230"/>
        </w:trPr>
        <w:tc>
          <w:tcPr>
            <w:tcW w:w="5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231F20"/>
              </w:rPr>
              <w:t>Other</w:t>
            </w:r>
          </w:p>
        </w:tc>
        <w:tc>
          <w:tcPr>
            <w:tcW w:w="9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(120)</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231F20"/>
              </w:rPr>
              <w:t>—</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(46)</w:t>
            </w:r>
          </w:p>
        </w:tc>
      </w:tr>
      <w:tr>
        <w:trPr>
          <w:trHeight w:val="223"/>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231F20"/>
              </w:rPr>
              <w:t>Total</w:t>
            </w:r>
          </w:p>
        </w:tc>
        <w:tc>
          <w:tcPr>
            <w:tcW w:w="9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Arial" w:cs="Arial" w:eastAsia="Arial" w:hAnsi="Arial"/>
                <w:sz w:val="18"/>
                <w:szCs w:val="18"/>
                <w:color w:val="231F20"/>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231F20"/>
              </w:rPr>
              <w:t>734</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231F20"/>
              </w:rPr>
              <w:t>522</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231F20"/>
                <w:w w:val="71"/>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231F20"/>
              </w:rPr>
              <w:t>457</w:t>
            </w:r>
          </w:p>
        </w:tc>
      </w:tr>
      <w:tr>
        <w:trPr>
          <w:trHeight w:val="20"/>
        </w:trPr>
        <w:tc>
          <w:tcPr>
            <w:tcW w:w="5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761"/>
        <w:spacing w:after="0" w:line="284" w:lineRule="auto"/>
        <w:rPr>
          <w:sz w:val="20"/>
          <w:szCs w:val="20"/>
          <w:color w:val="auto"/>
        </w:rPr>
      </w:pPr>
      <w:r>
        <w:rPr>
          <w:rFonts w:ascii="Arial" w:cs="Arial" w:eastAsia="Arial" w:hAnsi="Arial"/>
          <w:sz w:val="16"/>
          <w:szCs w:val="16"/>
          <w:color w:val="231F20"/>
        </w:rPr>
        <w:t>On December 22, 2017, the U.S. government enacted comprehensive tax legislation commonly referred to as the Tax Cuts and Jobs Act (the “Tax Act”). The Tax Act makes broad and complex changes to the U.S. tax code that affected the Company’s financial results for the year ended December 31, 2017, including, but not limited to: (1) requiring a one-time transition tax (payable over eight years) on certain un-repatriated earnings of foreign subsidiaries; (2) a future reduction of the U.S. federal corporate tax rate from 34% to 21% effective January 1, 2018, that reduced the current value of the Company’s deferred tax assets and liabilities; and (3) bonus depreciation that allows for full expensing of qualified property placed in service after September 27, 2017. In addition, the Tax Act establishes new tax laws that may affect the Company’s financial results for the years ending after December 31, 2017, including, but not limited to: (1) a reduction of the U.S. federal income tax rate from 34% to 21%; (2) limitation of the deduction for interest expense;</w:t>
      </w:r>
    </w:p>
    <w:p>
      <w:pPr>
        <w:spacing w:after="0" w:line="3" w:lineRule="exact"/>
        <w:rPr>
          <w:sz w:val="20"/>
          <w:szCs w:val="20"/>
          <w:color w:val="auto"/>
        </w:rPr>
      </w:pPr>
    </w:p>
    <w:p>
      <w:pPr>
        <w:ind w:right="280" w:firstLine="8"/>
        <w:spacing w:after="0" w:line="255" w:lineRule="auto"/>
        <w:tabs>
          <w:tab w:leader="none" w:pos="256"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a general elimination of U.S. federal income taxes on dividends from foreign subsidiaries; (4) a new provision designed to tax global intangible low-taxed income; (5) limitations on the deductibility of certain executive compensation; and (6) limitations on the use of Foreign Income Tax Credit to reduce the Company’s income tax liability.</w:t>
      </w:r>
    </w:p>
    <w:p>
      <w:pPr>
        <w:spacing w:after="0" w:line="190" w:lineRule="exact"/>
        <w:rPr>
          <w:sz w:val="20"/>
          <w:szCs w:val="20"/>
          <w:color w:val="auto"/>
        </w:rPr>
      </w:pPr>
    </w:p>
    <w:p>
      <w:pPr>
        <w:ind w:right="60" w:firstLine="761"/>
        <w:spacing w:after="0" w:line="273" w:lineRule="auto"/>
        <w:rPr>
          <w:sz w:val="20"/>
          <w:szCs w:val="20"/>
          <w:color w:val="auto"/>
        </w:rPr>
      </w:pPr>
      <w:r>
        <w:rPr>
          <w:rFonts w:ascii="Arial" w:cs="Arial" w:eastAsia="Arial" w:hAnsi="Arial"/>
          <w:sz w:val="17"/>
          <w:szCs w:val="17"/>
          <w:color w:val="231F20"/>
        </w:rPr>
        <w:t>Pursuant to the Staff Accounting Bulletin published by the SEC on December 22, 2017, addressing the challenges in accounting for the effects of the Tax Act in the period of enactment, companies reported provisional amounts for those specific income tax effects of the Tax Act for which the accounting was incomplete but a reasonable estimate could be determined. Those provisional amounts were subject to adjustment during a measurement period of up to one year from the enactment date (a “measurement-period adjustment”). Pursuant to this guidance, the estimated impact of the Tax Act was based on a preliminary review of the new tax law and projected future financial results and was subject to revision based upon further analysis and interpretation of the Tax Act and to the extent that actual results differed from projections available at that time.</w:t>
      </w:r>
    </w:p>
    <w:p>
      <w:pPr>
        <w:spacing w:after="0" w:line="178" w:lineRule="exact"/>
        <w:rPr>
          <w:sz w:val="20"/>
          <w:szCs w:val="20"/>
          <w:color w:val="auto"/>
        </w:rPr>
      </w:pPr>
    </w:p>
    <w:p>
      <w:pPr>
        <w:ind w:right="240" w:firstLine="761"/>
        <w:spacing w:after="0" w:line="277" w:lineRule="auto"/>
        <w:rPr>
          <w:sz w:val="20"/>
          <w:szCs w:val="20"/>
          <w:color w:val="auto"/>
        </w:rPr>
      </w:pPr>
      <w:r>
        <w:rPr>
          <w:rFonts w:ascii="Arial" w:cs="Arial" w:eastAsia="Arial" w:hAnsi="Arial"/>
          <w:sz w:val="18"/>
          <w:szCs w:val="18"/>
          <w:color w:val="231F20"/>
        </w:rPr>
        <w:t>In 2018, the Company completed its accounting with respect to the Tax Act and did not make any measurement-period adjustments to the initial tax expense of $4.0 million recorded in 2017. The accounting is summarized below:</w:t>
      </w:r>
    </w:p>
    <w:p>
      <w:pPr>
        <w:spacing w:after="0" w:line="62" w:lineRule="exact"/>
        <w:rPr>
          <w:sz w:val="20"/>
          <w:szCs w:val="20"/>
          <w:color w:val="auto"/>
        </w:rPr>
      </w:pPr>
    </w:p>
    <w:p>
      <w:pPr>
        <w:ind w:left="1140" w:right="80" w:hanging="376"/>
        <w:spacing w:after="0" w:line="297" w:lineRule="auto"/>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231F20"/>
        </w:rPr>
        <w:t>Reduction of U.S. Federal Corporate Tax Rate: The Tax Act reduced the corporate tax rate to 21%, effective January 1, 2018. Consequently, the Company recorded a decrease related to deferred tax assets and liabilities with a corresponding net adjustment to deferred income tax expense for the year ended December 31, 2017 of $4.0 million. In addition, the valuation allowance was reduced by $4.0 million, as the Company is in a full valuation allowance position for the U.S. Deferred Tax Asset position. The Company did not make any measurement-period adjustments related to this item in 2018. The Company’s accounting for this element of the Tax Act is complete.</w:t>
      </w:r>
    </w:p>
    <w:p>
      <w:pPr>
        <w:spacing w:after="0" w:line="50" w:lineRule="exact"/>
        <w:rPr>
          <w:rFonts w:ascii="Arial" w:cs="Arial" w:eastAsia="Arial" w:hAnsi="Arial"/>
          <w:sz w:val="16"/>
          <w:szCs w:val="16"/>
          <w:color w:val="auto"/>
        </w:rPr>
      </w:pPr>
    </w:p>
    <w:p>
      <w:pPr>
        <w:ind w:left="1140" w:right="160" w:hanging="376"/>
        <w:spacing w:after="0" w:line="276" w:lineRule="auto"/>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231F20"/>
        </w:rPr>
        <w:t>One-Time Mandatory Deemed Repatriation Tax: The one-time mandatory deemed repatriation tax is imposed on previously untaxed accumulated and current earnings and profits of the Company’s foreign subsidiaries. The Company was able to reasonably estimate the one-time mandatory deemed repatriation tax and recorded an initial provisional tax obligation, with a corresponding adjustment to income tax expense for the year ended December 31, 2017, which did not have a material impact. The Company did not make any measurement-period adjustments related to this item in 2018. The Company’s accounting for this element of the Tax Act is complete.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ind w:left="1140" w:right="60" w:hanging="376"/>
        <w:spacing w:after="0" w:line="259"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Valuation Allowances: The Company must assess whether its valuation allowance analyses are affected by the various aspects of the Tax Act. During 2017, the Company released $4.0 million of valuation allowance corresponding with the reduction of the associated U.S. deferred tax assets. The Company did not make any measurement-period adjustments related to this item in 2018. The Company’s accounting for this element of the Tax Act is complete.</w:t>
      </w:r>
    </w:p>
    <w:p>
      <w:pPr>
        <w:spacing w:after="0" w:line="78" w:lineRule="exact"/>
        <w:rPr>
          <w:rFonts w:ascii="Arial" w:cs="Arial" w:eastAsia="Arial" w:hAnsi="Arial"/>
          <w:sz w:val="18"/>
          <w:szCs w:val="18"/>
          <w:color w:val="auto"/>
        </w:rPr>
      </w:pPr>
    </w:p>
    <w:p>
      <w:pPr>
        <w:ind w:left="1140" w:right="540" w:hanging="376"/>
        <w:spacing w:after="0" w:line="264"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Global Intangible Low-Taxed Income (GILTI) Policy Election: The FASB allows companies to adopt an accounting policy to either recognize deferred tax for GILTI or treat such tax cost as a current period expense when incurred. The Company has adopted an accounting policy to treat taxes due on GILTI as a current period expense.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231F20"/>
        </w:rPr>
        <w:t>Components of Deferred Taxes</w:t>
      </w:r>
      <w:r>
        <w:rPr>
          <w:rFonts w:ascii="Arial" w:cs="Arial" w:eastAsia="Arial" w:hAnsi="Arial"/>
          <w:sz w:val="16"/>
          <w:szCs w:val="16"/>
          <w:color w:val="231F20"/>
        </w:rPr>
        <w:t>—The tax effects of temporary differences that give rise to the deferred tax assets and deferred tax liabilities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231F20"/>
        </w:rPr>
        <w:t>December 31, 2019 and 2018 are presented below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231F20"/>
              </w:rPr>
              <w:t>December 31,</w:t>
            </w:r>
          </w:p>
        </w:tc>
        <w:tc>
          <w:tcPr>
            <w:tcW w:w="1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25"/>
              <w:spacing w:after="0" w:line="155" w:lineRule="exact"/>
              <w:rPr>
                <w:sz w:val="20"/>
                <w:szCs w:val="20"/>
                <w:color w:val="auto"/>
              </w:rPr>
            </w:pPr>
            <w:r>
              <w:rPr>
                <w:rFonts w:ascii="Arial" w:cs="Arial" w:eastAsia="Arial" w:hAnsi="Arial"/>
                <w:sz w:val="14"/>
                <w:szCs w:val="14"/>
                <w:b w:val="1"/>
                <w:bCs w:val="1"/>
                <w:color w:val="231F20"/>
              </w:rPr>
              <w:t>2019</w:t>
            </w: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31"/>
              <w:spacing w:after="0" w:line="155" w:lineRule="exact"/>
              <w:rPr>
                <w:sz w:val="20"/>
                <w:szCs w:val="20"/>
                <w:color w:val="auto"/>
              </w:rPr>
            </w:pPr>
            <w:r>
              <w:rPr>
                <w:rFonts w:ascii="Arial" w:cs="Arial" w:eastAsia="Arial" w:hAnsi="Arial"/>
                <w:sz w:val="14"/>
                <w:szCs w:val="14"/>
                <w:b w:val="1"/>
                <w:bCs w:val="1"/>
                <w:color w:val="231F20"/>
              </w:rPr>
              <w:t>2018</w:t>
            </w: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231F20"/>
              </w:rPr>
              <w:t>Deferred tax assets:</w:t>
            </w:r>
          </w:p>
        </w:tc>
        <w:tc>
          <w:tcPr>
            <w:tcW w:w="1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231F20"/>
              </w:rPr>
              <w:t>Net operating losses (federal and state)</w:t>
            </w:r>
          </w:p>
        </w:tc>
        <w:tc>
          <w:tcPr>
            <w:tcW w:w="1120" w:type="dxa"/>
            <w:vAlign w:val="bottom"/>
          </w:tcPr>
          <w:p>
            <w:pPr>
              <w:jc w:val="right"/>
              <w:ind w:right="9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14,631</w:t>
            </w:r>
          </w:p>
        </w:tc>
        <w:tc>
          <w:tcPr>
            <w:tcW w:w="3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7,448</w:t>
            </w: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Stock-based compensation</w:t>
            </w:r>
          </w:p>
        </w:tc>
        <w:tc>
          <w:tcPr>
            <w:tcW w:w="1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231F20"/>
              </w:rPr>
              <w:t>2,085</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231F20"/>
              </w:rPr>
              <w:t>Federal withholding tax reserve</w:t>
            </w:r>
          </w:p>
        </w:tc>
        <w:tc>
          <w:tcPr>
            <w:tcW w:w="1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815</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Internal use software</w:t>
            </w:r>
          </w:p>
        </w:tc>
        <w:tc>
          <w:tcPr>
            <w:tcW w:w="1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1,746</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231F20"/>
              </w:rPr>
              <w:t>Lease liability</w:t>
            </w:r>
          </w:p>
        </w:tc>
        <w:tc>
          <w:tcPr>
            <w:tcW w:w="1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10,440</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Other</w:t>
            </w:r>
          </w:p>
        </w:tc>
        <w:tc>
          <w:tcPr>
            <w:tcW w:w="1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1,297</w:t>
            </w:r>
          </w:p>
        </w:tc>
        <w:tc>
          <w:tcPr>
            <w:tcW w:w="3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231F20"/>
              </w:rPr>
              <w:t>Total deferred tax assets</w:t>
            </w:r>
          </w:p>
        </w:tc>
        <w:tc>
          <w:tcPr>
            <w:tcW w:w="1120" w:type="dxa"/>
            <w:vAlign w:val="bottom"/>
          </w:tcPr>
          <w:p>
            <w:pPr>
              <w:jc w:val="right"/>
              <w:ind w:right="9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31,014</w:t>
            </w:r>
          </w:p>
        </w:tc>
        <w:tc>
          <w:tcPr>
            <w:tcW w:w="3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13,482</w:t>
            </w: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Less: valuation allowance</w:t>
            </w:r>
          </w:p>
        </w:tc>
        <w:tc>
          <w:tcPr>
            <w:tcW w:w="1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(15,205)</w:t>
            </w:r>
          </w:p>
        </w:tc>
        <w:tc>
          <w:tcPr>
            <w:tcW w:w="3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(9,730)</w:t>
            </w:r>
          </w:p>
        </w:tc>
        <w:tc>
          <w:tcPr>
            <w:tcW w:w="0" w:type="dxa"/>
            <w:vAlign w:val="bottom"/>
          </w:tcPr>
          <w:p>
            <w:pPr>
              <w:spacing w:after="0"/>
              <w:rPr>
                <w:sz w:val="1"/>
                <w:szCs w:val="1"/>
                <w:color w:val="auto"/>
              </w:rPr>
            </w:pPr>
          </w:p>
        </w:tc>
      </w:tr>
      <w:tr>
        <w:trPr>
          <w:trHeight w:val="263"/>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231F20"/>
              </w:rPr>
              <w:t>Net deferred tax assets</w:t>
            </w:r>
          </w:p>
        </w:tc>
        <w:tc>
          <w:tcPr>
            <w:tcW w:w="1120" w:type="dxa"/>
            <w:vAlign w:val="bottom"/>
            <w:tcBorders>
              <w:bottom w:val="single" w:sz="8" w:color="auto"/>
            </w:tcBorders>
          </w:tcPr>
          <w:p>
            <w:pPr>
              <w:jc w:val="right"/>
              <w:ind w:right="9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15,809</w:t>
            </w:r>
          </w:p>
        </w:tc>
        <w:tc>
          <w:tcPr>
            <w:tcW w:w="34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1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231F20"/>
              </w:rPr>
              <w:t>Deferred tax liabilities:</w:t>
            </w:r>
          </w:p>
        </w:tc>
        <w:tc>
          <w:tcPr>
            <w:tcW w:w="1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231F20"/>
              </w:rPr>
              <w:t>Commissions</w:t>
            </w:r>
          </w:p>
        </w:tc>
        <w:tc>
          <w:tcPr>
            <w:tcW w:w="1120" w:type="dxa"/>
            <w:vAlign w:val="bottom"/>
          </w:tcPr>
          <w:p>
            <w:pPr>
              <w:jc w:val="right"/>
              <w:ind w:right="9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(6,514)</w:t>
            </w:r>
          </w:p>
        </w:tc>
        <w:tc>
          <w:tcPr>
            <w:tcW w:w="3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Right of use asset</w:t>
            </w:r>
          </w:p>
        </w:tc>
        <w:tc>
          <w:tcPr>
            <w:tcW w:w="1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(9,210)</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231F20"/>
              </w:rPr>
              <w:t>Other</w:t>
            </w:r>
          </w:p>
        </w:tc>
        <w:tc>
          <w:tcPr>
            <w:tcW w:w="1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231F20"/>
              </w:rPr>
              <w:t>Total deferred tax liabilities</w:t>
            </w:r>
          </w:p>
        </w:tc>
        <w:tc>
          <w:tcPr>
            <w:tcW w:w="1120" w:type="dxa"/>
            <w:vAlign w:val="bottom"/>
            <w:tcBorders>
              <w:bottom w:val="single" w:sz="8" w:color="auto"/>
            </w:tcBorders>
            <w:shd w:val="clear" w:color="auto" w:fill="CFF0FC"/>
          </w:tcPr>
          <w:p>
            <w:pPr>
              <w:jc w:val="right"/>
              <w:ind w:right="9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(15,809)</w:t>
            </w:r>
          </w:p>
        </w:tc>
        <w:tc>
          <w:tcPr>
            <w:tcW w:w="3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231F20"/>
              </w:rPr>
              <w:t>Net deferred tax assets/liabilities</w:t>
            </w:r>
          </w:p>
        </w:tc>
        <w:tc>
          <w:tcPr>
            <w:tcW w:w="1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1120" w:type="dxa"/>
            <w:vAlign w:val="bottom"/>
            <w:tcBorders>
              <w:top w:val="single" w:sz="8" w:color="auto"/>
              <w:bottom w:val="single" w:sz="8" w:color="auto"/>
            </w:tcBorders>
          </w:tcPr>
          <w:p>
            <w:pPr>
              <w:jc w:val="right"/>
              <w:ind w:right="965"/>
              <w:spacing w:after="0"/>
              <w:rPr>
                <w:sz w:val="20"/>
                <w:szCs w:val="20"/>
                <w:color w:val="auto"/>
              </w:rPr>
            </w:pPr>
            <w:r>
              <w:rPr>
                <w:rFonts w:ascii="Arial" w:cs="Arial" w:eastAsia="Arial" w:hAnsi="Arial"/>
                <w:sz w:val="15"/>
                <w:szCs w:val="15"/>
                <w:color w:val="231F20"/>
                <w:w w:val="71"/>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231F20"/>
              </w:rPr>
              <w:t>—</w:t>
            </w:r>
          </w:p>
        </w:tc>
        <w:tc>
          <w:tcPr>
            <w:tcW w:w="3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231F20"/>
                <w:w w:val="7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761"/>
        <w:spacing w:after="0" w:line="286" w:lineRule="auto"/>
        <w:rPr>
          <w:sz w:val="20"/>
          <w:szCs w:val="20"/>
          <w:color w:val="auto"/>
        </w:rPr>
      </w:pPr>
      <w:r>
        <w:rPr>
          <w:rFonts w:ascii="Arial" w:cs="Arial" w:eastAsia="Arial" w:hAnsi="Arial"/>
          <w:sz w:val="16"/>
          <w:szCs w:val="16"/>
          <w:color w:val="231F20"/>
        </w:rPr>
        <w:t>The Company accounts for income taxes using an asset and liability method and deferred income tax assets and liabilities are measured using the currently enacted tax rates that apply to taxable income in effect for the years in which those tax assets and liabilities are expected to be realized or settled. The Company’s deferred tax assets and liabilities are comprised primarily of federal and state net operating loss carryforwards and basis differences for financial reporting and tax purposes of certain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Based upon the weight of all available evidence, which includes the historical operating performance and the recorded cumulative losses in prior fiscal periods, management does not believe as of December 31, 2019 and 2018 that it is more likely than not that the Company will realize its deferred tax assets. As a result, a valuation allowance of $15.2 million and $9.7 million has been provided at December 31, 2019 and 2018, respectively. The valuation allowance changed by $5.5 million and $1.2 million at December 31, 2019 and 2018, respectively. At December 31, 2019 and 2018, the Company has net operating loss carryforwards for federal tax purposes of approximately $56.6 million and $28.0 million, respectively, which is available to offset federal taxable income. The federal net operating loss carryforwards generated at December 31, 2019 and prior will begin to expire in 2031, if not utilized. Net operating losses generated at December 31, 2018 and after have an indefinite carryforward period but are subject to an 80% of taxable income limitation. The Company has approximately $42.0 million and $24.2 million of post-apportioned net operating loss carryforwards as of December 31, 2019 and 2018, respectively for various state tax purposes. The state net operating loss carryforwards will begin to expire in 2029, if not utilized.</w:t>
      </w:r>
    </w:p>
    <w:p>
      <w:pPr>
        <w:spacing w:after="0" w:line="169" w:lineRule="exact"/>
        <w:rPr>
          <w:sz w:val="20"/>
          <w:szCs w:val="20"/>
          <w:color w:val="auto"/>
        </w:rPr>
      </w:pPr>
    </w:p>
    <w:p>
      <w:pPr>
        <w:jc w:val="both"/>
        <w:ind w:right="220" w:firstLine="761"/>
        <w:spacing w:after="0" w:line="312" w:lineRule="auto"/>
        <w:rPr>
          <w:sz w:val="20"/>
          <w:szCs w:val="20"/>
          <w:color w:val="auto"/>
        </w:rPr>
      </w:pPr>
      <w:r>
        <w:rPr>
          <w:rFonts w:ascii="Arial" w:cs="Arial" w:eastAsia="Arial" w:hAnsi="Arial"/>
          <w:sz w:val="16"/>
          <w:szCs w:val="16"/>
          <w:color w:val="231F20"/>
        </w:rPr>
        <w:t>Utilization of the net operating losses may be subject to an annual limitation provided for in the Internal Revenue Code of 1986, as amended, under Section 382 and similar state codes. The Company has prepared an analysis to determine whether its net operating losses may be limited under such provisions. It has been determined that any annual limitation would not result in the expiration of net operating loss carryforwards before utilization.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4" w:name="page85"/>
    <w:bookmarkEnd w:id="84"/>
    <w:p>
      <w:pPr>
        <w:ind w:right="60" w:firstLine="761"/>
        <w:spacing w:after="0" w:line="257" w:lineRule="auto"/>
        <w:rPr>
          <w:sz w:val="20"/>
          <w:szCs w:val="20"/>
          <w:color w:val="auto"/>
        </w:rPr>
      </w:pPr>
      <w:r>
        <w:rPr>
          <w:rFonts w:ascii="Arial" w:cs="Arial" w:eastAsia="Arial" w:hAnsi="Arial"/>
          <w:sz w:val="18"/>
          <w:szCs w:val="18"/>
          <w:color w:val="231F20"/>
        </w:rPr>
        <w:t>In general, it is the practice and intention of the Company to reinvest the earnings of its non-U.S. subsidiaries in those operations. Historically, the Company has not made a provision for U.S. income tax with respect to accumulated earnings of foreign subsidiaries where the foreign investment of such earnings is essentially permanent in duration. Generally, such amounts would become subject to U.S. taxation upon the remittance of dividends and under certain other circumstances. The Company has not provided U.S. taxes on unremitted earnings of its foreign subsidiaries as it asserts permanent reinvestment on any accumulated earnings and profits.</w:t>
      </w:r>
    </w:p>
    <w:p>
      <w:pPr>
        <w:spacing w:after="0" w:line="188" w:lineRule="exact"/>
        <w:rPr>
          <w:sz w:val="20"/>
          <w:szCs w:val="20"/>
          <w:color w:val="auto"/>
        </w:rPr>
      </w:pPr>
    </w:p>
    <w:p>
      <w:pPr>
        <w:ind w:right="40" w:firstLine="761"/>
        <w:spacing w:after="0" w:line="264" w:lineRule="auto"/>
        <w:rPr>
          <w:sz w:val="20"/>
          <w:szCs w:val="20"/>
          <w:color w:val="auto"/>
        </w:rPr>
      </w:pPr>
      <w:r>
        <w:rPr>
          <w:rFonts w:ascii="Arial" w:cs="Arial" w:eastAsia="Arial" w:hAnsi="Arial"/>
          <w:sz w:val="18"/>
          <w:szCs w:val="18"/>
          <w:color w:val="231F20"/>
        </w:rPr>
        <w:t xml:space="preserve">Consistent with the provisions of ASC 740, </w:t>
      </w:r>
      <w:r>
        <w:rPr>
          <w:rFonts w:ascii="Arial" w:cs="Arial" w:eastAsia="Arial" w:hAnsi="Arial"/>
          <w:sz w:val="18"/>
          <w:szCs w:val="18"/>
          <w:i w:val="1"/>
          <w:iCs w:val="1"/>
          <w:color w:val="231F20"/>
        </w:rPr>
        <w:t>Income Taxes</w:t>
      </w:r>
      <w:r>
        <w:rPr>
          <w:rFonts w:ascii="Arial" w:cs="Arial" w:eastAsia="Arial" w:hAnsi="Arial"/>
          <w:sz w:val="18"/>
          <w:szCs w:val="18"/>
          <w:color w:val="231F20"/>
        </w:rPr>
        <w:t>,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The following table shows the changes in the gross amount of unrecognized tax benefits as of December 31, </w:t>
      </w:r>
      <w:r>
        <w:rPr>
          <w:rFonts w:ascii="Arial" w:cs="Arial" w:eastAsia="Arial" w:hAnsi="Arial"/>
          <w:sz w:val="16"/>
          <w:szCs w:val="16"/>
          <w:color w:val="231F20"/>
        </w:rPr>
        <w:t>2019, 2018 and 2017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231F20"/>
                <w:w w:val="98"/>
              </w:rPr>
              <w:t>December 31,</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548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231F20"/>
              </w:rPr>
              <w:t>2019</w:t>
            </w: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231F20"/>
              </w:rPr>
              <w:t>2018</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231F20"/>
              </w:rPr>
              <w:t>2017</w:t>
            </w: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231F20"/>
              </w:rPr>
              <w:t>Beginning balance</w:t>
            </w:r>
          </w:p>
        </w:tc>
        <w:tc>
          <w:tcPr>
            <w:tcW w:w="1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231F20"/>
                <w:w w:val="79"/>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920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231F20"/>
              </w:rPr>
              <w:t>563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231F20"/>
                <w:w w:val="71"/>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w:t>
            </w:r>
          </w:p>
        </w:tc>
      </w:tr>
      <w:tr>
        <w:trPr>
          <w:trHeight w:val="230"/>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231F20"/>
              </w:rPr>
              <w:t>Increases based on tax positions during the current period</w:t>
            </w:r>
          </w:p>
        </w:tc>
        <w:tc>
          <w:tcPr>
            <w:tcW w:w="13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31F20"/>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231F20"/>
              </w:rPr>
              <w:t>357</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231F20"/>
              </w:rPr>
              <w:t>563</w:t>
            </w:r>
          </w:p>
        </w:tc>
      </w:tr>
      <w:tr>
        <w:trPr>
          <w:trHeight w:val="223"/>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231F20"/>
              </w:rPr>
              <w:t>Ending balance</w:t>
            </w:r>
          </w:p>
        </w:tc>
        <w:tc>
          <w:tcPr>
            <w:tcW w:w="13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231F20"/>
                <w:w w:val="79"/>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231F20"/>
              </w:rPr>
              <w:t>920</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231F20"/>
              </w:rPr>
              <w:t>920</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231F20"/>
                <w:w w:val="71"/>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231F20"/>
              </w:rPr>
              <w:t>563</w:t>
            </w:r>
          </w:p>
        </w:tc>
      </w:tr>
      <w:tr>
        <w:trPr>
          <w:trHeight w:val="20"/>
        </w:trPr>
        <w:tc>
          <w:tcPr>
            <w:tcW w:w="5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firstLine="761"/>
        <w:spacing w:after="0" w:line="277" w:lineRule="auto"/>
        <w:rPr>
          <w:sz w:val="20"/>
          <w:szCs w:val="20"/>
          <w:color w:val="auto"/>
        </w:rPr>
      </w:pPr>
      <w:r>
        <w:rPr>
          <w:rFonts w:ascii="Arial" w:cs="Arial" w:eastAsia="Arial" w:hAnsi="Arial"/>
          <w:sz w:val="18"/>
          <w:szCs w:val="18"/>
          <w:color w:val="231F20"/>
        </w:rPr>
        <w:t>The total amount of unrecognized tax benefits that, if recognized would impact the effective tax rate would be $0.5 million and $0.8 million for the years ended December 31, 2019 and 2018, respectively.</w:t>
      </w:r>
    </w:p>
    <w:p>
      <w:pPr>
        <w:spacing w:after="0" w:line="170" w:lineRule="exact"/>
        <w:rPr>
          <w:sz w:val="20"/>
          <w:szCs w:val="20"/>
          <w:color w:val="auto"/>
        </w:rPr>
      </w:pPr>
    </w:p>
    <w:p>
      <w:pPr>
        <w:ind w:right="200" w:firstLine="761"/>
        <w:spacing w:after="0" w:line="264" w:lineRule="auto"/>
        <w:rPr>
          <w:sz w:val="20"/>
          <w:szCs w:val="20"/>
          <w:color w:val="auto"/>
        </w:rPr>
      </w:pPr>
      <w:r>
        <w:rPr>
          <w:rFonts w:ascii="Arial" w:cs="Arial" w:eastAsia="Arial" w:hAnsi="Arial"/>
          <w:sz w:val="18"/>
          <w:szCs w:val="18"/>
          <w:color w:val="231F20"/>
        </w:rPr>
        <w:t>The Company’s policy for classifying interest and penalties associated with unrecognized income tax benefits is to include such items in income tax expense. The total amount of interest and penalties associated with unrecognized income tax benefits is $0.4 million and $0.4 million for the years ended December 31, 2019 and 2018, respectively.</w:t>
      </w:r>
    </w:p>
    <w:p>
      <w:pPr>
        <w:spacing w:after="0" w:line="181" w:lineRule="exact"/>
        <w:rPr>
          <w:sz w:val="20"/>
          <w:szCs w:val="20"/>
          <w:color w:val="auto"/>
        </w:rPr>
      </w:pPr>
    </w:p>
    <w:p>
      <w:pPr>
        <w:ind w:right="180" w:firstLine="761"/>
        <w:spacing w:after="0" w:line="259" w:lineRule="auto"/>
        <w:rPr>
          <w:sz w:val="20"/>
          <w:szCs w:val="20"/>
          <w:color w:val="auto"/>
        </w:rPr>
      </w:pPr>
      <w:r>
        <w:rPr>
          <w:rFonts w:ascii="Arial" w:cs="Arial" w:eastAsia="Arial" w:hAnsi="Arial"/>
          <w:sz w:val="18"/>
          <w:szCs w:val="18"/>
          <w:color w:val="231F20"/>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anticipated any significant changes to unrecognized tax benefits over the next 12 months.</w:t>
      </w:r>
    </w:p>
    <w:p>
      <w:pPr>
        <w:spacing w:after="0" w:line="187" w:lineRule="exact"/>
        <w:rPr>
          <w:sz w:val="20"/>
          <w:szCs w:val="20"/>
          <w:color w:val="auto"/>
        </w:rPr>
      </w:pPr>
    </w:p>
    <w:p>
      <w:pPr>
        <w:ind w:right="60" w:firstLine="761"/>
        <w:spacing w:after="0" w:line="259" w:lineRule="auto"/>
        <w:rPr>
          <w:sz w:val="20"/>
          <w:szCs w:val="20"/>
          <w:color w:val="auto"/>
        </w:rPr>
      </w:pPr>
      <w:r>
        <w:rPr>
          <w:rFonts w:ascii="Arial" w:cs="Arial" w:eastAsia="Arial" w:hAnsi="Arial"/>
          <w:sz w:val="18"/>
          <w:szCs w:val="18"/>
          <w:color w:val="231F20"/>
        </w:rPr>
        <w:t>The Company files income tax returns in the U.S. federal jurisdiction, various state jurisdictions and in various international jurisdictions. Tax years 2014 and forward generally remain open for examination for federal and state tax purposes. The Company is currently under audit in the U.S., a major tax jurisdiction, for the 2017 tax year. To the extent utilized in future years’ tax returns, net operating loss carryforwards at December 31, 2019 and 2018 will remain subject to examination until the respective tax year is closed.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13. Net (Loss) Income Per Share</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Basic and diluted net income (loss) per common share is presented in conformity with the two-class method required for participating securities.</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the calculation of basic and diluted net (loss) income per share (in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vMerge w:val="restart"/>
          </w:tcPr>
          <w:p>
            <w:pPr>
              <w:spacing w:after="0"/>
              <w:rPr>
                <w:sz w:val="20"/>
                <w:szCs w:val="20"/>
                <w:color w:val="auto"/>
              </w:rPr>
            </w:pPr>
            <w:r>
              <w:rPr>
                <w:rFonts w:ascii="Arial" w:cs="Arial" w:eastAsia="Arial" w:hAnsi="Arial"/>
                <w:sz w:val="18"/>
                <w:szCs w:val="18"/>
                <w:color w:val="auto"/>
              </w:rPr>
              <w:t>Basic net loss per share:</w:t>
            </w: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Class A</w:t>
            </w:r>
          </w:p>
        </w:tc>
        <w:tc>
          <w:tcPr>
            <w:tcW w:w="22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Class B</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Numerator:</w:t>
            </w: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(1,149)</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(15,561)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(10,762)</w:t>
            </w:r>
          </w:p>
        </w:tc>
        <w:tc>
          <w:tcPr>
            <w:tcW w:w="14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tcPr>
          <w:p>
            <w:pPr>
              <w:ind w:left="260"/>
              <w:spacing w:after="0"/>
              <w:rPr>
                <w:sz w:val="20"/>
                <w:szCs w:val="20"/>
                <w:color w:val="auto"/>
              </w:rPr>
            </w:pPr>
            <w:r>
              <w:rPr>
                <w:rFonts w:ascii="Arial" w:cs="Arial" w:eastAsia="Arial" w:hAnsi="Arial"/>
                <w:sz w:val="18"/>
                <w:szCs w:val="18"/>
                <w:color w:val="auto"/>
              </w:rPr>
              <w:t>Weighted average shares used in calculating net</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loss per share, basic</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9,611</w:t>
            </w:r>
          </w:p>
        </w:tc>
        <w:tc>
          <w:tcPr>
            <w:tcW w:w="1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130,262</w:t>
            </w:r>
          </w:p>
        </w:tc>
        <w:tc>
          <w:tcPr>
            <w:tcW w:w="1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70,951</w:t>
            </w:r>
          </w:p>
        </w:tc>
        <w:tc>
          <w:tcPr>
            <w:tcW w:w="1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61,321</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net loss per share</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Diluted net loss per share:</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Allocation of distributed loss for basic computation</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(1,149)</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(15,561)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(10,762)</w:t>
            </w:r>
          </w:p>
        </w:tc>
        <w:tc>
          <w:tcPr>
            <w:tcW w:w="14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5"/>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Reallocation of undistributed loss as a result of</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conversion of Class B to Class A shares</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(15,561)</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Allocation of undistributed loss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(16,710)</w:t>
            </w:r>
          </w:p>
        </w:tc>
        <w:tc>
          <w:tcPr>
            <w:tcW w:w="1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(15,561)</w:t>
            </w:r>
          </w:p>
        </w:tc>
        <w:tc>
          <w:tcPr>
            <w:tcW w:w="1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(10,762)</w:t>
            </w:r>
          </w:p>
        </w:tc>
        <w:tc>
          <w:tcPr>
            <w:tcW w:w="1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Number of shares used in basic calculation</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9,611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130,262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70,951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61,321</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Weighted average effect of diluted securities: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Conversion of Class B to Class A common shares outstanding</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130,262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Number of shares used in diluted calculation</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139,873</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130,262</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70,951</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61,321</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Diluted net loss per share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761"/>
        <w:spacing w:after="0" w:line="277"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 (in thousands):</w:t>
      </w:r>
    </w:p>
    <w:p>
      <w:pPr>
        <w:spacing w:after="0" w:line="284"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6350</wp:posOffset>
            </wp:positionV>
            <wp:extent cx="2941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gridSpan w:val="2"/>
          </w:tcPr>
          <w:p>
            <w:pPr>
              <w:ind w:left="7300"/>
              <w:spacing w:after="0"/>
              <w:rPr>
                <w:sz w:val="20"/>
                <w:szCs w:val="20"/>
                <w:color w:val="auto"/>
              </w:rPr>
            </w:pPr>
            <w:r>
              <w:rPr>
                <w:rFonts w:ascii="Arial" w:cs="Arial" w:eastAsia="Arial" w:hAnsi="Arial"/>
                <w:sz w:val="14"/>
                <w:szCs w:val="14"/>
                <w:b w:val="1"/>
                <w:bCs w:val="1"/>
                <w:color w:val="auto"/>
                <w:w w:val="89"/>
              </w:rPr>
              <w:t>2019</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440" w:type="dxa"/>
            <w:vAlign w:val="bottom"/>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8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179,815</w:t>
            </w: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179,815</w:t>
            </w: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Shares subject to outstanding stock options and restricted stock units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37,032</w:t>
            </w:r>
          </w:p>
        </w:tc>
        <w:tc>
          <w:tcPr>
            <w:tcW w:w="14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38,865</w:t>
            </w:r>
          </w:p>
        </w:tc>
        <w:tc>
          <w:tcPr>
            <w:tcW w:w="16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44,877</w:t>
            </w:r>
          </w:p>
        </w:tc>
      </w:tr>
      <w:tr>
        <w:trPr>
          <w:trHeight w:val="230"/>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early exercised stock options</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2,096</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263</w:t>
            </w: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Shares subject to the 2019 ESPP Plan</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38,625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220,776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224,955</w:t>
            </w:r>
          </w:p>
        </w:tc>
      </w:tr>
      <w:tr>
        <w:trPr>
          <w:trHeight w:val="20"/>
        </w:trPr>
        <w:tc>
          <w:tcPr>
            <w:tcW w:w="6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14. Subsequent Events</w:t>
      </w:r>
    </w:p>
    <w:p>
      <w:pPr>
        <w:spacing w:after="0" w:line="256" w:lineRule="exact"/>
        <w:rPr>
          <w:sz w:val="20"/>
          <w:szCs w:val="20"/>
          <w:color w:val="auto"/>
        </w:rPr>
      </w:pPr>
    </w:p>
    <w:p>
      <w:pPr>
        <w:ind w:right="60" w:firstLine="761"/>
        <w:spacing w:after="0" w:line="277" w:lineRule="auto"/>
        <w:rPr>
          <w:sz w:val="20"/>
          <w:szCs w:val="20"/>
          <w:color w:val="auto"/>
        </w:rPr>
      </w:pPr>
      <w:r>
        <w:rPr>
          <w:rFonts w:ascii="Arial" w:cs="Arial" w:eastAsia="Arial" w:hAnsi="Arial"/>
          <w:sz w:val="18"/>
          <w:szCs w:val="18"/>
          <w:color w:val="auto"/>
        </w:rPr>
        <w:t>In January 2020, the Company entered into an agreement with Microsoft Azure to purchase an aggregate of at least $21.0 million of cloud services over the course of three years through January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40" w:firstLine="761"/>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3"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2019. Based on the evaluation of our disclosure controls and procedures as of December 31, 2019, our Chief Executive Officer and Chief Financial Officer concluded that, as of such date,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right="100" w:firstLine="761"/>
        <w:spacing w:after="0" w:line="264"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400" w:firstLine="761"/>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ended December 31, 2019 that has materially affected, or is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ind w:right="60" w:firstLine="761"/>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100" w:firstLine="761"/>
        <w:spacing w:after="0" w:line="308" w:lineRule="auto"/>
        <w:rPr>
          <w:sz w:val="20"/>
          <w:szCs w:val="20"/>
          <w:color w:val="auto"/>
        </w:rPr>
      </w:pPr>
      <w:r>
        <w:rPr>
          <w:rFonts w:ascii="Arial" w:cs="Arial" w:eastAsia="Arial" w:hAnsi="Arial"/>
          <w:sz w:val="17"/>
          <w:szCs w:val="17"/>
          <w:color w:val="auto"/>
        </w:rPr>
        <w:t>The information required by this Item (other than as set forth below) will be included in the 2020 Proxy Statement to be filed with the SEC within 120 days after the end of our fiscal year ended December 31, 2019, or the 2020 Proxy Statement, and is incorporated herein by reference.</w:t>
      </w:r>
    </w:p>
    <w:p>
      <w:pPr>
        <w:spacing w:after="0" w:line="147" w:lineRule="exact"/>
        <w:rPr>
          <w:sz w:val="20"/>
          <w:szCs w:val="20"/>
          <w:color w:val="auto"/>
        </w:rPr>
      </w:pPr>
    </w:p>
    <w:p>
      <w:pPr>
        <w:ind w:firstLine="761"/>
        <w:spacing w:after="0" w:line="255" w:lineRule="auto"/>
        <w:rPr>
          <w:sz w:val="20"/>
          <w:szCs w:val="20"/>
          <w:color w:val="auto"/>
        </w:rPr>
      </w:pPr>
      <w:r>
        <w:rPr>
          <w:rFonts w:ascii="Arial" w:cs="Arial" w:eastAsia="Arial" w:hAnsi="Arial"/>
          <w:sz w:val="18"/>
          <w:szCs w:val="18"/>
          <w:color w:val="auto"/>
        </w:rPr>
        <w:t>We have adopted a Code of Conduct that applies to all our employees, officers and directors. The Code of Conduct is available on our website at www.investors.datadoghq.com.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Nasdaq. Our website is not incorporated by reference into this Annual Report on Form 10-K, and you should not consider information on our website to be part of this Annual Report on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information required by this Item will be included in the 2020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information required by this Item will be included in the 2020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information required by this Item will be included in the 2020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information required by this Item will be included in the 2020 Proxy Statement and is incorporated herein by reference.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60" w:type="dxa"/>
            <w:vAlign w:val="bottom"/>
            <w:gridSpan w:val="6"/>
          </w:tcPr>
          <w:p>
            <w:pPr>
              <w:ind w:left="700"/>
              <w:spacing w:after="0"/>
              <w:rPr>
                <w:sz w:val="20"/>
                <w:szCs w:val="20"/>
                <w:color w:val="auto"/>
              </w:rPr>
            </w:pPr>
            <w:r>
              <w:rPr>
                <w:rFonts w:ascii="Arial" w:cs="Arial" w:eastAsia="Arial" w:hAnsi="Arial"/>
                <w:sz w:val="18"/>
                <w:szCs w:val="18"/>
                <w:b w:val="1"/>
                <w:bCs w:val="1"/>
                <w:color w:val="auto"/>
              </w:rPr>
              <w:t>PART IV</w:t>
            </w:r>
          </w:p>
        </w:tc>
        <w:tc>
          <w:tcPr>
            <w:tcW w:w="600" w:type="dxa"/>
            <w:vAlign w:val="bottom"/>
          </w:tcPr>
          <w:p>
            <w:pPr>
              <w:spacing w:after="0"/>
              <w:rPr>
                <w:sz w:val="20"/>
                <w:szCs w:val="20"/>
                <w:color w:val="auto"/>
              </w:rPr>
            </w:pPr>
          </w:p>
        </w:tc>
      </w:tr>
      <w:tr>
        <w:trPr>
          <w:trHeight w:val="432"/>
        </w:trPr>
        <w:tc>
          <w:tcPr>
            <w:tcW w:w="1082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600" w:type="dxa"/>
            <w:vAlign w:val="bottom"/>
          </w:tcPr>
          <w:p>
            <w:pPr>
              <w:spacing w:after="0"/>
              <w:rPr>
                <w:sz w:val="24"/>
                <w:szCs w:val="24"/>
                <w:color w:val="auto"/>
              </w:rPr>
            </w:pPr>
          </w:p>
        </w:tc>
      </w:tr>
      <w:tr>
        <w:trPr>
          <w:trHeight w:val="432"/>
        </w:trPr>
        <w:tc>
          <w:tcPr>
            <w:tcW w:w="10820" w:type="dxa"/>
            <w:vAlign w:val="bottom"/>
            <w:gridSpan w:val="10"/>
          </w:tcPr>
          <w:p>
            <w:pPr>
              <w:spacing w:after="0"/>
              <w:rPr>
                <w:sz w:val="20"/>
                <w:szCs w:val="20"/>
                <w:color w:val="auto"/>
              </w:rPr>
            </w:pPr>
            <w:r>
              <w:rPr>
                <w:rFonts w:ascii="Arial" w:cs="Arial" w:eastAsia="Arial" w:hAnsi="Arial"/>
                <w:sz w:val="18"/>
                <w:szCs w:val="18"/>
                <w:b w:val="1"/>
                <w:bCs w:val="1"/>
                <w:color w:val="auto"/>
              </w:rPr>
              <w:t>(a) Documents filed as part of this report</w:t>
            </w:r>
          </w:p>
        </w:tc>
        <w:tc>
          <w:tcPr>
            <w:tcW w:w="600" w:type="dxa"/>
            <w:vAlign w:val="bottom"/>
          </w:tcPr>
          <w:p>
            <w:pPr>
              <w:spacing w:after="0"/>
              <w:rPr>
                <w:sz w:val="24"/>
                <w:szCs w:val="24"/>
                <w:color w:val="auto"/>
              </w:rPr>
            </w:pPr>
          </w:p>
        </w:tc>
      </w:tr>
      <w:tr>
        <w:trPr>
          <w:trHeight w:val="432"/>
        </w:trPr>
        <w:tc>
          <w:tcPr>
            <w:tcW w:w="10820" w:type="dxa"/>
            <w:vAlign w:val="bottom"/>
            <w:gridSpan w:val="10"/>
          </w:tcPr>
          <w:p>
            <w:pPr>
              <w:spacing w:after="0"/>
              <w:rPr>
                <w:sz w:val="20"/>
                <w:szCs w:val="20"/>
                <w:color w:val="auto"/>
              </w:rPr>
            </w:pPr>
            <w:r>
              <w:rPr>
                <w:rFonts w:ascii="Arial" w:cs="Arial" w:eastAsia="Arial" w:hAnsi="Arial"/>
                <w:sz w:val="18"/>
                <w:szCs w:val="18"/>
                <w:b w:val="1"/>
                <w:bCs w:val="1"/>
                <w:color w:val="auto"/>
              </w:rPr>
              <w:t>(1) All financial statements</w:t>
            </w:r>
          </w:p>
        </w:tc>
        <w:tc>
          <w:tcPr>
            <w:tcW w:w="600" w:type="dxa"/>
            <w:vAlign w:val="bottom"/>
          </w:tcPr>
          <w:p>
            <w:pPr>
              <w:spacing w:after="0"/>
              <w:rPr>
                <w:sz w:val="24"/>
                <w:szCs w:val="24"/>
                <w:color w:val="auto"/>
              </w:rPr>
            </w:pPr>
          </w:p>
        </w:tc>
      </w:tr>
      <w:tr>
        <w:trPr>
          <w:trHeight w:val="446"/>
        </w:trPr>
        <w:tc>
          <w:tcPr>
            <w:tcW w:w="10820" w:type="dxa"/>
            <w:vAlign w:val="bottom"/>
            <w:gridSpan w:val="10"/>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69"/>
        </w:trPr>
        <w:tc>
          <w:tcPr>
            <w:tcW w:w="20" w:type="dxa"/>
            <w:vAlign w:val="bottom"/>
          </w:tcPr>
          <w:p>
            <w:pPr>
              <w:spacing w:after="0"/>
              <w:rPr>
                <w:sz w:val="14"/>
                <w:szCs w:val="14"/>
                <w:color w:val="auto"/>
              </w:rPr>
            </w:pPr>
          </w:p>
        </w:tc>
        <w:tc>
          <w:tcPr>
            <w:tcW w:w="10680" w:type="dxa"/>
            <w:vAlign w:val="bottom"/>
            <w:tcBorders>
              <w:top w:val="single" w:sz="8" w:color="auto"/>
            </w:tcBorders>
            <w:gridSpan w:val="8"/>
          </w:tcPr>
          <w:p>
            <w:pPr>
              <w:spacing w:after="0" w:line="170" w:lineRule="exact"/>
              <w:rPr>
                <w:rFonts w:ascii="Arial" w:cs="Arial" w:eastAsia="Arial" w:hAnsi="Arial"/>
                <w:sz w:val="18"/>
                <w:szCs w:val="18"/>
                <w:color w:val="0000EE"/>
              </w:rPr>
            </w:pPr>
            <w:hyperlink w:anchor="page57">
              <w:r>
                <w:rPr>
                  <w:rFonts w:ascii="Arial" w:cs="Arial" w:eastAsia="Arial" w:hAnsi="Arial"/>
                  <w:sz w:val="18"/>
                  <w:szCs w:val="18"/>
                  <w:color w:val="0000EE"/>
                </w:rPr>
                <w:t>Report of Independent Registered Public Accounting Firm</w:t>
              </w:r>
            </w:hyperlink>
          </w:p>
        </w:tc>
        <w:tc>
          <w:tcPr>
            <w:tcW w:w="120" w:type="dxa"/>
            <w:vAlign w:val="bottom"/>
          </w:tcPr>
          <w:p>
            <w:pPr>
              <w:spacing w:after="0"/>
              <w:rPr>
                <w:sz w:val="14"/>
                <w:szCs w:val="14"/>
                <w:color w:val="auto"/>
              </w:rPr>
            </w:pPr>
          </w:p>
        </w:tc>
        <w:tc>
          <w:tcPr>
            <w:tcW w:w="6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56</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Consolidated Balance Sheets as of December 31, 2019 and 2018</w:t>
              </w:r>
            </w:hyperlink>
          </w:p>
        </w:tc>
        <w:tc>
          <w:tcPr>
            <w:tcW w:w="6160" w:type="dxa"/>
            <w:vAlign w:val="bottom"/>
            <w:gridSpan w:val="6"/>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57</w:t>
            </w:r>
          </w:p>
        </w:tc>
      </w:tr>
      <w:tr>
        <w:trPr>
          <w:trHeight w:val="196"/>
        </w:trPr>
        <w:tc>
          <w:tcPr>
            <w:tcW w:w="10820" w:type="dxa"/>
            <w:vAlign w:val="bottom"/>
            <w:gridSpan w:val="1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Operations for the years ended December 31, 2019, 2018 and 2017</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58</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820" w:type="dxa"/>
            <w:vAlign w:val="bottom"/>
            <w:gridSpan w:val="1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Comprehensive Loss for the years ended December 31, 2019, 2018 and 2017</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58</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6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Consolidated Statements of Convertible Preferred Stock and Stockholders’ Equity (Deficit) for the years ended December 31, 2019, 2018 and 2017</w:t>
              </w:r>
            </w:hyperlink>
          </w:p>
        </w:tc>
        <w:tc>
          <w:tcPr>
            <w:tcW w:w="180" w:type="dxa"/>
            <w:vAlign w:val="bottom"/>
            <w:gridSpan w:val="2"/>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60</w:t>
            </w:r>
          </w:p>
        </w:tc>
      </w:tr>
      <w:tr>
        <w:trPr>
          <w:trHeight w:val="196"/>
        </w:trPr>
        <w:tc>
          <w:tcPr>
            <w:tcW w:w="69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Statements of Cash Flows for the years ended December 31, 2019, 2018 and 2017</w:t>
              </w:r>
            </w:hyperlink>
          </w:p>
        </w:tc>
        <w:tc>
          <w:tcPr>
            <w:tcW w:w="3900" w:type="dxa"/>
            <w:vAlign w:val="bottom"/>
            <w:gridSpan w:val="4"/>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61</w:t>
            </w:r>
          </w:p>
        </w:tc>
      </w:tr>
      <w:tr>
        <w:trPr>
          <w:trHeight w:val="196"/>
        </w:trPr>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Notes to Consolidated Financial Statements</w:t>
              </w:r>
            </w:hyperlink>
          </w:p>
        </w:tc>
        <w:tc>
          <w:tcPr>
            <w:tcW w:w="7660" w:type="dxa"/>
            <w:vAlign w:val="bottom"/>
            <w:gridSpan w:val="8"/>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62</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29" w:lineRule="exact"/>
        <w:rPr>
          <w:sz w:val="20"/>
          <w:szCs w:val="20"/>
          <w:color w:val="auto"/>
        </w:rPr>
      </w:pPr>
    </w:p>
    <w:p>
      <w:pPr>
        <w:ind w:right="100" w:firstLine="761"/>
        <w:spacing w:after="0" w:line="277" w:lineRule="auto"/>
        <w:rPr>
          <w:sz w:val="20"/>
          <w:szCs w:val="20"/>
          <w:color w:val="auto"/>
        </w:rPr>
      </w:pPr>
      <w:r>
        <w:rPr>
          <w:rFonts w:ascii="Arial" w:cs="Arial" w:eastAsia="Arial" w:hAnsi="Arial"/>
          <w:sz w:val="18"/>
          <w:szCs w:val="18"/>
          <w:color w:val="auto"/>
        </w:rPr>
        <w:t>All financial schedules have been omitted because the required information is either presented in the consolidated financial statements filed as part of this Annual Report on Form 10-K or the notes thereto or is not applicable or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16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00" w:type="dxa"/>
            <w:vAlign w:val="bottom"/>
            <w:gridSpan w:val="2"/>
            <w:vMerge w:val="continue"/>
          </w:tcPr>
          <w:p>
            <w:pPr>
              <w:spacing w:after="0"/>
              <w:rPr>
                <w:sz w:val="10"/>
                <w:szCs w:val="10"/>
                <w:color w:val="auto"/>
              </w:rPr>
            </w:pPr>
          </w:p>
        </w:tc>
        <w:tc>
          <w:tcPr>
            <w:tcW w:w="3860" w:type="dxa"/>
            <w:vAlign w:val="bottom"/>
            <w:gridSpan w:val="1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5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File No.</w:t>
            </w:r>
          </w:p>
        </w:tc>
        <w:tc>
          <w:tcPr>
            <w:tcW w:w="10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Exhibit</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3860" w:type="dxa"/>
            <w:vAlign w:val="bottom"/>
            <w:gridSpan w:val="18"/>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00" w:type="dxa"/>
            <w:vAlign w:val="bottom"/>
            <w:tcBorders>
              <w:top w:val="single" w:sz="8" w:color="auto"/>
            </w:tcBorders>
          </w:tcPr>
          <w:p>
            <w:pPr>
              <w:jc w:val="center"/>
              <w:ind w:left="13"/>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3700" w:type="dxa"/>
            <w:vAlign w:val="bottom"/>
            <w:tcBorders>
              <w:top w:val="single" w:sz="8" w:color="auto"/>
              <w:bottom w:val="single" w:sz="8" w:color="0000EE"/>
            </w:tcBorders>
            <w:gridSpan w:val="15"/>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Amended and Restated Certificate of Incorporation</w:t>
              </w:r>
            </w:hyperlink>
          </w:p>
        </w:tc>
        <w:tc>
          <w:tcPr>
            <w:tcW w:w="160" w:type="dxa"/>
            <w:vAlign w:val="bottom"/>
            <w:tcBorders>
              <w:top w:val="single" w:sz="8" w:color="auto"/>
            </w:tcBorders>
            <w:gridSpan w:val="3"/>
          </w:tcPr>
          <w:p>
            <w:pPr>
              <w:spacing w:after="0"/>
              <w:rPr>
                <w:sz w:val="24"/>
                <w:szCs w:val="2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001-39051</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1660" w:type="dxa"/>
            <w:vAlign w:val="bottom"/>
            <w:tcBorders>
              <w:top w:val="single" w:sz="8" w:color="auto"/>
            </w:tcBorders>
          </w:tcPr>
          <w:p>
            <w:pPr>
              <w:jc w:val="center"/>
              <w:ind w:left="11"/>
              <w:spacing w:after="0"/>
              <w:rPr>
                <w:sz w:val="20"/>
                <w:szCs w:val="20"/>
                <w:color w:val="auto"/>
              </w:rPr>
            </w:pPr>
            <w:r>
              <w:rPr>
                <w:rFonts w:ascii="Arial" w:cs="Arial" w:eastAsia="Arial" w:hAnsi="Arial"/>
                <w:sz w:val="18"/>
                <w:szCs w:val="18"/>
                <w:color w:val="auto"/>
                <w:w w:val="88"/>
              </w:rPr>
              <w:t>September 23,</w:t>
            </w: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of Datadog, Inc.</w:t>
              </w:r>
            </w:hyperlink>
          </w:p>
        </w:tc>
        <w:tc>
          <w:tcPr>
            <w:tcW w:w="2680" w:type="dxa"/>
            <w:vAlign w:val="bottom"/>
            <w:gridSpan w:val="17"/>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6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2019</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ind w:left="13"/>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3480" w:type="dxa"/>
            <w:vAlign w:val="bottom"/>
            <w:tcBorders>
              <w:bottom w:val="single" w:sz="8" w:color="0000EE"/>
            </w:tcBorders>
            <w:gridSpan w:val="13"/>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Amended and Restated Bylaws of Datadog, Inc.</w:t>
              </w:r>
            </w:hyperlink>
          </w:p>
        </w:tc>
        <w:tc>
          <w:tcPr>
            <w:tcW w:w="380" w:type="dxa"/>
            <w:vAlign w:val="bottom"/>
            <w:gridSpan w:val="5"/>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August 23, 2019</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ind w:left="13"/>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3860" w:type="dxa"/>
            <w:vAlign w:val="bottom"/>
            <w:gridSpan w:val="18"/>
          </w:tcPr>
          <w:p>
            <w:pPr>
              <w:spacing w:after="0"/>
              <w:rPr>
                <w:rFonts w:ascii="Arial" w:cs="Arial" w:eastAsia="Arial" w:hAnsi="Arial"/>
                <w:sz w:val="18"/>
                <w:szCs w:val="18"/>
                <w:color w:val="0000EE"/>
              </w:rPr>
            </w:pPr>
            <w:hyperlink r:id="rId121">
              <w:r>
                <w:rPr>
                  <w:rFonts w:ascii="Arial" w:cs="Arial" w:eastAsia="Arial" w:hAnsi="Arial"/>
                  <w:sz w:val="18"/>
                  <w:szCs w:val="18"/>
                  <w:color w:val="0000EE"/>
                </w:rPr>
                <w:t>Form of Class A Common Stock Certificate.</w:t>
              </w:r>
            </w:hyperlink>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September 9,</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60" w:type="dxa"/>
            <w:vAlign w:val="bottom"/>
          </w:tcPr>
          <w:p>
            <w:pPr>
              <w:jc w:val="center"/>
              <w:ind w:left="11"/>
              <w:spacing w:after="0"/>
              <w:rPr>
                <w:sz w:val="20"/>
                <w:szCs w:val="20"/>
                <w:color w:val="auto"/>
              </w:rPr>
            </w:pPr>
            <w:r>
              <w:rPr>
                <w:rFonts w:ascii="Arial" w:cs="Arial" w:eastAsia="Arial" w:hAnsi="Arial"/>
                <w:sz w:val="18"/>
                <w:szCs w:val="18"/>
                <w:color w:val="auto"/>
                <w:w w:val="89"/>
              </w:rPr>
              <w:t>2019</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tcPr>
          <w:p>
            <w:pPr>
              <w:jc w:val="center"/>
              <w:ind w:left="13"/>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8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93">
              <w:r>
                <w:rPr>
                  <w:rFonts w:ascii="Arial" w:cs="Arial" w:eastAsia="Arial" w:hAnsi="Arial"/>
                  <w:sz w:val="18"/>
                  <w:szCs w:val="18"/>
                  <w:color w:val="0000EE"/>
                  <w:w w:val="91"/>
                </w:rPr>
                <w:t>Description of Securities.</w:t>
              </w:r>
            </w:hyperlink>
          </w:p>
        </w:tc>
        <w:tc>
          <w:tcPr>
            <w:tcW w:w="2020" w:type="dxa"/>
            <w:vAlign w:val="bottom"/>
            <w:gridSpan w:val="15"/>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3360" w:type="dxa"/>
            <w:vAlign w:val="bottom"/>
            <w:tcBorders>
              <w:bottom w:val="single" w:sz="8" w:color="0000EE"/>
            </w:tcBorders>
            <w:gridSpan w:val="11"/>
          </w:tcPr>
          <w:p>
            <w:pPr>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Fourth Amended and Restated Investor Rights</w:t>
              </w:r>
            </w:hyperlink>
          </w:p>
        </w:tc>
        <w:tc>
          <w:tcPr>
            <w:tcW w:w="500" w:type="dxa"/>
            <w:vAlign w:val="bottom"/>
            <w:gridSpan w:val="7"/>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August 23, 2019</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60" w:type="dxa"/>
            <w:vAlign w:val="bottom"/>
            <w:gridSpan w:val="18"/>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Agreement, dated December 28, 2015.</w:t>
              </w:r>
            </w:hyperlink>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00" w:type="dxa"/>
            <w:vAlign w:val="bottom"/>
          </w:tcPr>
          <w:p>
            <w:pPr>
              <w:spacing w:after="0"/>
              <w:rPr>
                <w:sz w:val="24"/>
                <w:szCs w:val="24"/>
                <w:color w:val="auto"/>
              </w:rPr>
            </w:pPr>
          </w:p>
        </w:tc>
        <w:tc>
          <w:tcPr>
            <w:tcW w:w="3340" w:type="dxa"/>
            <w:vAlign w:val="bottom"/>
            <w:tcBorders>
              <w:bottom w:val="single" w:sz="8" w:color="0000EE"/>
            </w:tcBorders>
            <w:gridSpan w:val="10"/>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Datadog, Inc. 2012 Equity Incentive Plan, and</w:t>
              </w:r>
            </w:hyperlink>
          </w:p>
        </w:tc>
        <w:tc>
          <w:tcPr>
            <w:tcW w:w="520" w:type="dxa"/>
            <w:vAlign w:val="bottom"/>
            <w:gridSpan w:val="8"/>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August 23, 2019</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23">
              <w:r>
                <w:rPr>
                  <w:rFonts w:ascii="Arial" w:cs="Arial" w:eastAsia="Arial" w:hAnsi="Arial"/>
                  <w:sz w:val="18"/>
                  <w:szCs w:val="18"/>
                  <w:color w:val="0000EE"/>
                  <w:w w:val="87"/>
                </w:rPr>
                <w:t>terms of agreements thereunder.</w:t>
              </w:r>
            </w:hyperlink>
          </w:p>
        </w:tc>
        <w:tc>
          <w:tcPr>
            <w:tcW w:w="1540" w:type="dxa"/>
            <w:vAlign w:val="bottom"/>
            <w:gridSpan w:val="13"/>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00" w:type="dxa"/>
            <w:vAlign w:val="bottom"/>
          </w:tcPr>
          <w:p>
            <w:pPr>
              <w:spacing w:after="0"/>
              <w:rPr>
                <w:sz w:val="24"/>
                <w:szCs w:val="24"/>
                <w:color w:val="auto"/>
              </w:rPr>
            </w:pPr>
          </w:p>
        </w:tc>
        <w:tc>
          <w:tcPr>
            <w:tcW w:w="3740" w:type="dxa"/>
            <w:vAlign w:val="bottom"/>
            <w:tcBorders>
              <w:bottom w:val="single" w:sz="8" w:color="0000EE"/>
            </w:tcBorders>
            <w:gridSpan w:val="17"/>
          </w:tcPr>
          <w:p>
            <w:pPr>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Datadog, Inc. 2019 Equity Incentive Plan and terms</w:t>
              </w:r>
            </w:hyperlink>
          </w:p>
        </w:tc>
        <w:tc>
          <w:tcPr>
            <w:tcW w:w="1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September 9,</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60" w:type="dxa"/>
            <w:vAlign w:val="bottom"/>
            <w:gridSpan w:val="18"/>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of agreements thereunder.</w:t>
              </w:r>
            </w:hyperlink>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6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2019</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00" w:type="dxa"/>
            <w:vAlign w:val="bottom"/>
          </w:tcPr>
          <w:p>
            <w:pPr>
              <w:spacing w:after="0"/>
              <w:rPr>
                <w:sz w:val="24"/>
                <w:szCs w:val="24"/>
                <w:color w:val="auto"/>
              </w:rPr>
            </w:pPr>
          </w:p>
        </w:tc>
        <w:tc>
          <w:tcPr>
            <w:tcW w:w="3860" w:type="dxa"/>
            <w:vAlign w:val="bottom"/>
            <w:gridSpan w:val="18"/>
          </w:tcPr>
          <w:p>
            <w:pPr>
              <w:spacing w:after="0"/>
              <w:rPr>
                <w:rFonts w:ascii="Arial" w:cs="Arial" w:eastAsia="Arial" w:hAnsi="Arial"/>
                <w:sz w:val="18"/>
                <w:szCs w:val="18"/>
                <w:color w:val="0000EE"/>
                <w:w w:val="92"/>
              </w:rPr>
            </w:pPr>
            <w:hyperlink r:id="rId125">
              <w:r>
                <w:rPr>
                  <w:rFonts w:ascii="Arial" w:cs="Arial" w:eastAsia="Arial" w:hAnsi="Arial"/>
                  <w:sz w:val="18"/>
                  <w:szCs w:val="18"/>
                  <w:color w:val="0000EE"/>
                  <w:w w:val="92"/>
                </w:rPr>
                <w:t>Datadog, Inc. 2019 Employee Stock Purchase Plan.</w:t>
              </w:r>
            </w:hyperlink>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September 9,</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60" w:type="dxa"/>
            <w:vAlign w:val="bottom"/>
          </w:tcPr>
          <w:p>
            <w:pPr>
              <w:jc w:val="center"/>
              <w:ind w:left="11"/>
              <w:spacing w:after="0"/>
              <w:rPr>
                <w:sz w:val="20"/>
                <w:szCs w:val="20"/>
                <w:color w:val="auto"/>
              </w:rPr>
            </w:pPr>
            <w:r>
              <w:rPr>
                <w:rFonts w:ascii="Arial" w:cs="Arial" w:eastAsia="Arial" w:hAnsi="Arial"/>
                <w:sz w:val="18"/>
                <w:szCs w:val="18"/>
                <w:color w:val="auto"/>
                <w:w w:val="89"/>
              </w:rPr>
              <w:t>2019</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100" w:type="dxa"/>
            <w:vAlign w:val="bottom"/>
          </w:tcPr>
          <w:p>
            <w:pPr>
              <w:spacing w:after="0"/>
              <w:rPr>
                <w:sz w:val="24"/>
                <w:szCs w:val="24"/>
                <w:color w:val="auto"/>
              </w:rPr>
            </w:pPr>
          </w:p>
        </w:tc>
        <w:tc>
          <w:tcPr>
            <w:tcW w:w="3860" w:type="dxa"/>
            <w:vAlign w:val="bottom"/>
            <w:gridSpan w:val="18"/>
          </w:tcPr>
          <w:p>
            <w:pPr>
              <w:spacing w:after="0"/>
              <w:rPr>
                <w:rFonts w:ascii="Arial" w:cs="Arial" w:eastAsia="Arial" w:hAnsi="Arial"/>
                <w:sz w:val="18"/>
                <w:szCs w:val="18"/>
                <w:color w:val="0000EE"/>
                <w:w w:val="96"/>
              </w:rPr>
            </w:pPr>
            <w:hyperlink r:id="rId126">
              <w:r>
                <w:rPr>
                  <w:rFonts w:ascii="Arial" w:cs="Arial" w:eastAsia="Arial" w:hAnsi="Arial"/>
                  <w:sz w:val="18"/>
                  <w:szCs w:val="18"/>
                  <w:color w:val="0000EE"/>
                  <w:w w:val="96"/>
                </w:rPr>
                <w:t>Form of Indemnity Agreement entered into by and</w:t>
              </w:r>
            </w:hyperlink>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September 9,</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between Datadog, Inc. and each director and</w:t>
              </w:r>
            </w:hyperlink>
          </w:p>
        </w:tc>
        <w:tc>
          <w:tcPr>
            <w:tcW w:w="420" w:type="dxa"/>
            <w:vAlign w:val="bottom"/>
            <w:tcBorders>
              <w:top w:val="single" w:sz="8" w:color="0000EE"/>
            </w:tcBorders>
            <w:gridSpan w:val="6"/>
          </w:tcPr>
          <w:p>
            <w:pPr>
              <w:spacing w:after="0"/>
              <w:rPr>
                <w:sz w:val="17"/>
                <w:szCs w:val="17"/>
                <w:color w:val="auto"/>
              </w:rPr>
            </w:pPr>
          </w:p>
        </w:tc>
        <w:tc>
          <w:tcPr>
            <w:tcW w:w="220" w:type="dxa"/>
            <w:vAlign w:val="bottom"/>
            <w:gridSpan w:val="4"/>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6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2019</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60" w:type="dxa"/>
            <w:vAlign w:val="bottom"/>
            <w:gridSpan w:val="18"/>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executive officer.</w:t>
              </w:r>
            </w:hyperlink>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00" w:type="dxa"/>
            <w:vAlign w:val="bottom"/>
          </w:tcPr>
          <w:p>
            <w:pPr>
              <w:spacing w:after="0"/>
              <w:rPr>
                <w:sz w:val="24"/>
                <w:szCs w:val="24"/>
                <w:color w:val="auto"/>
              </w:rPr>
            </w:pPr>
          </w:p>
        </w:tc>
        <w:tc>
          <w:tcPr>
            <w:tcW w:w="3400" w:type="dxa"/>
            <w:vAlign w:val="bottom"/>
            <w:tcBorders>
              <w:bottom w:val="single" w:sz="8" w:color="0000EE"/>
            </w:tcBorders>
            <w:gridSpan w:val="12"/>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Offer Letter, by and between Datadog, Inc. and</w:t>
              </w:r>
            </w:hyperlink>
          </w:p>
        </w:tc>
        <w:tc>
          <w:tcPr>
            <w:tcW w:w="460" w:type="dxa"/>
            <w:vAlign w:val="bottom"/>
            <w:gridSpan w:val="6"/>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September 9,</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60" w:type="dxa"/>
            <w:vAlign w:val="bottom"/>
            <w:gridSpan w:val="18"/>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Olivier Pomel, dated May 20, 2011.</w:t>
              </w:r>
            </w:hyperlink>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6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2019</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87</w:t>
            </w: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9" w:name="page90"/>
    <w:bookmarkEnd w:id="89"/>
    <w:p>
      <w:pPr>
        <w:ind w:left="1100" w:right="280" w:hanging="758"/>
        <w:spacing w:after="0" w:line="308" w:lineRule="auto"/>
        <w:tabs>
          <w:tab w:leader="none" w:pos="108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hyperlink r:id="rId130">
        <w:r>
          <w:rPr>
            <w:rFonts w:ascii="Arial" w:cs="Arial" w:eastAsia="Arial" w:hAnsi="Arial"/>
            <w:sz w:val="17"/>
            <w:szCs w:val="17"/>
            <w:u w:val="single" w:color="auto"/>
            <w:color w:val="0000EE"/>
          </w:rPr>
          <w:t>Offer Letter, by and between Datadog, Inc. and</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David Obstler, dated August 28, 2018.</w:t>
        </w:r>
      </w:hyperlink>
    </w:p>
    <w:p>
      <w:pPr>
        <w:spacing w:after="0" w:line="52" w:lineRule="exact"/>
        <w:rPr>
          <w:sz w:val="20"/>
          <w:szCs w:val="20"/>
          <w:color w:val="auto"/>
        </w:rPr>
      </w:pPr>
    </w:p>
    <w:p>
      <w:pPr>
        <w:ind w:left="1100" w:right="280" w:hanging="758"/>
        <w:spacing w:after="0" w:line="308" w:lineRule="auto"/>
        <w:tabs>
          <w:tab w:leader="none" w:pos="1080" w:val="left"/>
        </w:tabs>
        <w:rPr>
          <w:rFonts w:ascii="Arial" w:cs="Arial" w:eastAsia="Arial" w:hAnsi="Arial"/>
          <w:sz w:val="17"/>
          <w:szCs w:val="17"/>
          <w:u w:val="single" w:color="auto"/>
          <w:color w:val="0000EE"/>
        </w:rPr>
      </w:pPr>
      <w:r>
        <w:rPr>
          <w:rFonts w:ascii="Arial" w:cs="Arial" w:eastAsia="Arial" w:hAnsi="Arial"/>
          <w:sz w:val="18"/>
          <w:szCs w:val="18"/>
          <w:color w:val="auto"/>
        </w:rPr>
        <w:t>10.8#</w:t>
      </w:r>
      <w:r>
        <w:rPr>
          <w:sz w:val="20"/>
          <w:szCs w:val="20"/>
          <w:color w:val="auto"/>
        </w:rPr>
        <w:tab/>
      </w:r>
      <w:hyperlink r:id="rId131">
        <w:r>
          <w:rPr>
            <w:rFonts w:ascii="Arial" w:cs="Arial" w:eastAsia="Arial" w:hAnsi="Arial"/>
            <w:sz w:val="17"/>
            <w:szCs w:val="17"/>
            <w:u w:val="single" w:color="auto"/>
            <w:color w:val="0000EE"/>
          </w:rPr>
          <w:t>Offer Letter, by and between Datadog, Inc. and</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Laszlo Kopits, dated February 27, 2017.</w:t>
        </w:r>
      </w:hyperlink>
    </w:p>
    <w:p>
      <w:pPr>
        <w:spacing w:after="0" w:line="52" w:lineRule="exact"/>
        <w:rPr>
          <w:sz w:val="20"/>
          <w:szCs w:val="20"/>
          <w:color w:val="auto"/>
        </w:rPr>
      </w:pPr>
    </w:p>
    <w:p>
      <w:pPr>
        <w:ind w:left="1100" w:hanging="757"/>
        <w:spacing w:after="0" w:line="342" w:lineRule="auto"/>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hyperlink r:id="rId132">
        <w:r>
          <w:rPr>
            <w:rFonts w:ascii="Arial" w:cs="Arial" w:eastAsia="Arial" w:hAnsi="Arial"/>
            <w:sz w:val="16"/>
            <w:szCs w:val="16"/>
            <w:u w:val="single" w:color="auto"/>
            <w:color w:val="0000EE"/>
          </w:rPr>
          <w:t>Agreement of Sub-Sub-Sublease, by and between</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Datadog, Inc. and Ideeli Inc., dated April 14, 2016.</w:t>
        </w:r>
      </w:hyperlink>
    </w:p>
    <w:p>
      <w:pPr>
        <w:spacing w:after="0" w:line="29" w:lineRule="exact"/>
        <w:rPr>
          <w:sz w:val="20"/>
          <w:szCs w:val="20"/>
          <w:color w:val="auto"/>
        </w:rPr>
      </w:pPr>
    </w:p>
    <w:p>
      <w:pPr>
        <w:ind w:left="1100" w:right="440" w:hanging="758"/>
        <w:spacing w:after="0" w:line="264"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33">
        <w:r>
          <w:rPr>
            <w:rFonts w:ascii="Arial" w:cs="Arial" w:eastAsia="Arial" w:hAnsi="Arial"/>
            <w:sz w:val="18"/>
            <w:szCs w:val="18"/>
            <w:u w:val="single" w:color="auto"/>
            <w:color w:val="0000EE"/>
          </w:rPr>
          <w:t>Agreement of Sub-Sublease, by and between</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Datadog, Inc. and BT Americas Inc., dated</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September 18,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16"/>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3"/>
              </w:rPr>
              <w:t>S-1/A</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333-233428</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480" w:type="dxa"/>
            <w:vAlign w:val="bottom"/>
          </w:tcPr>
          <w:p>
            <w:pPr>
              <w:jc w:val="center"/>
              <w:ind w:left="210"/>
              <w:spacing w:after="0"/>
              <w:rPr>
                <w:sz w:val="20"/>
                <w:szCs w:val="20"/>
                <w:color w:val="auto"/>
              </w:rPr>
            </w:pPr>
            <w:r>
              <w:rPr>
                <w:rFonts w:ascii="Arial" w:cs="Arial" w:eastAsia="Arial" w:hAnsi="Arial"/>
                <w:sz w:val="18"/>
                <w:szCs w:val="18"/>
                <w:color w:val="auto"/>
                <w:w w:val="86"/>
              </w:rPr>
              <w:t>September 9,</w:t>
            </w:r>
          </w:p>
        </w:tc>
      </w:tr>
      <w:tr>
        <w:trPr>
          <w:trHeight w:val="230"/>
        </w:trPr>
        <w:tc>
          <w:tcPr>
            <w:tcW w:w="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80" w:type="dxa"/>
            <w:vAlign w:val="bottom"/>
          </w:tcPr>
          <w:p>
            <w:pPr>
              <w:jc w:val="center"/>
              <w:ind w:left="230"/>
              <w:spacing w:after="0"/>
              <w:rPr>
                <w:sz w:val="20"/>
                <w:szCs w:val="20"/>
                <w:color w:val="auto"/>
              </w:rPr>
            </w:pPr>
            <w:r>
              <w:rPr>
                <w:rFonts w:ascii="Arial" w:cs="Arial" w:eastAsia="Arial" w:hAnsi="Arial"/>
                <w:sz w:val="18"/>
                <w:szCs w:val="18"/>
                <w:color w:val="auto"/>
                <w:w w:val="89"/>
              </w:rPr>
              <w:t>2019</w:t>
            </w:r>
          </w:p>
        </w:tc>
      </w:tr>
      <w:tr>
        <w:trPr>
          <w:trHeight w:val="323"/>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3"/>
              </w:rPr>
              <w:t>S-1/A</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333-233428</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480" w:type="dxa"/>
            <w:vAlign w:val="bottom"/>
          </w:tcPr>
          <w:p>
            <w:pPr>
              <w:jc w:val="center"/>
              <w:ind w:left="210"/>
              <w:spacing w:after="0"/>
              <w:rPr>
                <w:sz w:val="20"/>
                <w:szCs w:val="20"/>
                <w:color w:val="auto"/>
              </w:rPr>
            </w:pPr>
            <w:r>
              <w:rPr>
                <w:rFonts w:ascii="Arial" w:cs="Arial" w:eastAsia="Arial" w:hAnsi="Arial"/>
                <w:sz w:val="18"/>
                <w:szCs w:val="18"/>
                <w:color w:val="auto"/>
                <w:w w:val="86"/>
              </w:rPr>
              <w:t>September 9,</w:t>
            </w:r>
          </w:p>
        </w:tc>
      </w:tr>
      <w:tr>
        <w:trPr>
          <w:trHeight w:val="230"/>
        </w:trPr>
        <w:tc>
          <w:tcPr>
            <w:tcW w:w="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80" w:type="dxa"/>
            <w:vAlign w:val="bottom"/>
          </w:tcPr>
          <w:p>
            <w:pPr>
              <w:jc w:val="center"/>
              <w:ind w:left="230"/>
              <w:spacing w:after="0"/>
              <w:rPr>
                <w:sz w:val="20"/>
                <w:szCs w:val="20"/>
                <w:color w:val="auto"/>
              </w:rPr>
            </w:pPr>
            <w:r>
              <w:rPr>
                <w:rFonts w:ascii="Arial" w:cs="Arial" w:eastAsia="Arial" w:hAnsi="Arial"/>
                <w:sz w:val="18"/>
                <w:szCs w:val="18"/>
                <w:color w:val="auto"/>
                <w:w w:val="89"/>
              </w:rPr>
              <w:t>2019</w:t>
            </w:r>
          </w:p>
        </w:tc>
      </w:tr>
      <w:tr>
        <w:trPr>
          <w:trHeight w:val="338"/>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2"/>
              </w:rPr>
              <w:t>S-1</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333-233428</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480" w:type="dxa"/>
            <w:vAlign w:val="bottom"/>
          </w:tcPr>
          <w:p>
            <w:pPr>
              <w:jc w:val="center"/>
              <w:ind w:left="210"/>
              <w:spacing w:after="0"/>
              <w:rPr>
                <w:sz w:val="20"/>
                <w:szCs w:val="20"/>
                <w:color w:val="auto"/>
              </w:rPr>
            </w:pPr>
            <w:r>
              <w:rPr>
                <w:rFonts w:ascii="Arial" w:cs="Arial" w:eastAsia="Arial" w:hAnsi="Arial"/>
                <w:sz w:val="18"/>
                <w:szCs w:val="18"/>
                <w:color w:val="auto"/>
                <w:w w:val="89"/>
              </w:rPr>
              <w:t>August 23, 2019</w:t>
            </w:r>
          </w:p>
        </w:tc>
      </w:tr>
      <w:tr>
        <w:trPr>
          <w:trHeight w:val="554"/>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2"/>
              </w:rPr>
              <w:t>S-1</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333-233428</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480" w:type="dxa"/>
            <w:vAlign w:val="bottom"/>
          </w:tcPr>
          <w:p>
            <w:pPr>
              <w:jc w:val="center"/>
              <w:ind w:left="210"/>
              <w:spacing w:after="0"/>
              <w:rPr>
                <w:sz w:val="20"/>
                <w:szCs w:val="20"/>
                <w:color w:val="auto"/>
              </w:rPr>
            </w:pPr>
            <w:r>
              <w:rPr>
                <w:rFonts w:ascii="Arial" w:cs="Arial" w:eastAsia="Arial" w:hAnsi="Arial"/>
                <w:sz w:val="18"/>
                <w:szCs w:val="18"/>
                <w:color w:val="auto"/>
                <w:w w:val="89"/>
              </w:rPr>
              <w:t>August 23, 2019</w:t>
            </w:r>
          </w:p>
        </w:tc>
      </w:tr>
    </w:tbl>
    <w:p>
      <w:pPr>
        <w:spacing w:after="0" w:line="522" w:lineRule="exact"/>
        <w:rPr>
          <w:rFonts w:ascii="Arial" w:cs="Arial" w:eastAsia="Arial" w:hAnsi="Arial"/>
          <w:sz w:val="18"/>
          <w:szCs w:val="18"/>
          <w:u w:val="single" w:color="auto"/>
          <w:color w:val="0000EE"/>
        </w:rPr>
      </w:pPr>
    </w:p>
    <w:p>
      <w:pPr>
        <w:sectPr>
          <w:pgSz w:w="11900" w:h="16838" w:orient="portrait"/>
          <w:cols w:equalWidth="0" w:num="2">
            <w:col w:w="4780" w:space="580"/>
            <w:col w:w="6080"/>
          </w:cols>
          <w:pgMar w:left="240" w:top="463" w:right="219" w:bottom="1440" w:gutter="0" w:footer="0" w:header="0"/>
        </w:sectPr>
      </w:pPr>
    </w:p>
    <w:tbl>
      <w:tblPr>
        <w:tblLayout w:type="fixed"/>
        <w:tblInd w:w="0" w:type="dxa"/>
        <w:tblCellMar>
          <w:top w:w="0" w:type="dxa"/>
          <w:left w:w="0" w:type="dxa"/>
          <w:bottom w:w="0" w:type="dxa"/>
          <w:right w:w="0" w:type="dxa"/>
        </w:tblCellMar>
      </w:tblPr>
      <w:tr>
        <w:trPr>
          <w:trHeight w:val="207"/>
        </w:trPr>
        <w:tc>
          <w:tcPr>
            <w:tcW w:w="1100" w:type="dxa"/>
            <w:vAlign w:val="bottom"/>
          </w:tcPr>
          <w:p>
            <w:pPr>
              <w:ind w:left="340"/>
              <w:spacing w:after="0"/>
              <w:rPr>
                <w:sz w:val="20"/>
                <w:szCs w:val="20"/>
                <w:color w:val="auto"/>
              </w:rPr>
            </w:pPr>
            <w:r>
              <w:rPr>
                <w:rFonts w:ascii="Arial" w:cs="Arial" w:eastAsia="Arial" w:hAnsi="Arial"/>
                <w:sz w:val="18"/>
                <w:szCs w:val="18"/>
                <w:color w:val="auto"/>
              </w:rPr>
              <w:t>10.11</w:t>
            </w:r>
          </w:p>
        </w:tc>
        <w:tc>
          <w:tcPr>
            <w:tcW w:w="3960" w:type="dxa"/>
            <w:vAlign w:val="bottom"/>
            <w:gridSpan w:val="16"/>
          </w:tcPr>
          <w:p>
            <w:pPr>
              <w:spacing w:after="0"/>
              <w:rPr>
                <w:rFonts w:ascii="Arial" w:cs="Arial" w:eastAsia="Arial" w:hAnsi="Arial"/>
                <w:sz w:val="18"/>
                <w:szCs w:val="18"/>
                <w:color w:val="0000EE"/>
              </w:rPr>
            </w:pPr>
            <w:hyperlink r:id="rId134">
              <w:r>
                <w:rPr>
                  <w:rFonts w:ascii="Arial" w:cs="Arial" w:eastAsia="Arial" w:hAnsi="Arial"/>
                  <w:sz w:val="18"/>
                  <w:szCs w:val="18"/>
                  <w:color w:val="0000EE"/>
                </w:rPr>
                <w:t>Sublease, by and between Datadog, Inc. and</w:t>
              </w:r>
            </w:hyperlink>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333-233428</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10.11</w:t>
            </w:r>
          </w:p>
        </w:tc>
        <w:tc>
          <w:tcPr>
            <w:tcW w:w="2680" w:type="dxa"/>
            <w:vAlign w:val="bottom"/>
          </w:tcPr>
          <w:p>
            <w:pPr>
              <w:jc w:val="center"/>
              <w:ind w:right="810"/>
              <w:spacing w:after="0"/>
              <w:rPr>
                <w:sz w:val="20"/>
                <w:szCs w:val="20"/>
                <w:color w:val="auto"/>
              </w:rPr>
            </w:pPr>
            <w:r>
              <w:rPr>
                <w:rFonts w:ascii="Arial" w:cs="Arial" w:eastAsia="Arial" w:hAnsi="Arial"/>
                <w:sz w:val="18"/>
                <w:szCs w:val="18"/>
                <w:color w:val="auto"/>
                <w:w w:val="89"/>
              </w:rPr>
              <w:t>August 23, 2019</w:t>
            </w:r>
          </w:p>
        </w:tc>
      </w:tr>
      <w:tr>
        <w:trPr>
          <w:trHeight w:val="20"/>
        </w:trPr>
        <w:tc>
          <w:tcPr>
            <w:tcW w:w="1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4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Covington &amp; Burling LLP, dated July 19, 2018.</w:t>
              </w:r>
            </w:hyperlink>
          </w:p>
        </w:tc>
        <w:tc>
          <w:tcPr>
            <w:tcW w:w="520" w:type="dxa"/>
            <w:vAlign w:val="bottom"/>
            <w:gridSpan w:val="7"/>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318"/>
        </w:trPr>
        <w:tc>
          <w:tcPr>
            <w:tcW w:w="1100" w:type="dxa"/>
            <w:vAlign w:val="bottom"/>
          </w:tcPr>
          <w:p>
            <w:pPr>
              <w:ind w:left="340"/>
              <w:spacing w:after="0"/>
              <w:rPr>
                <w:sz w:val="20"/>
                <w:szCs w:val="20"/>
                <w:color w:val="auto"/>
              </w:rPr>
            </w:pPr>
            <w:r>
              <w:rPr>
                <w:rFonts w:ascii="Arial" w:cs="Arial" w:eastAsia="Arial" w:hAnsi="Arial"/>
                <w:sz w:val="18"/>
                <w:szCs w:val="18"/>
                <w:color w:val="auto"/>
              </w:rPr>
              <w:t>10.12#</w:t>
            </w:r>
          </w:p>
        </w:tc>
        <w:tc>
          <w:tcPr>
            <w:tcW w:w="3960" w:type="dxa"/>
            <w:vAlign w:val="bottom"/>
            <w:gridSpan w:val="16"/>
          </w:tcPr>
          <w:p>
            <w:pPr>
              <w:spacing w:after="0"/>
              <w:rPr>
                <w:rFonts w:ascii="Arial" w:cs="Arial" w:eastAsia="Arial" w:hAnsi="Arial"/>
                <w:sz w:val="18"/>
                <w:szCs w:val="18"/>
                <w:color w:val="0000EE"/>
              </w:rPr>
            </w:pPr>
            <w:hyperlink r:id="rId135">
              <w:r>
                <w:rPr>
                  <w:rFonts w:ascii="Arial" w:cs="Arial" w:eastAsia="Arial" w:hAnsi="Arial"/>
                  <w:sz w:val="18"/>
                  <w:szCs w:val="18"/>
                  <w:color w:val="0000EE"/>
                </w:rPr>
                <w:t>Non-Employee Director Compensation Policy.</w:t>
              </w:r>
            </w:hyperlink>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333-233428</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10.12</w:t>
            </w:r>
          </w:p>
        </w:tc>
        <w:tc>
          <w:tcPr>
            <w:tcW w:w="2680" w:type="dxa"/>
            <w:vAlign w:val="bottom"/>
          </w:tcPr>
          <w:p>
            <w:pPr>
              <w:jc w:val="center"/>
              <w:ind w:right="810"/>
              <w:spacing w:after="0"/>
              <w:rPr>
                <w:sz w:val="20"/>
                <w:szCs w:val="20"/>
                <w:color w:val="auto"/>
              </w:rPr>
            </w:pPr>
            <w:r>
              <w:rPr>
                <w:rFonts w:ascii="Arial" w:cs="Arial" w:eastAsia="Arial" w:hAnsi="Arial"/>
                <w:sz w:val="18"/>
                <w:szCs w:val="18"/>
                <w:color w:val="auto"/>
                <w:w w:val="86"/>
              </w:rPr>
              <w:t>September 9,</w:t>
            </w:r>
          </w:p>
        </w:tc>
      </w:tr>
      <w:tr>
        <w:trPr>
          <w:trHeight w:val="237"/>
        </w:trPr>
        <w:tc>
          <w:tcPr>
            <w:tcW w:w="1100" w:type="dxa"/>
            <w:vAlign w:val="bottom"/>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80" w:type="dxa"/>
            <w:vAlign w:val="bottom"/>
          </w:tcPr>
          <w:p>
            <w:pPr>
              <w:jc w:val="center"/>
              <w:ind w:right="790"/>
              <w:spacing w:after="0"/>
              <w:rPr>
                <w:sz w:val="20"/>
                <w:szCs w:val="20"/>
                <w:color w:val="auto"/>
              </w:rPr>
            </w:pPr>
            <w:r>
              <w:rPr>
                <w:rFonts w:ascii="Arial" w:cs="Arial" w:eastAsia="Arial" w:hAnsi="Arial"/>
                <w:sz w:val="18"/>
                <w:szCs w:val="18"/>
                <w:color w:val="auto"/>
                <w:w w:val="89"/>
              </w:rPr>
              <w:t>2019</w:t>
            </w:r>
          </w:p>
        </w:tc>
      </w:tr>
      <w:tr>
        <w:trPr>
          <w:trHeight w:val="297"/>
        </w:trPr>
        <w:tc>
          <w:tcPr>
            <w:tcW w:w="1100" w:type="dxa"/>
            <w:vAlign w:val="bottom"/>
          </w:tcPr>
          <w:p>
            <w:pPr>
              <w:ind w:left="340"/>
              <w:spacing w:after="0"/>
              <w:rPr>
                <w:sz w:val="20"/>
                <w:szCs w:val="20"/>
                <w:color w:val="auto"/>
              </w:rPr>
            </w:pPr>
            <w:r>
              <w:rPr>
                <w:rFonts w:ascii="Arial" w:cs="Arial" w:eastAsia="Arial" w:hAnsi="Arial"/>
                <w:sz w:val="18"/>
                <w:szCs w:val="18"/>
                <w:color w:val="auto"/>
              </w:rPr>
              <w:t>10.13#</w:t>
            </w:r>
          </w:p>
        </w:tc>
        <w:tc>
          <w:tcPr>
            <w:tcW w:w="3960" w:type="dxa"/>
            <w:vAlign w:val="bottom"/>
            <w:gridSpan w:val="16"/>
          </w:tcPr>
          <w:p>
            <w:pPr>
              <w:spacing w:after="0"/>
              <w:rPr>
                <w:rFonts w:ascii="Arial" w:cs="Arial" w:eastAsia="Arial" w:hAnsi="Arial"/>
                <w:sz w:val="18"/>
                <w:szCs w:val="18"/>
                <w:color w:val="0000EE"/>
              </w:rPr>
            </w:pPr>
            <w:hyperlink r:id="rId136">
              <w:r>
                <w:rPr>
                  <w:rFonts w:ascii="Arial" w:cs="Arial" w:eastAsia="Arial" w:hAnsi="Arial"/>
                  <w:sz w:val="18"/>
                  <w:szCs w:val="18"/>
                  <w:color w:val="0000EE"/>
                </w:rPr>
                <w:t>Form of Change of Control and Severance</w:t>
              </w:r>
            </w:hyperlink>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333-233428</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10.13</w:t>
            </w:r>
          </w:p>
        </w:tc>
        <w:tc>
          <w:tcPr>
            <w:tcW w:w="2680" w:type="dxa"/>
            <w:vAlign w:val="bottom"/>
          </w:tcPr>
          <w:p>
            <w:pPr>
              <w:jc w:val="center"/>
              <w:ind w:right="810"/>
              <w:spacing w:after="0"/>
              <w:rPr>
                <w:sz w:val="20"/>
                <w:szCs w:val="20"/>
                <w:color w:val="auto"/>
              </w:rPr>
            </w:pPr>
            <w:r>
              <w:rPr>
                <w:rFonts w:ascii="Arial" w:cs="Arial" w:eastAsia="Arial" w:hAnsi="Arial"/>
                <w:sz w:val="18"/>
                <w:szCs w:val="18"/>
                <w:color w:val="auto"/>
                <w:w w:val="86"/>
              </w:rPr>
              <w:t>September 9,</w:t>
            </w:r>
          </w:p>
        </w:tc>
      </w:tr>
      <w:tr>
        <w:trPr>
          <w:trHeight w:val="196"/>
        </w:trPr>
        <w:tc>
          <w:tcPr>
            <w:tcW w:w="1100" w:type="dxa"/>
            <w:vAlign w:val="bottom"/>
          </w:tcPr>
          <w:p>
            <w:pPr>
              <w:spacing w:after="0"/>
              <w:rPr>
                <w:sz w:val="17"/>
                <w:szCs w:val="17"/>
                <w:color w:val="auto"/>
              </w:rPr>
            </w:pPr>
          </w:p>
        </w:tc>
        <w:tc>
          <w:tcPr>
            <w:tcW w:w="30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Agreement.</w:t>
              </w:r>
            </w:hyperlink>
          </w:p>
        </w:tc>
        <w:tc>
          <w:tcPr>
            <w:tcW w:w="900" w:type="dxa"/>
            <w:vAlign w:val="bottom"/>
            <w:gridSpan w:val="10"/>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jc w:val="center"/>
              <w:ind w:right="790"/>
              <w:spacing w:after="0" w:line="196" w:lineRule="exact"/>
              <w:rPr>
                <w:sz w:val="20"/>
                <w:szCs w:val="20"/>
                <w:color w:val="auto"/>
              </w:rPr>
            </w:pPr>
            <w:r>
              <w:rPr>
                <w:rFonts w:ascii="Arial" w:cs="Arial" w:eastAsia="Arial" w:hAnsi="Arial"/>
                <w:sz w:val="18"/>
                <w:szCs w:val="18"/>
                <w:color w:val="auto"/>
                <w:w w:val="89"/>
              </w:rPr>
              <w:t>2019</w:t>
            </w:r>
          </w:p>
        </w:tc>
      </w:tr>
      <w:tr>
        <w:trPr>
          <w:trHeight w:val="20"/>
        </w:trPr>
        <w:tc>
          <w:tcPr>
            <w:tcW w:w="1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26"/>
        </w:trPr>
        <w:tc>
          <w:tcPr>
            <w:tcW w:w="1100" w:type="dxa"/>
            <w:vAlign w:val="bottom"/>
          </w:tcPr>
          <w:p>
            <w:pPr>
              <w:ind w:left="340"/>
              <w:spacing w:after="0"/>
              <w:rPr>
                <w:sz w:val="20"/>
                <w:szCs w:val="20"/>
                <w:color w:val="auto"/>
              </w:rPr>
            </w:pPr>
            <w:r>
              <w:rPr>
                <w:rFonts w:ascii="Arial" w:cs="Arial" w:eastAsia="Arial" w:hAnsi="Arial"/>
                <w:sz w:val="18"/>
                <w:szCs w:val="18"/>
                <w:color w:val="auto"/>
              </w:rPr>
              <w:t>21.1</w:t>
            </w:r>
          </w:p>
        </w:tc>
        <w:tc>
          <w:tcPr>
            <w:tcW w:w="26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97">
              <w:r>
                <w:rPr>
                  <w:rFonts w:ascii="Arial" w:cs="Arial" w:eastAsia="Arial" w:hAnsi="Arial"/>
                  <w:sz w:val="18"/>
                  <w:szCs w:val="18"/>
                  <w:color w:val="0000EE"/>
                  <w:w w:val="91"/>
                </w:rPr>
                <w:t>List of Subsidiaries of Datadog, Inc.</w:t>
              </w:r>
            </w:hyperlink>
          </w:p>
        </w:tc>
        <w:tc>
          <w:tcPr>
            <w:tcW w:w="1340" w:type="dxa"/>
            <w:vAlign w:val="bottom"/>
            <w:gridSpan w:val="11"/>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X</w:t>
            </w:r>
          </w:p>
        </w:tc>
      </w:tr>
      <w:tr>
        <w:trPr>
          <w:trHeight w:val="331"/>
        </w:trPr>
        <w:tc>
          <w:tcPr>
            <w:tcW w:w="1100" w:type="dxa"/>
            <w:vAlign w:val="bottom"/>
          </w:tcPr>
          <w:p>
            <w:pPr>
              <w:ind w:left="340"/>
              <w:spacing w:after="0"/>
              <w:rPr>
                <w:sz w:val="20"/>
                <w:szCs w:val="20"/>
                <w:color w:val="auto"/>
              </w:rPr>
            </w:pPr>
            <w:r>
              <w:rPr>
                <w:rFonts w:ascii="Arial" w:cs="Arial" w:eastAsia="Arial" w:hAnsi="Arial"/>
                <w:sz w:val="18"/>
                <w:szCs w:val="18"/>
                <w:color w:val="auto"/>
              </w:rPr>
              <w:t>23.1</w:t>
            </w:r>
          </w:p>
        </w:tc>
        <w:tc>
          <w:tcPr>
            <w:tcW w:w="35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Consent of Deloitte &amp; Touche LLP, independent</w:t>
              </w:r>
            </w:hyperlink>
          </w:p>
        </w:tc>
        <w:tc>
          <w:tcPr>
            <w:tcW w:w="460" w:type="dxa"/>
            <w:vAlign w:val="bottom"/>
            <w:gridSpan w:val="5"/>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X</w:t>
            </w:r>
          </w:p>
        </w:tc>
      </w:tr>
      <w:tr>
        <w:trPr>
          <w:trHeight w:val="196"/>
        </w:trPr>
        <w:tc>
          <w:tcPr>
            <w:tcW w:w="1100" w:type="dxa"/>
            <w:vAlign w:val="bottom"/>
          </w:tcPr>
          <w:p>
            <w:pPr>
              <w:spacing w:after="0"/>
              <w:rPr>
                <w:sz w:val="17"/>
                <w:szCs w:val="17"/>
                <w:color w:val="auto"/>
              </w:rPr>
            </w:pPr>
          </w:p>
        </w:tc>
        <w:tc>
          <w:tcPr>
            <w:tcW w:w="3960" w:type="dxa"/>
            <w:vAlign w:val="bottom"/>
            <w:gridSpan w:val="16"/>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registered public accounting firm.</w:t>
              </w:r>
            </w:hyperlink>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18"/>
        </w:trPr>
        <w:tc>
          <w:tcPr>
            <w:tcW w:w="1100" w:type="dxa"/>
            <w:vAlign w:val="bottom"/>
          </w:tcPr>
          <w:p>
            <w:pPr>
              <w:ind w:left="340"/>
              <w:spacing w:after="0"/>
              <w:rPr>
                <w:sz w:val="20"/>
                <w:szCs w:val="20"/>
                <w:color w:val="auto"/>
              </w:rPr>
            </w:pPr>
            <w:r>
              <w:rPr>
                <w:rFonts w:ascii="Arial" w:cs="Arial" w:eastAsia="Arial" w:hAnsi="Arial"/>
                <w:sz w:val="18"/>
                <w:szCs w:val="18"/>
                <w:color w:val="auto"/>
              </w:rPr>
              <w:t>24.1</w:t>
            </w:r>
          </w:p>
        </w:tc>
        <w:tc>
          <w:tcPr>
            <w:tcW w:w="3960" w:type="dxa"/>
            <w:vAlign w:val="bottom"/>
            <w:gridSpan w:val="16"/>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Power of Attorney (incorporated by reference to</w:t>
              </w:r>
            </w:hyperlink>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X</w:t>
            </w:r>
          </w:p>
        </w:tc>
      </w:tr>
      <w:tr>
        <w:trPr>
          <w:trHeight w:val="20"/>
        </w:trPr>
        <w:tc>
          <w:tcPr>
            <w:tcW w:w="1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2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6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the signature pages of this Annual Report on Form</w:t>
              </w:r>
            </w:hyperlink>
          </w:p>
        </w:tc>
        <w:tc>
          <w:tcPr>
            <w:tcW w:w="30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92">
              <w:r>
                <w:rPr>
                  <w:rFonts w:ascii="Arial" w:cs="Arial" w:eastAsia="Arial" w:hAnsi="Arial"/>
                  <w:sz w:val="18"/>
                  <w:szCs w:val="18"/>
                  <w:color w:val="0000EE"/>
                  <w:w w:val="93"/>
                </w:rPr>
                <w:t>10-K).</w:t>
              </w:r>
            </w:hyperlink>
          </w:p>
        </w:tc>
        <w:tc>
          <w:tcPr>
            <w:tcW w:w="3480" w:type="dxa"/>
            <w:vAlign w:val="bottom"/>
            <w:gridSpan w:val="15"/>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318"/>
        </w:trPr>
        <w:tc>
          <w:tcPr>
            <w:tcW w:w="1100" w:type="dxa"/>
            <w:vAlign w:val="bottom"/>
          </w:tcPr>
          <w:p>
            <w:pPr>
              <w:ind w:left="340"/>
              <w:spacing w:after="0"/>
              <w:rPr>
                <w:sz w:val="20"/>
                <w:szCs w:val="20"/>
                <w:color w:val="auto"/>
              </w:rPr>
            </w:pPr>
            <w:r>
              <w:rPr>
                <w:rFonts w:ascii="Arial" w:cs="Arial" w:eastAsia="Arial" w:hAnsi="Arial"/>
                <w:sz w:val="18"/>
                <w:szCs w:val="18"/>
                <w:color w:val="auto"/>
              </w:rPr>
              <w:t>31.1</w:t>
            </w:r>
          </w:p>
        </w:tc>
        <w:tc>
          <w:tcPr>
            <w:tcW w:w="3960" w:type="dxa"/>
            <w:vAlign w:val="bottom"/>
            <w:gridSpan w:val="16"/>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Certification of Principal Executive Officer</w:t>
              </w:r>
            </w:hyperlink>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X</w:t>
            </w:r>
          </w:p>
        </w:tc>
      </w:tr>
      <w:tr>
        <w:trPr>
          <w:trHeight w:val="20"/>
        </w:trPr>
        <w:tc>
          <w:tcPr>
            <w:tcW w:w="1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52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5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Pursuant to Rules 13a-14(a) and 15d-14(a) under</w:t>
              </w:r>
            </w:hyperlink>
          </w:p>
        </w:tc>
        <w:tc>
          <w:tcPr>
            <w:tcW w:w="420" w:type="dxa"/>
            <w:vAlign w:val="bottom"/>
            <w:gridSpan w:val="4"/>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5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the Securities Exchange Act of 1934, as Adopted</w:t>
              </w:r>
            </w:hyperlink>
          </w:p>
        </w:tc>
        <w:tc>
          <w:tcPr>
            <w:tcW w:w="400" w:type="dxa"/>
            <w:vAlign w:val="bottom"/>
            <w:gridSpan w:val="3"/>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6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Pursuant to Section 302 of the Sarbanes-Oxley Act</w:t>
              </w:r>
            </w:hyperlink>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960" w:type="dxa"/>
            <w:vAlign w:val="bottom"/>
            <w:gridSpan w:val="16"/>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of 2002.</w:t>
              </w:r>
            </w:hyperlink>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18"/>
        </w:trPr>
        <w:tc>
          <w:tcPr>
            <w:tcW w:w="1100" w:type="dxa"/>
            <w:vAlign w:val="bottom"/>
          </w:tcPr>
          <w:p>
            <w:pPr>
              <w:ind w:left="340"/>
              <w:spacing w:after="0"/>
              <w:rPr>
                <w:sz w:val="20"/>
                <w:szCs w:val="20"/>
                <w:color w:val="auto"/>
              </w:rPr>
            </w:pPr>
            <w:r>
              <w:rPr>
                <w:rFonts w:ascii="Arial" w:cs="Arial" w:eastAsia="Arial" w:hAnsi="Arial"/>
                <w:sz w:val="18"/>
                <w:szCs w:val="18"/>
                <w:color w:val="auto"/>
              </w:rPr>
              <w:t>31.2</w:t>
            </w:r>
          </w:p>
        </w:tc>
        <w:tc>
          <w:tcPr>
            <w:tcW w:w="312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00">
              <w:r>
                <w:rPr>
                  <w:rFonts w:ascii="Arial" w:cs="Arial" w:eastAsia="Arial" w:hAnsi="Arial"/>
                  <w:sz w:val="18"/>
                  <w:szCs w:val="18"/>
                  <w:color w:val="0000EE"/>
                  <w:w w:val="95"/>
                </w:rPr>
                <w:t>Certification of Principal Financial Officer</w:t>
              </w:r>
            </w:hyperlink>
          </w:p>
        </w:tc>
        <w:tc>
          <w:tcPr>
            <w:tcW w:w="840" w:type="dxa"/>
            <w:vAlign w:val="bottom"/>
            <w:gridSpan w:val="9"/>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X</w:t>
            </w:r>
          </w:p>
        </w:tc>
      </w:tr>
      <w:tr>
        <w:trPr>
          <w:trHeight w:val="196"/>
        </w:trPr>
        <w:tc>
          <w:tcPr>
            <w:tcW w:w="1100" w:type="dxa"/>
            <w:vAlign w:val="bottom"/>
          </w:tcPr>
          <w:p>
            <w:pPr>
              <w:spacing w:after="0"/>
              <w:rPr>
                <w:sz w:val="17"/>
                <w:szCs w:val="17"/>
                <w:color w:val="auto"/>
              </w:rPr>
            </w:pPr>
          </w:p>
        </w:tc>
        <w:tc>
          <w:tcPr>
            <w:tcW w:w="35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Pursuant to Rules 13a-14(a) and 15d-14(a) under</w:t>
              </w:r>
            </w:hyperlink>
          </w:p>
        </w:tc>
        <w:tc>
          <w:tcPr>
            <w:tcW w:w="420" w:type="dxa"/>
            <w:vAlign w:val="bottom"/>
            <w:gridSpan w:val="4"/>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5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the Securities Exchange Act of 1934, as Adopted</w:t>
              </w:r>
            </w:hyperlink>
          </w:p>
        </w:tc>
        <w:tc>
          <w:tcPr>
            <w:tcW w:w="400" w:type="dxa"/>
            <w:vAlign w:val="bottom"/>
            <w:gridSpan w:val="3"/>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6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Pursuant to Section 302 of the Sarbanes-Oxley Act</w:t>
              </w:r>
            </w:hyperlink>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960" w:type="dxa"/>
            <w:vAlign w:val="bottom"/>
            <w:gridSpan w:val="16"/>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of 2002.</w:t>
              </w:r>
            </w:hyperlink>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18"/>
        </w:trPr>
        <w:tc>
          <w:tcPr>
            <w:tcW w:w="1100" w:type="dxa"/>
            <w:vAlign w:val="bottom"/>
          </w:tcPr>
          <w:p>
            <w:pPr>
              <w:ind w:left="340"/>
              <w:spacing w:after="0"/>
              <w:rPr>
                <w:sz w:val="20"/>
                <w:szCs w:val="20"/>
                <w:color w:val="auto"/>
              </w:rPr>
            </w:pPr>
            <w:r>
              <w:rPr>
                <w:rFonts w:ascii="Arial" w:cs="Arial" w:eastAsia="Arial" w:hAnsi="Arial"/>
                <w:sz w:val="18"/>
                <w:szCs w:val="18"/>
                <w:color w:val="auto"/>
              </w:rPr>
              <w:t>32.1*</w:t>
            </w:r>
          </w:p>
        </w:tc>
        <w:tc>
          <w:tcPr>
            <w:tcW w:w="3960" w:type="dxa"/>
            <w:vAlign w:val="bottom"/>
            <w:gridSpan w:val="1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Certification of Principal Executive Officer</w:t>
              </w:r>
            </w:hyperlink>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X</w:t>
            </w:r>
          </w:p>
        </w:tc>
      </w:tr>
      <w:tr>
        <w:trPr>
          <w:trHeight w:val="20"/>
        </w:trPr>
        <w:tc>
          <w:tcPr>
            <w:tcW w:w="1100" w:type="dxa"/>
            <w:vAlign w:val="bottom"/>
          </w:tcPr>
          <w:p>
            <w:pPr>
              <w:spacing w:after="0" w:line="20" w:lineRule="exact"/>
              <w:rPr>
                <w:sz w:val="1"/>
                <w:szCs w:val="1"/>
                <w:color w:val="auto"/>
              </w:rPr>
            </w:pPr>
          </w:p>
        </w:tc>
        <w:tc>
          <w:tcPr>
            <w:tcW w:w="312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960" w:type="dxa"/>
            <w:vAlign w:val="bottom"/>
            <w:gridSpan w:val="1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Pursuant to 18 U.S.C. Section 1350, as Adopted</w:t>
              </w:r>
            </w:hyperlink>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12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6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Pursuant to Section 906 of the Sarbanes-Oxley Act</w:t>
              </w:r>
            </w:hyperlink>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960" w:type="dxa"/>
            <w:vAlign w:val="bottom"/>
            <w:gridSpan w:val="1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of 2002.</w:t>
              </w:r>
            </w:hyperlink>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18"/>
        </w:trPr>
        <w:tc>
          <w:tcPr>
            <w:tcW w:w="1100" w:type="dxa"/>
            <w:vAlign w:val="bottom"/>
          </w:tcPr>
          <w:p>
            <w:pPr>
              <w:ind w:left="340"/>
              <w:spacing w:after="0"/>
              <w:rPr>
                <w:sz w:val="20"/>
                <w:szCs w:val="20"/>
                <w:color w:val="auto"/>
              </w:rPr>
            </w:pPr>
            <w:r>
              <w:rPr>
                <w:rFonts w:ascii="Arial" w:cs="Arial" w:eastAsia="Arial" w:hAnsi="Arial"/>
                <w:sz w:val="18"/>
                <w:szCs w:val="18"/>
                <w:color w:val="auto"/>
              </w:rPr>
              <w:t>32.2*</w:t>
            </w:r>
          </w:p>
        </w:tc>
        <w:tc>
          <w:tcPr>
            <w:tcW w:w="312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02">
              <w:r>
                <w:rPr>
                  <w:rFonts w:ascii="Arial" w:cs="Arial" w:eastAsia="Arial" w:hAnsi="Arial"/>
                  <w:sz w:val="18"/>
                  <w:szCs w:val="18"/>
                  <w:color w:val="0000EE"/>
                  <w:w w:val="95"/>
                </w:rPr>
                <w:t>Certification of Principal Financial Officer</w:t>
              </w:r>
            </w:hyperlink>
          </w:p>
        </w:tc>
        <w:tc>
          <w:tcPr>
            <w:tcW w:w="840" w:type="dxa"/>
            <w:vAlign w:val="bottom"/>
            <w:gridSpan w:val="9"/>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X</w:t>
            </w:r>
          </w:p>
        </w:tc>
      </w:tr>
      <w:tr>
        <w:trPr>
          <w:trHeight w:val="196"/>
        </w:trPr>
        <w:tc>
          <w:tcPr>
            <w:tcW w:w="1100" w:type="dxa"/>
            <w:vAlign w:val="bottom"/>
          </w:tcPr>
          <w:p>
            <w:pPr>
              <w:spacing w:after="0"/>
              <w:rPr>
                <w:sz w:val="17"/>
                <w:szCs w:val="17"/>
                <w:color w:val="auto"/>
              </w:rPr>
            </w:pPr>
          </w:p>
        </w:tc>
        <w:tc>
          <w:tcPr>
            <w:tcW w:w="3960" w:type="dxa"/>
            <w:vAlign w:val="bottom"/>
            <w:gridSpan w:val="1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Pursuant to 18 U.S.C. Section 1350, as Adopted</w:t>
              </w:r>
            </w:hyperlink>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460" w:type="dxa"/>
            <w:vAlign w:val="bottom"/>
            <w:gridSpan w:val="10"/>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6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Pursuant to Section 906 of the Sarbanes-Oxley Act</w:t>
              </w:r>
            </w:hyperlink>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960" w:type="dxa"/>
            <w:vAlign w:val="bottom"/>
            <w:gridSpan w:val="1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of 2002.</w:t>
              </w:r>
            </w:hyperlink>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360" w:type="dxa"/>
            <w:vAlign w:val="bottom"/>
            <w:gridSpan w:val="1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58"/>
        </w:trPr>
        <w:tc>
          <w:tcPr>
            <w:tcW w:w="1100" w:type="dxa"/>
            <w:vAlign w:val="bottom"/>
          </w:tcPr>
          <w:p>
            <w:pPr>
              <w:ind w:left="200"/>
              <w:spacing w:after="0"/>
              <w:rPr>
                <w:sz w:val="20"/>
                <w:szCs w:val="20"/>
                <w:color w:val="auto"/>
              </w:rPr>
            </w:pPr>
            <w:r>
              <w:rPr>
                <w:rFonts w:ascii="Arial" w:cs="Arial" w:eastAsia="Arial" w:hAnsi="Arial"/>
                <w:sz w:val="18"/>
                <w:szCs w:val="18"/>
                <w:color w:val="auto"/>
              </w:rPr>
              <w:t>101.INS</w:t>
            </w:r>
          </w:p>
        </w:tc>
        <w:tc>
          <w:tcPr>
            <w:tcW w:w="396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X</w:t>
            </w:r>
          </w:p>
        </w:tc>
      </w:tr>
      <w:tr>
        <w:trPr>
          <w:trHeight w:val="338"/>
        </w:trPr>
        <w:tc>
          <w:tcPr>
            <w:tcW w:w="1100" w:type="dxa"/>
            <w:vAlign w:val="bottom"/>
          </w:tcPr>
          <w:p>
            <w:pPr>
              <w:ind w:left="160"/>
              <w:spacing w:after="0"/>
              <w:rPr>
                <w:sz w:val="20"/>
                <w:szCs w:val="20"/>
                <w:color w:val="auto"/>
              </w:rPr>
            </w:pPr>
            <w:r>
              <w:rPr>
                <w:rFonts w:ascii="Arial" w:cs="Arial" w:eastAsia="Arial" w:hAnsi="Arial"/>
                <w:sz w:val="18"/>
                <w:szCs w:val="18"/>
                <w:color w:val="auto"/>
              </w:rPr>
              <w:t>101.SCH</w:t>
            </w:r>
          </w:p>
        </w:tc>
        <w:tc>
          <w:tcPr>
            <w:tcW w:w="396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X</w:t>
            </w:r>
          </w:p>
        </w:tc>
      </w:tr>
      <w:tr>
        <w:trPr>
          <w:trHeight w:val="432"/>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88</w:t>
            </w: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type w:val="continuous"/>
        </w:sectPr>
      </w:pPr>
    </w:p>
    <w:bookmarkStart w:id="90" w:name="page91"/>
    <w:bookmarkEnd w:id="90"/>
    <w:tbl>
      <w:tblPr>
        <w:tblLayout w:type="fixed"/>
        <w:tblInd w:w="16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684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w:t>
            </w:r>
          </w:p>
        </w:tc>
        <w:tc>
          <w:tcPr>
            <w:tcW w:w="3160" w:type="dxa"/>
            <w:vAlign w:val="bottom"/>
          </w:tcPr>
          <w:p>
            <w:pPr>
              <w:ind w:left="3020"/>
              <w:spacing w:after="0"/>
              <w:rPr>
                <w:sz w:val="20"/>
                <w:szCs w:val="20"/>
                <w:color w:val="auto"/>
              </w:rPr>
            </w:pPr>
            <w:r>
              <w:rPr>
                <w:rFonts w:ascii="Arial" w:cs="Arial" w:eastAsia="Arial" w:hAnsi="Arial"/>
                <w:sz w:val="18"/>
                <w:szCs w:val="18"/>
                <w:color w:val="auto"/>
                <w:w w:val="99"/>
              </w:rPr>
              <w:t>X</w:t>
            </w:r>
          </w:p>
        </w:tc>
      </w:tr>
      <w:tr>
        <w:trPr>
          <w:trHeight w:val="230"/>
        </w:trPr>
        <w:tc>
          <w:tcPr>
            <w:tcW w:w="820" w:type="dxa"/>
            <w:vAlign w:val="bottom"/>
          </w:tcPr>
          <w:p>
            <w:pPr>
              <w:spacing w:after="0"/>
              <w:rPr>
                <w:sz w:val="20"/>
                <w:szCs w:val="20"/>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Document</w:t>
            </w:r>
          </w:p>
        </w:tc>
        <w:tc>
          <w:tcPr>
            <w:tcW w:w="3160" w:type="dxa"/>
            <w:vAlign w:val="bottom"/>
          </w:tcPr>
          <w:p>
            <w:pPr>
              <w:spacing w:after="0"/>
              <w:rPr>
                <w:sz w:val="20"/>
                <w:szCs w:val="20"/>
                <w:color w:val="auto"/>
              </w:rPr>
            </w:pPr>
          </w:p>
        </w:tc>
      </w:tr>
      <w:tr>
        <w:trPr>
          <w:trHeight w:val="323"/>
        </w:trPr>
        <w:tc>
          <w:tcPr>
            <w:tcW w:w="820" w:type="dxa"/>
            <w:vAlign w:val="bottom"/>
          </w:tcPr>
          <w:p>
            <w:pPr>
              <w:ind w:left="20"/>
              <w:spacing w:after="0"/>
              <w:rPr>
                <w:sz w:val="20"/>
                <w:szCs w:val="20"/>
                <w:color w:val="auto"/>
              </w:rPr>
            </w:pPr>
            <w:r>
              <w:rPr>
                <w:rFonts w:ascii="Arial" w:cs="Arial" w:eastAsia="Arial" w:hAnsi="Arial"/>
                <w:sz w:val="18"/>
                <w:szCs w:val="18"/>
                <w:color w:val="auto"/>
              </w:rPr>
              <w:t>101.DEF</w:t>
            </w:r>
          </w:p>
        </w:tc>
        <w:tc>
          <w:tcPr>
            <w:tcW w:w="684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w:t>
            </w:r>
          </w:p>
        </w:tc>
        <w:tc>
          <w:tcPr>
            <w:tcW w:w="3160" w:type="dxa"/>
            <w:vAlign w:val="bottom"/>
          </w:tcPr>
          <w:p>
            <w:pPr>
              <w:ind w:left="3020"/>
              <w:spacing w:after="0"/>
              <w:rPr>
                <w:sz w:val="20"/>
                <w:szCs w:val="20"/>
                <w:color w:val="auto"/>
              </w:rPr>
            </w:pPr>
            <w:r>
              <w:rPr>
                <w:rFonts w:ascii="Arial" w:cs="Arial" w:eastAsia="Arial" w:hAnsi="Arial"/>
                <w:sz w:val="18"/>
                <w:szCs w:val="18"/>
                <w:color w:val="auto"/>
                <w:w w:val="99"/>
              </w:rPr>
              <w:t>X</w:t>
            </w:r>
          </w:p>
        </w:tc>
      </w:tr>
      <w:tr>
        <w:trPr>
          <w:trHeight w:val="230"/>
        </w:trPr>
        <w:tc>
          <w:tcPr>
            <w:tcW w:w="820" w:type="dxa"/>
            <w:vAlign w:val="bottom"/>
          </w:tcPr>
          <w:p>
            <w:pPr>
              <w:spacing w:after="0"/>
              <w:rPr>
                <w:sz w:val="20"/>
                <w:szCs w:val="20"/>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Document</w:t>
            </w:r>
          </w:p>
        </w:tc>
        <w:tc>
          <w:tcPr>
            <w:tcW w:w="3160" w:type="dxa"/>
            <w:vAlign w:val="bottom"/>
          </w:tcPr>
          <w:p>
            <w:pPr>
              <w:spacing w:after="0"/>
              <w:rPr>
                <w:sz w:val="20"/>
                <w:szCs w:val="20"/>
                <w:color w:val="auto"/>
              </w:rPr>
            </w:pPr>
          </w:p>
        </w:tc>
      </w:tr>
      <w:tr>
        <w:trPr>
          <w:trHeight w:val="323"/>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6840" w:type="dxa"/>
            <w:vAlign w:val="bottom"/>
          </w:tcPr>
          <w:p>
            <w:pPr>
              <w:ind w:left="120"/>
              <w:spacing w:after="0"/>
              <w:rPr>
                <w:sz w:val="20"/>
                <w:szCs w:val="20"/>
                <w:color w:val="auto"/>
              </w:rPr>
            </w:pPr>
            <w:r>
              <w:rPr>
                <w:rFonts w:ascii="Arial" w:cs="Arial" w:eastAsia="Arial" w:hAnsi="Arial"/>
                <w:sz w:val="18"/>
                <w:szCs w:val="18"/>
                <w:color w:val="auto"/>
              </w:rPr>
              <w:t>XBRL Taxonomy Extension Label Linkbase</w:t>
            </w:r>
          </w:p>
        </w:tc>
        <w:tc>
          <w:tcPr>
            <w:tcW w:w="3160" w:type="dxa"/>
            <w:vAlign w:val="bottom"/>
          </w:tcPr>
          <w:p>
            <w:pPr>
              <w:ind w:left="3020"/>
              <w:spacing w:after="0"/>
              <w:rPr>
                <w:sz w:val="20"/>
                <w:szCs w:val="20"/>
                <w:color w:val="auto"/>
              </w:rPr>
            </w:pPr>
            <w:r>
              <w:rPr>
                <w:rFonts w:ascii="Arial" w:cs="Arial" w:eastAsia="Arial" w:hAnsi="Arial"/>
                <w:sz w:val="18"/>
                <w:szCs w:val="18"/>
                <w:color w:val="auto"/>
                <w:w w:val="99"/>
              </w:rPr>
              <w:t>X</w:t>
            </w:r>
          </w:p>
        </w:tc>
      </w:tr>
      <w:tr>
        <w:trPr>
          <w:trHeight w:val="230"/>
        </w:trPr>
        <w:tc>
          <w:tcPr>
            <w:tcW w:w="820" w:type="dxa"/>
            <w:vAlign w:val="bottom"/>
          </w:tcPr>
          <w:p>
            <w:pPr>
              <w:spacing w:after="0"/>
              <w:rPr>
                <w:sz w:val="20"/>
                <w:szCs w:val="20"/>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Document</w:t>
            </w:r>
          </w:p>
        </w:tc>
        <w:tc>
          <w:tcPr>
            <w:tcW w:w="3160" w:type="dxa"/>
            <w:vAlign w:val="bottom"/>
          </w:tcPr>
          <w:p>
            <w:pPr>
              <w:spacing w:after="0"/>
              <w:rPr>
                <w:sz w:val="20"/>
                <w:szCs w:val="20"/>
                <w:color w:val="auto"/>
              </w:rPr>
            </w:pPr>
          </w:p>
        </w:tc>
      </w:tr>
      <w:tr>
        <w:trPr>
          <w:trHeight w:val="323"/>
        </w:trPr>
        <w:tc>
          <w:tcPr>
            <w:tcW w:w="820" w:type="dxa"/>
            <w:vAlign w:val="bottom"/>
          </w:tcPr>
          <w:p>
            <w:pPr>
              <w:ind w:left="20"/>
              <w:spacing w:after="0"/>
              <w:rPr>
                <w:sz w:val="20"/>
                <w:szCs w:val="20"/>
                <w:color w:val="auto"/>
              </w:rPr>
            </w:pPr>
            <w:r>
              <w:rPr>
                <w:rFonts w:ascii="Arial" w:cs="Arial" w:eastAsia="Arial" w:hAnsi="Arial"/>
                <w:sz w:val="18"/>
                <w:szCs w:val="18"/>
                <w:color w:val="auto"/>
              </w:rPr>
              <w:t>101.PRE</w:t>
            </w:r>
          </w:p>
        </w:tc>
        <w:tc>
          <w:tcPr>
            <w:tcW w:w="684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w:t>
            </w:r>
          </w:p>
        </w:tc>
        <w:tc>
          <w:tcPr>
            <w:tcW w:w="3160" w:type="dxa"/>
            <w:vAlign w:val="bottom"/>
          </w:tcPr>
          <w:p>
            <w:pPr>
              <w:ind w:left="3020"/>
              <w:spacing w:after="0"/>
              <w:rPr>
                <w:sz w:val="20"/>
                <w:szCs w:val="20"/>
                <w:color w:val="auto"/>
              </w:rPr>
            </w:pPr>
            <w:r>
              <w:rPr>
                <w:rFonts w:ascii="Arial" w:cs="Arial" w:eastAsia="Arial" w:hAnsi="Arial"/>
                <w:sz w:val="18"/>
                <w:szCs w:val="18"/>
                <w:color w:val="auto"/>
                <w:w w:val="99"/>
              </w:rPr>
              <w:t>X</w:t>
            </w:r>
          </w:p>
        </w:tc>
      </w:tr>
      <w:tr>
        <w:trPr>
          <w:trHeight w:val="230"/>
        </w:trPr>
        <w:tc>
          <w:tcPr>
            <w:tcW w:w="820" w:type="dxa"/>
            <w:vAlign w:val="bottom"/>
          </w:tcPr>
          <w:p>
            <w:pPr>
              <w:spacing w:after="0"/>
              <w:rPr>
                <w:sz w:val="20"/>
                <w:szCs w:val="20"/>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Document</w:t>
            </w:r>
          </w:p>
        </w:tc>
        <w:tc>
          <w:tcPr>
            <w:tcW w:w="3160" w:type="dxa"/>
            <w:vAlign w:val="bottom"/>
          </w:tcPr>
          <w:p>
            <w:pPr>
              <w:spacing w:after="0"/>
              <w:rPr>
                <w:sz w:val="20"/>
                <w:szCs w:val="20"/>
                <w:color w:val="auto"/>
              </w:rPr>
            </w:pPr>
          </w:p>
        </w:tc>
      </w:tr>
    </w:tbl>
    <w:p>
      <w:pPr>
        <w:spacing w:after="0" w:line="224"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ind w:left="380" w:hanging="372"/>
        <w:spacing w:after="0" w:line="237" w:lineRule="auto"/>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76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2020"/>
              <w:spacing w:after="0"/>
              <w:rPr>
                <w:sz w:val="20"/>
                <w:szCs w:val="20"/>
                <w:color w:val="auto"/>
              </w:rPr>
            </w:pPr>
            <w:r>
              <w:rPr>
                <w:rFonts w:ascii="Arial" w:cs="Arial" w:eastAsia="Arial" w:hAnsi="Arial"/>
                <w:sz w:val="18"/>
                <w:szCs w:val="18"/>
                <w:b w:val="1"/>
                <w:bCs w:val="1"/>
                <w:color w:val="auto"/>
              </w:rPr>
              <w:t>DATADOG, INC.</w:t>
            </w:r>
          </w:p>
        </w:tc>
      </w:tr>
      <w:tr>
        <w:trPr>
          <w:trHeight w:val="459"/>
        </w:trPr>
        <w:tc>
          <w:tcPr>
            <w:tcW w:w="3780" w:type="dxa"/>
            <w:vAlign w:val="bottom"/>
          </w:tcPr>
          <w:p>
            <w:pPr>
              <w:spacing w:after="0"/>
              <w:rPr>
                <w:sz w:val="20"/>
                <w:szCs w:val="20"/>
                <w:color w:val="auto"/>
              </w:rPr>
            </w:pPr>
            <w:r>
              <w:rPr>
                <w:rFonts w:ascii="Arial" w:cs="Arial" w:eastAsia="Arial" w:hAnsi="Arial"/>
                <w:sz w:val="18"/>
                <w:szCs w:val="18"/>
                <w:color w:val="auto"/>
              </w:rPr>
              <w:t>Date: February 25, 2020</w:t>
            </w:r>
          </w:p>
        </w:tc>
        <w:tc>
          <w:tcPr>
            <w:tcW w:w="2700" w:type="dxa"/>
            <w:vAlign w:val="bottom"/>
          </w:tcPr>
          <w:p>
            <w:pPr>
              <w:ind w:left="20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Olivier Pomel</w:t>
            </w:r>
          </w:p>
        </w:tc>
      </w:tr>
      <w:tr>
        <w:trPr>
          <w:trHeight w:val="209"/>
        </w:trPr>
        <w:tc>
          <w:tcPr>
            <w:tcW w:w="3780" w:type="dxa"/>
            <w:vAlign w:val="bottom"/>
          </w:tcPr>
          <w:p>
            <w:pPr>
              <w:spacing w:after="0"/>
              <w:rPr>
                <w:sz w:val="18"/>
                <w:szCs w:val="18"/>
                <w:color w:val="auto"/>
              </w:rPr>
            </w:pPr>
          </w:p>
        </w:tc>
        <w:tc>
          <w:tcPr>
            <w:tcW w:w="2700" w:type="dxa"/>
            <w:vAlign w:val="bottom"/>
          </w:tcPr>
          <w:p>
            <w:pPr>
              <w:ind w:left="2020"/>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Olivier Pomel</w:t>
            </w:r>
          </w:p>
        </w:tc>
      </w:tr>
      <w:tr>
        <w:trPr>
          <w:trHeight w:val="244"/>
        </w:trPr>
        <w:tc>
          <w:tcPr>
            <w:tcW w:w="3780" w:type="dxa"/>
            <w:vAlign w:val="bottom"/>
          </w:tcPr>
          <w:p>
            <w:pPr>
              <w:spacing w:after="0"/>
              <w:rPr>
                <w:sz w:val="21"/>
                <w:szCs w:val="21"/>
                <w:color w:val="auto"/>
              </w:rPr>
            </w:pPr>
          </w:p>
        </w:tc>
        <w:tc>
          <w:tcPr>
            <w:tcW w:w="2700" w:type="dxa"/>
            <w:vAlign w:val="bottom"/>
          </w:tcPr>
          <w:p>
            <w:pPr>
              <w:ind w:left="20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761"/>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Olivier Pomel and Alexis Lê-Quôc,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1" w:lineRule="exact"/>
        <w:rPr>
          <w:sz w:val="20"/>
          <w:szCs w:val="20"/>
          <w:color w:val="auto"/>
        </w:rPr>
      </w:pPr>
    </w:p>
    <w:p>
      <w:pPr>
        <w:ind w:right="200" w:firstLine="76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00" w:type="dxa"/>
            <w:vAlign w:val="bottom"/>
          </w:tcPr>
          <w:p>
            <w:pPr>
              <w:spacing w:after="0"/>
              <w:rPr>
                <w:sz w:val="14"/>
                <w:szCs w:val="14"/>
                <w:color w:val="auto"/>
              </w:rPr>
            </w:pPr>
          </w:p>
        </w:tc>
        <w:tc>
          <w:tcPr>
            <w:tcW w:w="530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534"/>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 Olivier Pomel</w:t>
            </w:r>
          </w:p>
        </w:tc>
        <w:tc>
          <w:tcPr>
            <w:tcW w:w="550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Director</w:t>
            </w: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25, 2020</w:t>
            </w:r>
          </w:p>
        </w:tc>
        <w:tc>
          <w:tcPr>
            <w:tcW w:w="0" w:type="dxa"/>
            <w:vAlign w:val="bottom"/>
          </w:tcPr>
          <w:p>
            <w:pPr>
              <w:spacing w:after="0"/>
              <w:rPr>
                <w:sz w:val="1"/>
                <w:szCs w:val="1"/>
                <w:color w:val="auto"/>
              </w:rPr>
            </w:pPr>
          </w:p>
        </w:tc>
      </w:tr>
      <w:tr>
        <w:trPr>
          <w:trHeight w:val="88"/>
        </w:trPr>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95"/>
              </w:rPr>
              <w:t>Olivier Pomel</w:t>
            </w:r>
          </w:p>
        </w:tc>
        <w:tc>
          <w:tcPr>
            <w:tcW w:w="5500" w:type="dxa"/>
            <w:vAlign w:val="bottom"/>
            <w:gridSpan w:val="3"/>
            <w:vMerge w:val="restart"/>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20" w:type="dxa"/>
            <w:vAlign w:val="bottom"/>
            <w:vMerge w:val="continue"/>
          </w:tcPr>
          <w:p>
            <w:pPr>
              <w:spacing w:after="0"/>
              <w:rPr>
                <w:sz w:val="11"/>
                <w:szCs w:val="11"/>
                <w:color w:val="auto"/>
              </w:rPr>
            </w:pPr>
          </w:p>
        </w:tc>
        <w:tc>
          <w:tcPr>
            <w:tcW w:w="550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5"/>
        </w:trPr>
        <w:tc>
          <w:tcPr>
            <w:tcW w:w="3420" w:type="dxa"/>
            <w:vAlign w:val="bottom"/>
          </w:tcPr>
          <w:p>
            <w:pPr>
              <w:jc w:val="center"/>
              <w:spacing w:after="0"/>
              <w:rPr>
                <w:sz w:val="20"/>
                <w:szCs w:val="20"/>
                <w:color w:val="auto"/>
              </w:rPr>
            </w:pPr>
            <w:r>
              <w:rPr>
                <w:rFonts w:ascii="Arial" w:cs="Arial" w:eastAsia="Arial" w:hAnsi="Arial"/>
                <w:sz w:val="18"/>
                <w:szCs w:val="18"/>
                <w:i w:val="1"/>
                <w:iCs w:val="1"/>
                <w:color w:val="auto"/>
                <w:w w:val="93"/>
              </w:rPr>
              <w:t>/s/ David Obstler</w:t>
            </w:r>
          </w:p>
        </w:tc>
        <w:tc>
          <w:tcPr>
            <w:tcW w:w="550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25, 2020</w:t>
            </w:r>
          </w:p>
        </w:tc>
        <w:tc>
          <w:tcPr>
            <w:tcW w:w="0" w:type="dxa"/>
            <w:vAlign w:val="bottom"/>
          </w:tcPr>
          <w:p>
            <w:pPr>
              <w:spacing w:after="0"/>
              <w:rPr>
                <w:sz w:val="1"/>
                <w:szCs w:val="1"/>
                <w:color w:val="auto"/>
              </w:rPr>
            </w:pPr>
          </w:p>
        </w:tc>
      </w:tr>
      <w:tr>
        <w:trPr>
          <w:trHeight w:val="41"/>
        </w:trPr>
        <w:tc>
          <w:tcPr>
            <w:tcW w:w="3420" w:type="dxa"/>
            <w:vAlign w:val="bottom"/>
            <w:tcBorders>
              <w:bottom w:val="single" w:sz="8" w:color="auto"/>
            </w:tcBorders>
          </w:tcPr>
          <w:p>
            <w:pPr>
              <w:spacing w:after="0"/>
              <w:rPr>
                <w:sz w:val="3"/>
                <w:szCs w:val="3"/>
                <w:color w:val="auto"/>
              </w:rPr>
            </w:pPr>
          </w:p>
        </w:tc>
        <w:tc>
          <w:tcPr>
            <w:tcW w:w="5500" w:type="dxa"/>
            <w:vAlign w:val="bottom"/>
            <w:gridSpan w:val="3"/>
            <w:vMerge w:val="restart"/>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c>
          <w:tcPr>
            <w:tcW w:w="2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93"/>
              </w:rPr>
              <w:t>David Obstler</w:t>
            </w:r>
          </w:p>
        </w:tc>
        <w:tc>
          <w:tcPr>
            <w:tcW w:w="5500" w:type="dxa"/>
            <w:vAlign w:val="bottom"/>
            <w:gridSpan w:val="3"/>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420" w:type="dxa"/>
            <w:vAlign w:val="bottom"/>
            <w:vMerge w:val="continue"/>
          </w:tcPr>
          <w:p>
            <w:pPr>
              <w:spacing w:after="0"/>
              <w:rPr>
                <w:sz w:val="14"/>
                <w:szCs w:val="14"/>
                <w:color w:val="auto"/>
              </w:rPr>
            </w:pPr>
          </w:p>
        </w:tc>
        <w:tc>
          <w:tcPr>
            <w:tcW w:w="5500" w:type="dxa"/>
            <w:vAlign w:val="bottom"/>
            <w:gridSpan w:val="3"/>
            <w:vMerge w:val="continue"/>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6"/>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Alexis Le-Qu</w:t>
            </w:r>
            <w:r>
              <w:rPr>
                <w:rFonts w:ascii="Arial" w:cs="Arial" w:eastAsia="Arial" w:hAnsi="Arial"/>
                <w:sz w:val="18"/>
                <w:szCs w:val="18"/>
                <w:color w:val="auto"/>
                <w:w w:val="91"/>
              </w:rPr>
              <w:t>ô</w:t>
            </w:r>
            <w:r>
              <w:rPr>
                <w:rFonts w:ascii="Arial" w:cs="Arial" w:eastAsia="Arial" w:hAnsi="Arial"/>
                <w:sz w:val="18"/>
                <w:szCs w:val="18"/>
                <w:i w:val="1"/>
                <w:iCs w:val="1"/>
                <w:color w:val="auto"/>
                <w:w w:val="91"/>
              </w:rPr>
              <w:t>c</w:t>
            </w:r>
          </w:p>
        </w:tc>
        <w:tc>
          <w:tcPr>
            <w:tcW w:w="5500" w:type="dxa"/>
            <w:vAlign w:val="bottom"/>
            <w:gridSpan w:val="3"/>
            <w:vMerge w:val="restart"/>
          </w:tcPr>
          <w:p>
            <w:pPr>
              <w:ind w:left="100"/>
              <w:spacing w:after="0"/>
              <w:rPr>
                <w:sz w:val="20"/>
                <w:szCs w:val="20"/>
                <w:color w:val="auto"/>
              </w:rPr>
            </w:pPr>
            <w:r>
              <w:rPr>
                <w:rFonts w:ascii="Arial" w:cs="Arial" w:eastAsia="Arial" w:hAnsi="Arial"/>
                <w:sz w:val="18"/>
                <w:szCs w:val="18"/>
                <w:color w:val="auto"/>
              </w:rPr>
              <w:t>President, Chief Technology Officer and Director</w:t>
            </w: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25, 2020</w:t>
            </w:r>
          </w:p>
        </w:tc>
        <w:tc>
          <w:tcPr>
            <w:tcW w:w="0" w:type="dxa"/>
            <w:vAlign w:val="bottom"/>
          </w:tcPr>
          <w:p>
            <w:pPr>
              <w:spacing w:after="0"/>
              <w:rPr>
                <w:sz w:val="1"/>
                <w:szCs w:val="1"/>
                <w:color w:val="auto"/>
              </w:rPr>
            </w:pPr>
          </w:p>
        </w:tc>
      </w:tr>
      <w:tr>
        <w:trPr>
          <w:trHeight w:val="88"/>
        </w:trPr>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93"/>
              </w:rPr>
              <w:t>Alexis Le-Quôc</w:t>
            </w:r>
          </w:p>
        </w:tc>
        <w:tc>
          <w:tcPr>
            <w:tcW w:w="5500" w:type="dxa"/>
            <w:vAlign w:val="bottom"/>
            <w:gridSpan w:val="3"/>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6"/>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 Michael Callahan</w:t>
            </w:r>
          </w:p>
        </w:tc>
        <w:tc>
          <w:tcPr>
            <w:tcW w:w="550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25, 2020</w:t>
            </w:r>
          </w:p>
        </w:tc>
        <w:tc>
          <w:tcPr>
            <w:tcW w:w="0" w:type="dxa"/>
            <w:vAlign w:val="bottom"/>
          </w:tcPr>
          <w:p>
            <w:pPr>
              <w:spacing w:after="0"/>
              <w:rPr>
                <w:sz w:val="1"/>
                <w:szCs w:val="1"/>
                <w:color w:val="auto"/>
              </w:rPr>
            </w:pPr>
          </w:p>
        </w:tc>
      </w:tr>
      <w:tr>
        <w:trPr>
          <w:trHeight w:val="88"/>
        </w:trPr>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91"/>
              </w:rPr>
              <w:t>Michael Callahan</w:t>
            </w:r>
          </w:p>
        </w:tc>
        <w:tc>
          <w:tcPr>
            <w:tcW w:w="5500" w:type="dxa"/>
            <w:vAlign w:val="bottom"/>
            <w:gridSpan w:val="3"/>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6"/>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Matthew Jacobson</w:t>
            </w:r>
          </w:p>
        </w:tc>
        <w:tc>
          <w:tcPr>
            <w:tcW w:w="550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25, 2020</w:t>
            </w:r>
          </w:p>
        </w:tc>
        <w:tc>
          <w:tcPr>
            <w:tcW w:w="0" w:type="dxa"/>
            <w:vAlign w:val="bottom"/>
          </w:tcPr>
          <w:p>
            <w:pPr>
              <w:spacing w:after="0"/>
              <w:rPr>
                <w:sz w:val="1"/>
                <w:szCs w:val="1"/>
                <w:color w:val="auto"/>
              </w:rPr>
            </w:pPr>
          </w:p>
        </w:tc>
      </w:tr>
      <w:tr>
        <w:trPr>
          <w:trHeight w:val="88"/>
        </w:trPr>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89"/>
              </w:rPr>
              <w:t>Matthew Jacobson</w:t>
            </w:r>
          </w:p>
        </w:tc>
        <w:tc>
          <w:tcPr>
            <w:tcW w:w="5500" w:type="dxa"/>
            <w:vAlign w:val="bottom"/>
            <w:gridSpan w:val="3"/>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6"/>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 Dev Ittycheria</w:t>
            </w:r>
          </w:p>
        </w:tc>
        <w:tc>
          <w:tcPr>
            <w:tcW w:w="550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25, 2020</w:t>
            </w:r>
          </w:p>
        </w:tc>
        <w:tc>
          <w:tcPr>
            <w:tcW w:w="0" w:type="dxa"/>
            <w:vAlign w:val="bottom"/>
          </w:tcPr>
          <w:p>
            <w:pPr>
              <w:spacing w:after="0"/>
              <w:rPr>
                <w:sz w:val="1"/>
                <w:szCs w:val="1"/>
                <w:color w:val="auto"/>
              </w:rPr>
            </w:pPr>
          </w:p>
        </w:tc>
      </w:tr>
      <w:tr>
        <w:trPr>
          <w:trHeight w:val="88"/>
        </w:trPr>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92"/>
              </w:rPr>
              <w:t>Dev Ittycheria</w:t>
            </w:r>
          </w:p>
        </w:tc>
        <w:tc>
          <w:tcPr>
            <w:tcW w:w="5500" w:type="dxa"/>
            <w:vAlign w:val="bottom"/>
            <w:gridSpan w:val="3"/>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6"/>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Julie Richardson</w:t>
            </w:r>
          </w:p>
        </w:tc>
        <w:tc>
          <w:tcPr>
            <w:tcW w:w="550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25, 2020</w:t>
            </w:r>
          </w:p>
        </w:tc>
        <w:tc>
          <w:tcPr>
            <w:tcW w:w="0" w:type="dxa"/>
            <w:vAlign w:val="bottom"/>
          </w:tcPr>
          <w:p>
            <w:pPr>
              <w:spacing w:after="0"/>
              <w:rPr>
                <w:sz w:val="1"/>
                <w:szCs w:val="1"/>
                <w:color w:val="auto"/>
              </w:rPr>
            </w:pPr>
          </w:p>
        </w:tc>
      </w:tr>
      <w:tr>
        <w:trPr>
          <w:trHeight w:val="88"/>
        </w:trPr>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91"/>
              </w:rPr>
              <w:t>Julie Richardson</w:t>
            </w:r>
          </w:p>
        </w:tc>
        <w:tc>
          <w:tcPr>
            <w:tcW w:w="5500" w:type="dxa"/>
            <w:vAlign w:val="bottom"/>
            <w:gridSpan w:val="3"/>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6"/>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Shardul Shah</w:t>
            </w:r>
          </w:p>
        </w:tc>
        <w:tc>
          <w:tcPr>
            <w:tcW w:w="550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 25, 2020</w:t>
            </w:r>
          </w:p>
        </w:tc>
        <w:tc>
          <w:tcPr>
            <w:tcW w:w="0" w:type="dxa"/>
            <w:vAlign w:val="bottom"/>
          </w:tcPr>
          <w:p>
            <w:pPr>
              <w:spacing w:after="0"/>
              <w:rPr>
                <w:sz w:val="1"/>
                <w:szCs w:val="1"/>
                <w:color w:val="auto"/>
              </w:rPr>
            </w:pPr>
          </w:p>
        </w:tc>
      </w:tr>
      <w:tr>
        <w:trPr>
          <w:trHeight w:val="88"/>
        </w:trPr>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89"/>
              </w:rPr>
              <w:t>Shardul Shah</w:t>
            </w:r>
          </w:p>
        </w:tc>
        <w:tc>
          <w:tcPr>
            <w:tcW w:w="5500" w:type="dxa"/>
            <w:vAlign w:val="bottom"/>
            <w:gridSpan w:val="3"/>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7"/>
        </w:trPr>
        <w:tc>
          <w:tcPr>
            <w:tcW w:w="3420" w:type="dxa"/>
            <w:vAlign w:val="bottom"/>
          </w:tcPr>
          <w:p>
            <w:pPr>
              <w:spacing w:after="0"/>
              <w:rPr>
                <w:sz w:val="24"/>
                <w:szCs w:val="24"/>
                <w:color w:val="auto"/>
              </w:rPr>
            </w:pPr>
          </w:p>
        </w:tc>
        <w:tc>
          <w:tcPr>
            <w:tcW w:w="5400" w:type="dxa"/>
            <w:vAlign w:val="bottom"/>
            <w:gridSpan w:val="2"/>
          </w:tcPr>
          <w:p>
            <w:pPr>
              <w:ind w:left="220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4.2</w:t>
      </w:r>
    </w:p>
    <w:p>
      <w:pPr>
        <w:spacing w:after="0" w:line="180"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DESCRIPTION OF THE REGISTRANT’S SECURITIES REGISTERED PURSUANT TO SECTION 12 OF THE SECURITIES EXCHANGE ACT OF 1934</w:t>
      </w:r>
    </w:p>
    <w:p>
      <w:pPr>
        <w:spacing w:after="0" w:line="157" w:lineRule="exact"/>
        <w:rPr>
          <w:sz w:val="20"/>
          <w:szCs w:val="20"/>
          <w:color w:val="auto"/>
        </w:rPr>
      </w:pPr>
    </w:p>
    <w:p>
      <w:pPr>
        <w:ind w:right="60" w:firstLine="598"/>
        <w:spacing w:after="0" w:line="250" w:lineRule="auto"/>
        <w:rPr>
          <w:sz w:val="20"/>
          <w:szCs w:val="20"/>
          <w:color w:val="auto"/>
        </w:rPr>
      </w:pPr>
      <w:r>
        <w:rPr>
          <w:rFonts w:ascii="Arial" w:cs="Arial" w:eastAsia="Arial" w:hAnsi="Arial"/>
          <w:sz w:val="20"/>
          <w:szCs w:val="20"/>
          <w:color w:val="auto"/>
        </w:rPr>
        <w:t>As of December 31, 2019, Datadog, Inc. had one class of securities registered under Section 12 of the Securities Exchange Act of 1934, as amended, or the Exchange Act: our Class A common stock, $0.00001 par value per share. References herein to the terms “we,” “our” and “us” refer to Datadog, Inc. and its subsidiaries.</w:t>
      </w:r>
    </w:p>
    <w:p>
      <w:pPr>
        <w:spacing w:after="0" w:line="146" w:lineRule="exact"/>
        <w:rPr>
          <w:sz w:val="20"/>
          <w:szCs w:val="20"/>
          <w:color w:val="auto"/>
        </w:rPr>
      </w:pPr>
    </w:p>
    <w:p>
      <w:pPr>
        <w:ind w:right="20" w:firstLine="598"/>
        <w:spacing w:after="0" w:line="243" w:lineRule="auto"/>
        <w:rPr>
          <w:sz w:val="20"/>
          <w:szCs w:val="20"/>
          <w:color w:val="auto"/>
        </w:rPr>
      </w:pPr>
      <w:r>
        <w:rPr>
          <w:rFonts w:ascii="Arial" w:cs="Arial" w:eastAsia="Arial" w:hAnsi="Arial"/>
          <w:sz w:val="20"/>
          <w:szCs w:val="20"/>
          <w:color w:val="auto"/>
        </w:rPr>
        <w:t>The following description of our capital stock is a summary and does not purport to be complete. It is subject to, and qualified in its entirety by reference to, the applicable provisions of our amended and restated certificate of incorporation, our amended and restated bylaws and our investor rights agreement entered into in December 2015, which are filed as exhibits to our Annual Report on Form 10-K, of which this Exhibit 4.2 is a part, and are incorporated by reference herein. We encourage you to read our amended and restated certificate of incorporation, our amended and restated bylaws, our investor rights agreement and the applicable provisions of the Delaware General Corporation Law, or the DGCL, for more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95" w:lineRule="exact"/>
        <w:rPr>
          <w:sz w:val="20"/>
          <w:szCs w:val="20"/>
          <w:color w:val="auto"/>
        </w:rPr>
      </w:pPr>
    </w:p>
    <w:p>
      <w:pPr>
        <w:ind w:right="140" w:firstLine="598"/>
        <w:spacing w:after="0" w:line="269" w:lineRule="auto"/>
        <w:rPr>
          <w:sz w:val="20"/>
          <w:szCs w:val="20"/>
          <w:color w:val="auto"/>
        </w:rPr>
      </w:pPr>
      <w:r>
        <w:rPr>
          <w:rFonts w:ascii="Arial" w:cs="Arial" w:eastAsia="Arial" w:hAnsi="Arial"/>
          <w:sz w:val="19"/>
          <w:szCs w:val="19"/>
          <w:color w:val="auto"/>
        </w:rPr>
        <w:t>Our amended and restated certificate of incorporation provides for two classes of common stock: Class A common stock and Class B common stock. In addition, our amended and restated certificate of incorporation authorizes shares of undesignated preferred stock, the rights, preferences and privileges of which may be designated from time to time by our board of directors.</w:t>
      </w:r>
    </w:p>
    <w:p>
      <w:pPr>
        <w:spacing w:after="0" w:line="130" w:lineRule="exact"/>
        <w:rPr>
          <w:sz w:val="20"/>
          <w:szCs w:val="20"/>
          <w:color w:val="auto"/>
        </w:rPr>
      </w:pPr>
    </w:p>
    <w:p>
      <w:pPr>
        <w:jc w:val="both"/>
        <w:ind w:right="40" w:firstLine="598"/>
        <w:spacing w:after="0" w:line="250" w:lineRule="auto"/>
        <w:rPr>
          <w:sz w:val="20"/>
          <w:szCs w:val="20"/>
          <w:color w:val="auto"/>
        </w:rPr>
      </w:pPr>
      <w:r>
        <w:rPr>
          <w:rFonts w:ascii="Arial" w:cs="Arial" w:eastAsia="Arial" w:hAnsi="Arial"/>
          <w:sz w:val="20"/>
          <w:szCs w:val="20"/>
          <w:color w:val="auto"/>
        </w:rPr>
        <w:t>Our authorized capital stock consists of 2,330,000,000 shares, all with a par value of $0.00001 per share, of which 2,000,000,000 shares are designated as Class A common stock, 310,000,000 shares are designated as Class B common stock and 20,000,000 shares are designated as preferred stock.</w:t>
      </w:r>
    </w:p>
    <w:p>
      <w:pPr>
        <w:spacing w:after="0" w:line="146" w:lineRule="exact"/>
        <w:rPr>
          <w:sz w:val="20"/>
          <w:szCs w:val="20"/>
          <w:color w:val="auto"/>
        </w:rPr>
      </w:pPr>
    </w:p>
    <w:p>
      <w:pPr>
        <w:ind w:right="460" w:firstLine="598"/>
        <w:spacing w:after="0" w:line="260" w:lineRule="auto"/>
        <w:rPr>
          <w:sz w:val="20"/>
          <w:szCs w:val="20"/>
          <w:color w:val="auto"/>
        </w:rPr>
      </w:pPr>
      <w:r>
        <w:rPr>
          <w:rFonts w:ascii="Arial" w:cs="Arial" w:eastAsia="Arial" w:hAnsi="Arial"/>
          <w:sz w:val="20"/>
          <w:szCs w:val="20"/>
          <w:color w:val="auto"/>
        </w:rPr>
        <w:t>Our board of directors is authorized, without stockholder approval except as required by the listing standards of the Nasdaq Global Select Market, to issue additional shares of our capital stock.</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Class A Common Stock and Class B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Rights</w:t>
      </w:r>
    </w:p>
    <w:p>
      <w:pPr>
        <w:spacing w:after="0" w:line="175"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The Class A common stock is entitled to one vote per share on any matter that is submitted to a vote of our stockholders. Holders of our Class B common stock are entitled to ten votes per share on any matter submitted to our stockholders. Holders of shares of Class B common stock and Class A common stock will vote together as a single class on all matters (including the election of directors) submitted to a vote of stockholders, unless otherwise required by Delaware law.</w:t>
      </w:r>
    </w:p>
    <w:p>
      <w:pPr>
        <w:spacing w:after="0" w:line="165" w:lineRule="exact"/>
        <w:rPr>
          <w:sz w:val="20"/>
          <w:szCs w:val="20"/>
          <w:color w:val="auto"/>
        </w:rPr>
      </w:pPr>
    </w:p>
    <w:p>
      <w:pPr>
        <w:ind w:firstLine="598"/>
        <w:spacing w:after="0" w:line="272" w:lineRule="auto"/>
        <w:rPr>
          <w:sz w:val="20"/>
          <w:szCs w:val="20"/>
          <w:color w:val="auto"/>
        </w:rPr>
      </w:pPr>
      <w:r>
        <w:rPr>
          <w:rFonts w:ascii="Arial" w:cs="Arial" w:eastAsia="Arial" w:hAnsi="Arial"/>
          <w:sz w:val="18"/>
          <w:szCs w:val="18"/>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As a result, in 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3" w:name="page94"/>
    <w:bookmarkEnd w:id="93"/>
    <w:p>
      <w:pPr>
        <w:ind w:right="1160" w:firstLine="598"/>
        <w:spacing w:after="0" w:line="429" w:lineRule="auto"/>
        <w:rPr>
          <w:sz w:val="20"/>
          <w:szCs w:val="20"/>
          <w:color w:val="auto"/>
        </w:rPr>
      </w:pPr>
      <w:r>
        <w:rPr>
          <w:rFonts w:ascii="Arial" w:cs="Arial" w:eastAsia="Arial" w:hAnsi="Arial"/>
          <w:sz w:val="20"/>
          <w:szCs w:val="20"/>
          <w:color w:val="auto"/>
        </w:rPr>
        <w:t xml:space="preserve">Our amended and restated certificate of incorporation does not provide for cumulative voting for the election of directors. </w:t>
      </w:r>
      <w:r>
        <w:rPr>
          <w:rFonts w:ascii="Arial" w:cs="Arial" w:eastAsia="Arial" w:hAnsi="Arial"/>
          <w:sz w:val="20"/>
          <w:szCs w:val="20"/>
          <w:b w:val="1"/>
          <w:bCs w:val="1"/>
          <w:i w:val="1"/>
          <w:iCs w:val="1"/>
          <w:color w:val="auto"/>
        </w:rPr>
        <w:t>Economic Rights</w:t>
      </w:r>
    </w:p>
    <w:p>
      <w:pPr>
        <w:spacing w:after="0" w:line="2" w:lineRule="exact"/>
        <w:rPr>
          <w:sz w:val="20"/>
          <w:szCs w:val="20"/>
          <w:color w:val="auto"/>
        </w:rPr>
      </w:pPr>
    </w:p>
    <w:p>
      <w:pPr>
        <w:jc w:val="both"/>
        <w:ind w:right="120" w:firstLine="598"/>
        <w:spacing w:after="0" w:line="250" w:lineRule="auto"/>
        <w:rPr>
          <w:sz w:val="20"/>
          <w:szCs w:val="20"/>
          <w:color w:val="auto"/>
        </w:rPr>
      </w:pPr>
      <w:r>
        <w:rPr>
          <w:rFonts w:ascii="Arial" w:cs="Arial" w:eastAsia="Arial" w:hAnsi="Arial"/>
          <w:sz w:val="20"/>
          <w:szCs w:val="20"/>
          <w:color w:val="auto"/>
        </w:rPr>
        <w:t>Except as otherwise will be expressly provided in our amended and restated certificate of incorporation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 and Distributions</w:t>
      </w:r>
    </w:p>
    <w:p>
      <w:pPr>
        <w:spacing w:after="0" w:line="189" w:lineRule="exact"/>
        <w:rPr>
          <w:sz w:val="20"/>
          <w:szCs w:val="20"/>
          <w:color w:val="auto"/>
        </w:rPr>
      </w:pPr>
    </w:p>
    <w:p>
      <w:pPr>
        <w:jc w:val="both"/>
        <w:ind w:right="20" w:firstLine="598"/>
        <w:spacing w:after="0" w:line="282"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Class A common stock and Class B common stock will be entitled to share equally, identically and ratably, on a per share basis, with respect to any dividend or distribution of cash or property paid or distributed by us, unless different treatment of the shares of the affected class is approved by the affirmative vote of the holders of a majority of the outstanding shares of such affected class, voting separately as a class.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Liquidation Rights</w:t>
      </w:r>
    </w:p>
    <w:p>
      <w:pPr>
        <w:spacing w:after="0" w:line="175" w:lineRule="exact"/>
        <w:rPr>
          <w:sz w:val="20"/>
          <w:szCs w:val="20"/>
          <w:color w:val="auto"/>
        </w:rPr>
      </w:pPr>
    </w:p>
    <w:p>
      <w:pPr>
        <w:ind w:right="20" w:firstLine="598"/>
        <w:spacing w:after="0" w:line="263" w:lineRule="auto"/>
        <w:rPr>
          <w:sz w:val="20"/>
          <w:szCs w:val="20"/>
          <w:color w:val="auto"/>
        </w:rPr>
      </w:pPr>
      <w:r>
        <w:rPr>
          <w:rFonts w:ascii="Arial" w:cs="Arial" w:eastAsia="Arial" w:hAnsi="Arial"/>
          <w:sz w:val="19"/>
          <w:szCs w:val="19"/>
          <w:color w:val="auto"/>
        </w:rPr>
        <w:t>On our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 of Control Transactions</w:t>
      </w:r>
    </w:p>
    <w:p>
      <w:pPr>
        <w:spacing w:after="0" w:line="175" w:lineRule="exact"/>
        <w:rPr>
          <w:sz w:val="20"/>
          <w:szCs w:val="20"/>
          <w:color w:val="auto"/>
        </w:rPr>
      </w:pPr>
    </w:p>
    <w:p>
      <w:pPr>
        <w:ind w:firstLine="598"/>
        <w:spacing w:after="0" w:line="270" w:lineRule="auto"/>
        <w:rPr>
          <w:sz w:val="20"/>
          <w:szCs w:val="20"/>
          <w:color w:val="auto"/>
        </w:rPr>
      </w:pPr>
      <w:r>
        <w:rPr>
          <w:rFonts w:ascii="Arial" w:cs="Arial" w:eastAsia="Arial" w:hAnsi="Arial"/>
          <w:sz w:val="18"/>
          <w:szCs w:val="18"/>
          <w:color w:val="auto"/>
        </w:rPr>
        <w:t>The holders of our Class A common stock and Class B common stock will be treated equally and identically with respect to 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consolidation, merger or reorganization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consolidation, merger or reorganization under any employment, consulting, severance or other compensatory arrangement will be disregarded for the purposes of determining whether holders of common stock are treated equally and identically.</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Subdivisions and Combinations</w:t>
      </w:r>
    </w:p>
    <w:p>
      <w:pPr>
        <w:spacing w:after="0" w:line="189" w:lineRule="exact"/>
        <w:rPr>
          <w:sz w:val="20"/>
          <w:szCs w:val="20"/>
          <w:color w:val="auto"/>
        </w:rPr>
      </w:pPr>
    </w:p>
    <w:p>
      <w:pPr>
        <w:ind w:right="120" w:firstLine="598"/>
        <w:spacing w:after="0" w:line="260" w:lineRule="auto"/>
        <w:rPr>
          <w:sz w:val="20"/>
          <w:szCs w:val="20"/>
          <w:color w:val="auto"/>
        </w:rPr>
      </w:pPr>
      <w:r>
        <w:rPr>
          <w:rFonts w:ascii="Arial" w:cs="Arial" w:eastAsia="Arial" w:hAnsi="Arial"/>
          <w:sz w:val="20"/>
          <w:szCs w:val="20"/>
          <w:color w:val="auto"/>
        </w:rPr>
        <w:t>If we subdivide or combine in any manner outstanding shares of our Class A common stock or Class B common stock, the outstanding shares of the other classes will be subdivided or combined in the same proportion and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28" w:right="259" w:bottom="1440" w:gutter="0" w:footer="0" w:header="0"/>
        </w:sectPr>
      </w:pPr>
    </w:p>
    <w:bookmarkStart w:id="94" w:name="page95"/>
    <w:bookmarkEnd w:id="94"/>
    <w:p>
      <w:pPr>
        <w:spacing w:after="0"/>
        <w:rPr>
          <w:sz w:val="20"/>
          <w:szCs w:val="20"/>
          <w:color w:val="auto"/>
        </w:rPr>
      </w:pPr>
      <w:r>
        <w:rPr>
          <w:rFonts w:ascii="Arial" w:cs="Arial" w:eastAsia="Arial" w:hAnsi="Arial"/>
          <w:sz w:val="20"/>
          <w:szCs w:val="20"/>
          <w:i w:val="1"/>
          <w:iCs w:val="1"/>
          <w:color w:val="auto"/>
        </w:rPr>
        <w:t>No Preemptive or Similar Rights</w:t>
      </w:r>
    </w:p>
    <w:p>
      <w:pPr>
        <w:spacing w:after="0" w:line="189" w:lineRule="exact"/>
        <w:rPr>
          <w:sz w:val="20"/>
          <w:szCs w:val="20"/>
          <w:color w:val="auto"/>
        </w:rPr>
      </w:pPr>
    </w:p>
    <w:p>
      <w:pPr>
        <w:ind w:right="560" w:firstLine="598"/>
        <w:spacing w:after="0" w:line="316"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Conversion</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w:t>
      </w:r>
    </w:p>
    <w:p>
      <w:pPr>
        <w:spacing w:after="0" w:line="212"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Any holder’s shares of Class B common stock will convert automatically into Class A common stock, on a one-to-one basis, upon the following: (1) sale or transfer of such share of Class B common stock, except for certain permitted transfers as described in our amended and restated certificate of incorporation; (2) the death of the Class B common stockholder; and (3) on the final conversion date, defined as the tenth anniversary of our initial public offering.</w:t>
      </w:r>
    </w:p>
    <w:p>
      <w:pPr>
        <w:spacing w:after="0" w:line="15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Once transferred and converted into Class A common stock, the Class B common may not be reissued.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Registration Rights</w:t>
      </w:r>
    </w:p>
    <w:p>
      <w:pPr>
        <w:spacing w:after="0" w:line="189" w:lineRule="exact"/>
        <w:rPr>
          <w:sz w:val="20"/>
          <w:szCs w:val="20"/>
          <w:color w:val="auto"/>
        </w:rPr>
      </w:pPr>
    </w:p>
    <w:p>
      <w:pPr>
        <w:ind w:right="80" w:firstLine="598"/>
        <w:spacing w:after="0" w:line="272" w:lineRule="auto"/>
        <w:rPr>
          <w:sz w:val="20"/>
          <w:szCs w:val="20"/>
          <w:color w:val="auto"/>
        </w:rPr>
      </w:pPr>
      <w:r>
        <w:rPr>
          <w:rFonts w:ascii="Arial" w:cs="Arial" w:eastAsia="Arial" w:hAnsi="Arial"/>
          <w:sz w:val="18"/>
          <w:szCs w:val="18"/>
          <w:color w:val="auto"/>
        </w:rPr>
        <w:t>We are party to an investor rights agreement that provides holders of a substantial number of shares with rights, subject to certain conditions, to require us to file registration statements covering the sale of their shares or to include their shares in registration statements that we may file for ourselves or other stockholders. The registration of shares of our common stock by the exercise of such registration rights would enable the holders of such shares to sell these shares without restriction under the Securities Act of 1933, as amended, or the Securities Act, when the applicable registration statement is declared effective. We will pay the registration expenses, other than underwriting discounts and commissions, of the shares registered pursuant to such registration rights. The registration rights under our investor rights agreement will terminate upon the earliest to occur of (1) the closing of a “deemed liquidation event” as defined in our amended and restated certificate of incorporation in effect immediately prior to the completion of our initial public offering, (2) such time as the applicable investor can sell all of its shares under Rule 144 of the Securities Act during any 90-day period, and (3) September 23, 2024.</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Provisions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Certificate of Incorporation and Bylaws</w:t>
      </w:r>
    </w:p>
    <w:p>
      <w:pPr>
        <w:spacing w:after="0" w:line="189" w:lineRule="exact"/>
        <w:rPr>
          <w:sz w:val="20"/>
          <w:szCs w:val="20"/>
          <w:color w:val="auto"/>
        </w:rPr>
      </w:pPr>
    </w:p>
    <w:p>
      <w:pPr>
        <w:ind w:firstLine="598"/>
        <w:spacing w:after="0" w:line="243" w:lineRule="auto"/>
        <w:rPr>
          <w:sz w:val="20"/>
          <w:szCs w:val="20"/>
          <w:color w:val="auto"/>
        </w:rPr>
      </w:pPr>
      <w:r>
        <w:rPr>
          <w:rFonts w:ascii="Arial" w:cs="Arial" w:eastAsia="Arial" w:hAnsi="Arial"/>
          <w:sz w:val="20"/>
          <w:szCs w:val="20"/>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provide for stockholder actions at a duly called meeting of stockholders. A special meeting of stockholders may be called only by a majority of our board of directors, the chair of our board of directors or our chief executive officer. Our amended and restated bylaws includes an advance notice procedure for stockholder proposals to be brought before an annual meeting of our stockholders, including proposed nominations of persons for election to our board of directors.</w:t>
      </w:r>
    </w:p>
    <w:p>
      <w:pPr>
        <w:spacing w:after="0" w:line="156" w:lineRule="exact"/>
        <w:rPr>
          <w:sz w:val="20"/>
          <w:szCs w:val="20"/>
          <w:color w:val="auto"/>
        </w:rPr>
      </w:pPr>
    </w:p>
    <w:p>
      <w:pPr>
        <w:ind w:right="320" w:firstLine="598"/>
        <w:spacing w:after="0" w:line="250" w:lineRule="auto"/>
        <w:rPr>
          <w:sz w:val="20"/>
          <w:szCs w:val="20"/>
          <w:color w:val="auto"/>
        </w:rPr>
      </w:pPr>
      <w:r>
        <w:rPr>
          <w:rFonts w:ascii="Arial" w:cs="Arial" w:eastAsia="Arial" w:hAnsi="Arial"/>
          <w:sz w:val="20"/>
          <w:szCs w:val="20"/>
          <w:color w:val="auto"/>
        </w:rPr>
        <w:t>Our amended and restated certificate of incorporation provides for a dual-class common stock structure, which provides our current investors, officers and employees with control over all matters requiring stockholder approval, including the election of directors and significant corporate transactions, such as a merger or other sale of our company or its assets.</w:t>
      </w:r>
    </w:p>
    <w:p>
      <w:pPr>
        <w:spacing w:after="0" w:line="146" w:lineRule="exact"/>
        <w:rPr>
          <w:sz w:val="20"/>
          <w:szCs w:val="20"/>
          <w:color w:val="auto"/>
        </w:rPr>
      </w:pPr>
    </w:p>
    <w:p>
      <w:pPr>
        <w:ind w:right="380" w:firstLine="598"/>
        <w:spacing w:after="0" w:line="342" w:lineRule="auto"/>
        <w:rPr>
          <w:sz w:val="20"/>
          <w:szCs w:val="20"/>
          <w:color w:val="auto"/>
        </w:rPr>
      </w:pPr>
      <w:r>
        <w:rPr>
          <w:rFonts w:ascii="Arial" w:cs="Arial" w:eastAsia="Arial" w:hAnsi="Arial"/>
          <w:sz w:val="16"/>
          <w:szCs w:val="16"/>
          <w:color w:val="auto"/>
        </w:rPr>
        <w:t>In accordance with our amended and restated certificate of incorporation, our board of directors is divided into three classes with staggered three-year terms, directors may be removed for cause only upon the vote of at least 66 2/3% of our outstanding shares of voting stock, and vacancies on our board of directors may be filled only by a majority of directors then in office, even though less than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28" w:right="319" w:bottom="1440" w:gutter="0" w:footer="0" w:header="0"/>
        </w:sectPr>
      </w:pPr>
    </w:p>
    <w:bookmarkStart w:id="95" w:name="page96"/>
    <w:bookmarkEnd w:id="95"/>
    <w:p>
      <w:pPr>
        <w:ind w:firstLine="598"/>
        <w:spacing w:after="0" w:line="244" w:lineRule="auto"/>
        <w:rPr>
          <w:sz w:val="20"/>
          <w:szCs w:val="20"/>
          <w:color w:val="auto"/>
        </w:rPr>
      </w:pPr>
      <w:r>
        <w:rPr>
          <w:rFonts w:ascii="Arial" w:cs="Arial" w:eastAsia="Arial" w:hAnsi="Arial"/>
          <w:sz w:val="20"/>
          <w:szCs w:val="20"/>
          <w:color w:val="auto"/>
        </w:rPr>
        <w:t>The foregoing provisions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68" w:lineRule="exact"/>
        <w:rPr>
          <w:sz w:val="20"/>
          <w:szCs w:val="20"/>
          <w:color w:val="auto"/>
        </w:rPr>
      </w:pPr>
    </w:p>
    <w:p>
      <w:pPr>
        <w:ind w:right="20" w:firstLine="598"/>
        <w:spacing w:after="0" w:line="257" w:lineRule="auto"/>
        <w:rPr>
          <w:sz w:val="20"/>
          <w:szCs w:val="20"/>
          <w:color w:val="auto"/>
        </w:rPr>
      </w:pPr>
      <w:r>
        <w:rPr>
          <w:rFonts w:ascii="Arial" w:cs="Arial" w:eastAsia="Arial" w:hAnsi="Arial"/>
          <w:sz w:val="19"/>
          <w:szCs w:val="19"/>
          <w:color w:val="auto"/>
        </w:rPr>
        <w:t>These provisions, including the dual-class structure of our common stock, are intended to preserve our existing control structure,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203 of the Delaware General Corporation Law</w:t>
      </w:r>
    </w:p>
    <w:p>
      <w:pPr>
        <w:spacing w:after="0" w:line="175" w:lineRule="exact"/>
        <w:rPr>
          <w:sz w:val="20"/>
          <w:szCs w:val="20"/>
          <w:color w:val="auto"/>
        </w:rPr>
      </w:pPr>
    </w:p>
    <w:p>
      <w:pPr>
        <w:ind w:right="240" w:firstLine="598"/>
        <w:spacing w:after="0" w:line="250" w:lineRule="auto"/>
        <w:rPr>
          <w:sz w:val="20"/>
          <w:szCs w:val="20"/>
          <w:color w:val="auto"/>
        </w:rPr>
      </w:pPr>
      <w:r>
        <w:rPr>
          <w:rFonts w:ascii="Arial" w:cs="Arial" w:eastAsia="Arial" w:hAnsi="Arial"/>
          <w:sz w:val="20"/>
          <w:szCs w:val="20"/>
          <w:color w:val="auto"/>
        </w:rPr>
        <w:t>We are subject to Section 203 of the DGCL, which generally prohibits a Delaware corporation from engaging in any business combination with any interested stockholder for a period of three years after the date that such stockholder became an interested stockholder, subject to certain exceptions.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Choice of Forum</w:t>
      </w:r>
    </w:p>
    <w:p>
      <w:pPr>
        <w:spacing w:after="0" w:line="175" w:lineRule="exact"/>
        <w:rPr>
          <w:sz w:val="20"/>
          <w:szCs w:val="20"/>
          <w:color w:val="auto"/>
        </w:rPr>
      </w:pPr>
    </w:p>
    <w:p>
      <w:pPr>
        <w:ind w:firstLine="598"/>
        <w:spacing w:after="0" w:line="272"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will be the exclusive forum for actions or proceedings brought under Delaware statutory or common law: (1) any derivative action or proceeding brought on our behalf; (2) any action asserting a breach of fiduciary duty; (3) any action asserting a claim against us arising under the DGCL; (4) any action regarding our amended and restated certificate of incorporation or our amended and restated bylaws; (5) any action as to which the DGCL confers jurisdiction to the Court of Chancery of the State of Delaware; or (6) any action asserting a claim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Exchange Listing</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Our Class A common stock is listed on the Nasdaq Global Select Market under the symbol “DDOG.”</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181" w:lineRule="exact"/>
        <w:rPr>
          <w:sz w:val="20"/>
          <w:szCs w:val="20"/>
          <w:color w:val="auto"/>
        </w:rPr>
      </w:pPr>
    </w:p>
    <w:p>
      <w:pPr>
        <w:ind w:right="260" w:firstLine="598"/>
        <w:spacing w:after="0" w:line="386" w:lineRule="auto"/>
        <w:rPr>
          <w:sz w:val="20"/>
          <w:szCs w:val="20"/>
          <w:color w:val="auto"/>
        </w:rPr>
      </w:pPr>
      <w:r>
        <w:rPr>
          <w:rFonts w:ascii="Arial" w:cs="Arial" w:eastAsia="Arial" w:hAnsi="Arial"/>
          <w:sz w:val="16"/>
          <w:szCs w:val="16"/>
          <w:color w:val="auto"/>
        </w:rPr>
        <w:t>The transfer agent and registrar for our Class A common stock and Class B common stock is American Stock Transfer &amp; Trust Company, LLC. The transfer agent’s address is 6201 15th Avenue, Brooklyn, New York 11219 and the telephone number is (800) 937-5449.</w:t>
      </w:r>
    </w:p>
    <w:p>
      <w:pPr>
        <w:sectPr>
          <w:pgSz w:w="11900" w:h="16838" w:orient="portrait"/>
          <w:cols w:equalWidth="0" w:num="1">
            <w:col w:w="11400"/>
          </w:cols>
          <w:pgMar w:left="240" w:top="528" w:right="25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21.1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Subsidiaries of Datadog, Inc.</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00"/>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6980" w:type="dxa"/>
            <w:vAlign w:val="bottom"/>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Jurisdiction</w:t>
            </w:r>
          </w:p>
        </w:tc>
        <w:tc>
          <w:tcPr>
            <w:tcW w:w="300" w:type="dxa"/>
            <w:vAlign w:val="bottom"/>
          </w:tcPr>
          <w:p>
            <w:pPr>
              <w:spacing w:after="0"/>
              <w:rPr>
                <w:sz w:val="24"/>
                <w:szCs w:val="24"/>
                <w:color w:val="auto"/>
              </w:rPr>
            </w:pPr>
          </w:p>
        </w:tc>
      </w:tr>
      <w:tr>
        <w:trPr>
          <w:trHeight w:val="222"/>
        </w:trPr>
        <w:tc>
          <w:tcPr>
            <w:tcW w:w="7440" w:type="dxa"/>
            <w:vAlign w:val="bottom"/>
            <w:gridSpan w:val="2"/>
          </w:tcPr>
          <w:p>
            <w:pPr>
              <w:spacing w:after="0"/>
              <w:rPr>
                <w:sz w:val="20"/>
                <w:szCs w:val="20"/>
                <w:color w:val="auto"/>
              </w:rPr>
            </w:pPr>
            <w:r>
              <w:rPr>
                <w:rFonts w:ascii="Arial" w:cs="Arial" w:eastAsia="Arial" w:hAnsi="Arial"/>
                <w:sz w:val="18"/>
                <w:szCs w:val="18"/>
                <w:color w:val="auto"/>
              </w:rPr>
              <w:t>Datadog France SAS</w:t>
            </w:r>
          </w:p>
        </w:tc>
        <w:tc>
          <w:tcPr>
            <w:tcW w:w="122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Madumbo SAS</w:t>
            </w:r>
          </w:p>
        </w:tc>
        <w:tc>
          <w:tcPr>
            <w:tcW w:w="122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Datadog Holding Limited</w:t>
            </w:r>
          </w:p>
        </w:tc>
        <w:tc>
          <w:tcPr>
            <w:tcW w:w="122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Focusmatic SAS</w:t>
            </w:r>
          </w:p>
        </w:tc>
        <w:tc>
          <w:tcPr>
            <w:tcW w:w="122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1533 Systems LLC</w:t>
            </w:r>
          </w:p>
        </w:tc>
        <w:tc>
          <w:tcPr>
            <w:tcW w:w="12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Datadog Germany GmbH</w:t>
            </w:r>
          </w:p>
        </w:tc>
        <w:tc>
          <w:tcPr>
            <w:tcW w:w="122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Datadog Ireland Limited</w:t>
            </w:r>
          </w:p>
        </w:tc>
        <w:tc>
          <w:tcPr>
            <w:tcW w:w="122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Datadog Japan GK</w:t>
            </w:r>
          </w:p>
        </w:tc>
        <w:tc>
          <w:tcPr>
            <w:tcW w:w="122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DDog Singapore PTE. LTD.</w:t>
            </w:r>
          </w:p>
        </w:tc>
        <w:tc>
          <w:tcPr>
            <w:tcW w:w="12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Datadog Ireland Limited Australia Branch</w:t>
            </w:r>
          </w:p>
        </w:tc>
        <w:tc>
          <w:tcPr>
            <w:tcW w:w="122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Datadog Ireland Limited UK Branch</w:t>
            </w:r>
          </w:p>
        </w:tc>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r>
    </w:tbl>
    <w:p>
      <w:pPr>
        <w:sectPr>
          <w:pgSz w:w="11900" w:h="16838" w:orient="portrait"/>
          <w:cols w:equalWidth="0" w:num="1">
            <w:col w:w="11420"/>
          </w:cols>
          <w:pgMar w:left="240" w:top="12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consent to the incorporation by reference in Registration Statement No. 333-233903 on Form S-8 of our report dated February 25, 2020 relating to the financial statements of Datadog, Inc. appearing in this Annual Report on Form 10-K for the year ended December 31, 2019.</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ectPr>
          <w:pgSz w:w="11900" w:h="16838" w:orient="portrait"/>
          <w:cols w:equalWidth="0" w:num="1">
            <w:col w:w="11420"/>
          </w:cols>
          <w:pgMar w:left="240" w:top="126"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7"/>
          <w:szCs w:val="17"/>
          <w:b w:val="1"/>
          <w:bCs w:val="1"/>
          <w:color w:val="auto"/>
        </w:rPr>
        <w:t>Exhibit 31.1</w:t>
      </w:r>
    </w:p>
    <w:p>
      <w:pPr>
        <w:spacing w:after="0" w:line="25"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Certification by the Chief Executive Officer pursuant to</w:t>
      </w:r>
    </w:p>
    <w:p>
      <w:pPr>
        <w:spacing w:after="0" w:line="7"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Securities Exchange Act Rules 13a-14(a) and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I, Olivier Pomel, certify that:</w:t>
      </w:r>
    </w:p>
    <w:p>
      <w:pPr>
        <w:spacing w:after="0" w:line="210" w:lineRule="exact"/>
        <w:rPr>
          <w:sz w:val="20"/>
          <w:szCs w:val="20"/>
          <w:color w:val="auto"/>
        </w:rPr>
      </w:pPr>
    </w:p>
    <w:p>
      <w:pPr>
        <w:ind w:left="880" w:hanging="440"/>
        <w:spacing w:after="0"/>
        <w:tabs>
          <w:tab w:leader="none" w:pos="8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Datadog, Inc. (the “registrant”) for the fiscal year ended December 31, 2019;</w:t>
      </w:r>
    </w:p>
    <w:p>
      <w:pPr>
        <w:spacing w:after="0" w:line="209" w:lineRule="exact"/>
        <w:rPr>
          <w:rFonts w:ascii="Arial" w:cs="Arial" w:eastAsia="Arial" w:hAnsi="Arial"/>
          <w:sz w:val="17"/>
          <w:szCs w:val="17"/>
          <w:color w:val="auto"/>
        </w:rPr>
      </w:pPr>
    </w:p>
    <w:p>
      <w:pPr>
        <w:ind w:left="880" w:right="120" w:hanging="440"/>
        <w:spacing w:after="0" w:line="342" w:lineRule="auto"/>
        <w:tabs>
          <w:tab w:leader="none" w:pos="8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left="880" w:right="580" w:hanging="440"/>
        <w:spacing w:after="0" w:line="306" w:lineRule="auto"/>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6"/>
          <w:szCs w:val="16"/>
          <w:color w:val="auto"/>
        </w:rPr>
      </w:pPr>
    </w:p>
    <w:p>
      <w:pPr>
        <w:ind w:left="880" w:right="620" w:hanging="440"/>
        <w:spacing w:after="0" w:line="274" w:lineRule="auto"/>
        <w:tabs>
          <w:tab w:leader="none" w:pos="8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Arial" w:cs="Arial" w:eastAsia="Arial" w:hAnsi="Arial"/>
          <w:sz w:val="17"/>
          <w:szCs w:val="17"/>
          <w:color w:val="auto"/>
        </w:rPr>
      </w:pPr>
    </w:p>
    <w:p>
      <w:pPr>
        <w:ind w:left="1300" w:right="420" w:hanging="428"/>
        <w:spacing w:after="0" w:line="261" w:lineRule="auto"/>
        <w:tabs>
          <w:tab w:leader="none" w:pos="13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jc w:val="both"/>
        <w:ind w:left="1300" w:right="880" w:hanging="428"/>
        <w:spacing w:after="0" w:line="342" w:lineRule="auto"/>
        <w:tabs>
          <w:tab w:leader="none" w:pos="1300"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5"/>
          <w:szCs w:val="15"/>
          <w:color w:val="auto"/>
        </w:rPr>
      </w:pPr>
    </w:p>
    <w:p>
      <w:pPr>
        <w:ind w:left="1300" w:right="40" w:hanging="428"/>
        <w:spacing w:after="0" w:line="261" w:lineRule="auto"/>
        <w:tabs>
          <w:tab w:leader="none" w:pos="13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880" w:right="340" w:hanging="440"/>
        <w:spacing w:after="0" w:line="306" w:lineRule="auto"/>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6"/>
          <w:szCs w:val="16"/>
          <w:color w:val="auto"/>
        </w:rPr>
      </w:pPr>
    </w:p>
    <w:p>
      <w:pPr>
        <w:ind w:left="1300" w:right="320" w:hanging="428"/>
        <w:spacing w:after="0" w:line="274" w:lineRule="auto"/>
        <w:tabs>
          <w:tab w:leader="none" w:pos="13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7"/>
          <w:szCs w:val="17"/>
          <w:color w:val="auto"/>
        </w:rPr>
      </w:pPr>
    </w:p>
    <w:p>
      <w:pPr>
        <w:ind w:left="1300" w:right="100" w:hanging="428"/>
        <w:spacing w:after="0" w:line="274" w:lineRule="auto"/>
        <w:tabs>
          <w:tab w:leader="none" w:pos="13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internal control over financial reporting.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7"/>
                <w:szCs w:val="17"/>
                <w:color w:val="auto"/>
              </w:rPr>
              <w:t>Date: February 25, 2020</w:t>
            </w:r>
          </w:p>
        </w:tc>
        <w:tc>
          <w:tcPr>
            <w:tcW w:w="2580" w:type="dxa"/>
            <w:vAlign w:val="bottom"/>
          </w:tcPr>
          <w:p>
            <w:pPr>
              <w:ind w:left="1780"/>
              <w:spacing w:after="0"/>
              <w:rPr>
                <w:sz w:val="20"/>
                <w:szCs w:val="20"/>
                <w:color w:val="auto"/>
              </w:rPr>
            </w:pPr>
            <w:r>
              <w:rPr>
                <w:rFonts w:ascii="Arial" w:cs="Arial" w:eastAsia="Arial" w:hAnsi="Arial"/>
                <w:sz w:val="17"/>
                <w:szCs w:val="17"/>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Olivier Pomel</w:t>
            </w:r>
          </w:p>
        </w:tc>
      </w:tr>
      <w:tr>
        <w:trPr>
          <w:trHeight w:val="176"/>
        </w:trPr>
        <w:tc>
          <w:tcPr>
            <w:tcW w:w="3480" w:type="dxa"/>
            <w:vAlign w:val="bottom"/>
          </w:tcPr>
          <w:p>
            <w:pPr>
              <w:spacing w:after="0"/>
              <w:rPr>
                <w:sz w:val="15"/>
                <w:szCs w:val="15"/>
                <w:color w:val="auto"/>
              </w:rPr>
            </w:pPr>
          </w:p>
        </w:tc>
        <w:tc>
          <w:tcPr>
            <w:tcW w:w="2580" w:type="dxa"/>
            <w:vAlign w:val="bottom"/>
          </w:tcPr>
          <w:p>
            <w:pPr>
              <w:ind w:left="1780"/>
              <w:spacing w:after="0" w:line="176" w:lineRule="exact"/>
              <w:rPr>
                <w:sz w:val="20"/>
                <w:szCs w:val="20"/>
                <w:color w:val="auto"/>
              </w:rPr>
            </w:pPr>
            <w:r>
              <w:rPr>
                <w:rFonts w:ascii="Arial" w:cs="Arial" w:eastAsia="Arial" w:hAnsi="Arial"/>
                <w:sz w:val="17"/>
                <w:szCs w:val="17"/>
                <w:b w:val="1"/>
                <w:bCs w:val="1"/>
                <w:color w:val="auto"/>
              </w:rPr>
              <w:t>Name:</w:t>
            </w:r>
          </w:p>
        </w:tc>
        <w:tc>
          <w:tcPr>
            <w:tcW w:w="5360" w:type="dxa"/>
            <w:vAlign w:val="bottom"/>
          </w:tcPr>
          <w:p>
            <w:pPr>
              <w:jc w:val="center"/>
              <w:spacing w:after="0" w:line="176" w:lineRule="exact"/>
              <w:rPr>
                <w:sz w:val="20"/>
                <w:szCs w:val="20"/>
                <w:color w:val="auto"/>
              </w:rPr>
            </w:pPr>
            <w:r>
              <w:rPr>
                <w:rFonts w:ascii="Arial" w:cs="Arial" w:eastAsia="Arial" w:hAnsi="Arial"/>
                <w:sz w:val="17"/>
                <w:szCs w:val="17"/>
                <w:color w:val="auto"/>
                <w:w w:val="94"/>
              </w:rPr>
              <w:t>Olivier Pomel</w:t>
            </w:r>
          </w:p>
        </w:tc>
      </w:tr>
      <w:tr>
        <w:trPr>
          <w:trHeight w:val="209"/>
        </w:trPr>
        <w:tc>
          <w:tcPr>
            <w:tcW w:w="3480" w:type="dxa"/>
            <w:vAlign w:val="bottom"/>
          </w:tcPr>
          <w:p>
            <w:pPr>
              <w:spacing w:after="0"/>
              <w:rPr>
                <w:sz w:val="18"/>
                <w:szCs w:val="18"/>
                <w:color w:val="auto"/>
              </w:rPr>
            </w:pPr>
          </w:p>
        </w:tc>
        <w:tc>
          <w:tcPr>
            <w:tcW w:w="2580" w:type="dxa"/>
            <w:vAlign w:val="bottom"/>
          </w:tcPr>
          <w:p>
            <w:pPr>
              <w:ind w:left="1780"/>
              <w:spacing w:after="0"/>
              <w:rPr>
                <w:sz w:val="20"/>
                <w:szCs w:val="20"/>
                <w:color w:val="auto"/>
              </w:rPr>
            </w:pPr>
            <w:r>
              <w:rPr>
                <w:rFonts w:ascii="Arial" w:cs="Arial" w:eastAsia="Arial" w:hAnsi="Arial"/>
                <w:sz w:val="17"/>
                <w:szCs w:val="17"/>
                <w:b w:val="1"/>
                <w:bCs w:val="1"/>
                <w:color w:val="auto"/>
              </w:rPr>
              <w:t>Title:</w:t>
            </w:r>
          </w:p>
        </w:tc>
        <w:tc>
          <w:tcPr>
            <w:tcW w:w="5360" w:type="dxa"/>
            <w:vAlign w:val="bottom"/>
          </w:tcPr>
          <w:p>
            <w:pPr>
              <w:jc w:val="center"/>
              <w:spacing w:after="0"/>
              <w:rPr>
                <w:sz w:val="20"/>
                <w:szCs w:val="20"/>
                <w:color w:val="auto"/>
              </w:rPr>
            </w:pPr>
            <w:r>
              <w:rPr>
                <w:rFonts w:ascii="Arial" w:cs="Arial" w:eastAsia="Arial" w:hAnsi="Arial"/>
                <w:sz w:val="17"/>
                <w:szCs w:val="17"/>
                <w:color w:val="auto"/>
                <w:w w:val="93"/>
              </w:rPr>
              <w:t>Chief Executive Officer and Director</w:t>
            </w:r>
          </w:p>
        </w:tc>
      </w:tr>
      <w:tr>
        <w:trPr>
          <w:trHeight w:val="216"/>
        </w:trPr>
        <w:tc>
          <w:tcPr>
            <w:tcW w:w="3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i w:val="1"/>
                <w:iCs w:val="1"/>
                <w:color w:val="auto"/>
                <w:w w:val="95"/>
              </w:rPr>
              <w:t>Principal Executive Officer</w:t>
            </w:r>
            <w:r>
              <w:rPr>
                <w:rFonts w:ascii="Arial" w:cs="Arial" w:eastAsia="Arial" w:hAnsi="Arial"/>
                <w:sz w:val="17"/>
                <w:szCs w:val="17"/>
                <w:color w:val="auto"/>
                <w:w w:val="95"/>
              </w:rPr>
              <w:t>)</w:t>
            </w:r>
          </w:p>
        </w:tc>
      </w:tr>
    </w:tbl>
    <w:p>
      <w:pPr>
        <w:sectPr>
          <w:pgSz w:w="11900" w:h="16838" w:orient="portrait"/>
          <w:cols w:equalWidth="0" w:num="1">
            <w:col w:w="11420"/>
          </w:cols>
          <w:pgMar w:left="240" w:top="118"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t>Exhibit 31.2</w:t>
      </w:r>
    </w:p>
    <w:p>
      <w:pPr>
        <w:spacing w:after="0" w:line="25"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Certification by the Chief Financial Officer pursuant to</w:t>
      </w:r>
    </w:p>
    <w:p>
      <w:pPr>
        <w:spacing w:after="0" w:line="7"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Securities Exchange Act Rules 13a-14(a) and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I, David Obstler, certify that:</w:t>
      </w:r>
    </w:p>
    <w:p>
      <w:pPr>
        <w:spacing w:after="0" w:line="210" w:lineRule="exact"/>
        <w:rPr>
          <w:sz w:val="20"/>
          <w:szCs w:val="20"/>
          <w:color w:val="auto"/>
        </w:rPr>
      </w:pPr>
    </w:p>
    <w:p>
      <w:pPr>
        <w:ind w:left="880" w:hanging="440"/>
        <w:spacing w:after="0"/>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Datadog, Inc. (the “registrant”) for the fiscal year ended December 31, 2019;</w:t>
      </w:r>
    </w:p>
    <w:p>
      <w:pPr>
        <w:spacing w:after="0" w:line="209" w:lineRule="exact"/>
        <w:rPr>
          <w:rFonts w:ascii="Arial" w:cs="Arial" w:eastAsia="Arial" w:hAnsi="Arial"/>
          <w:sz w:val="17"/>
          <w:szCs w:val="17"/>
          <w:color w:val="auto"/>
        </w:rPr>
      </w:pPr>
    </w:p>
    <w:p>
      <w:pPr>
        <w:ind w:left="880" w:right="120" w:hanging="440"/>
        <w:spacing w:after="0" w:line="342" w:lineRule="auto"/>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left="880" w:right="580" w:hanging="440"/>
        <w:spacing w:after="0" w:line="306" w:lineRule="auto"/>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6"/>
          <w:szCs w:val="16"/>
          <w:color w:val="auto"/>
        </w:rPr>
      </w:pPr>
    </w:p>
    <w:p>
      <w:pPr>
        <w:ind w:left="880" w:right="620" w:hanging="440"/>
        <w:spacing w:after="0" w:line="274" w:lineRule="auto"/>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Arial" w:cs="Arial" w:eastAsia="Arial" w:hAnsi="Arial"/>
          <w:sz w:val="17"/>
          <w:szCs w:val="17"/>
          <w:color w:val="auto"/>
        </w:rPr>
      </w:pPr>
    </w:p>
    <w:p>
      <w:pPr>
        <w:ind w:left="1300" w:right="420" w:hanging="428"/>
        <w:spacing w:after="0" w:line="261" w:lineRule="auto"/>
        <w:tabs>
          <w:tab w:leader="none" w:pos="13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jc w:val="both"/>
        <w:ind w:left="1300" w:right="880" w:hanging="428"/>
        <w:spacing w:after="0" w:line="342" w:lineRule="auto"/>
        <w:tabs>
          <w:tab w:leader="none" w:pos="1300" w:val="left"/>
        </w:tabs>
        <w:numPr>
          <w:ilvl w:val="1"/>
          <w:numId w:val="4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5"/>
          <w:szCs w:val="15"/>
          <w:color w:val="auto"/>
        </w:rPr>
      </w:pPr>
    </w:p>
    <w:p>
      <w:pPr>
        <w:ind w:left="1300" w:right="40" w:hanging="428"/>
        <w:spacing w:after="0" w:line="261" w:lineRule="auto"/>
        <w:tabs>
          <w:tab w:leader="none" w:pos="13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880" w:right="340" w:hanging="440"/>
        <w:spacing w:after="0" w:line="306" w:lineRule="auto"/>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6"/>
          <w:szCs w:val="16"/>
          <w:color w:val="auto"/>
        </w:rPr>
      </w:pPr>
    </w:p>
    <w:p>
      <w:pPr>
        <w:ind w:left="1300" w:right="320" w:hanging="428"/>
        <w:spacing w:after="0" w:line="274" w:lineRule="auto"/>
        <w:tabs>
          <w:tab w:leader="none" w:pos="13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7"/>
          <w:szCs w:val="17"/>
          <w:color w:val="auto"/>
        </w:rPr>
      </w:pPr>
    </w:p>
    <w:p>
      <w:pPr>
        <w:ind w:left="1300" w:right="100" w:hanging="428"/>
        <w:spacing w:after="0" w:line="274" w:lineRule="auto"/>
        <w:tabs>
          <w:tab w:leader="none" w:pos="13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internal control over financial reporting.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7"/>
                <w:szCs w:val="17"/>
                <w:color w:val="auto"/>
              </w:rPr>
              <w:t>Date: February 25, 2020</w:t>
            </w:r>
          </w:p>
        </w:tc>
        <w:tc>
          <w:tcPr>
            <w:tcW w:w="2580" w:type="dxa"/>
            <w:vAlign w:val="bottom"/>
          </w:tcPr>
          <w:p>
            <w:pPr>
              <w:ind w:left="1780"/>
              <w:spacing w:after="0"/>
              <w:rPr>
                <w:sz w:val="20"/>
                <w:szCs w:val="20"/>
                <w:color w:val="auto"/>
              </w:rPr>
            </w:pPr>
            <w:r>
              <w:rPr>
                <w:rFonts w:ascii="Arial" w:cs="Arial" w:eastAsia="Arial" w:hAnsi="Arial"/>
                <w:sz w:val="17"/>
                <w:szCs w:val="17"/>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David Obstler</w:t>
            </w:r>
          </w:p>
        </w:tc>
      </w:tr>
      <w:tr>
        <w:trPr>
          <w:trHeight w:val="176"/>
        </w:trPr>
        <w:tc>
          <w:tcPr>
            <w:tcW w:w="3480" w:type="dxa"/>
            <w:vAlign w:val="bottom"/>
          </w:tcPr>
          <w:p>
            <w:pPr>
              <w:spacing w:after="0"/>
              <w:rPr>
                <w:sz w:val="15"/>
                <w:szCs w:val="15"/>
                <w:color w:val="auto"/>
              </w:rPr>
            </w:pPr>
          </w:p>
        </w:tc>
        <w:tc>
          <w:tcPr>
            <w:tcW w:w="2580" w:type="dxa"/>
            <w:vAlign w:val="bottom"/>
          </w:tcPr>
          <w:p>
            <w:pPr>
              <w:ind w:left="1780"/>
              <w:spacing w:after="0" w:line="176" w:lineRule="exact"/>
              <w:rPr>
                <w:sz w:val="20"/>
                <w:szCs w:val="20"/>
                <w:color w:val="auto"/>
              </w:rPr>
            </w:pPr>
            <w:r>
              <w:rPr>
                <w:rFonts w:ascii="Arial" w:cs="Arial" w:eastAsia="Arial" w:hAnsi="Arial"/>
                <w:sz w:val="17"/>
                <w:szCs w:val="17"/>
                <w:b w:val="1"/>
                <w:bCs w:val="1"/>
                <w:color w:val="auto"/>
              </w:rPr>
              <w:t>Name:</w:t>
            </w:r>
          </w:p>
        </w:tc>
        <w:tc>
          <w:tcPr>
            <w:tcW w:w="5360" w:type="dxa"/>
            <w:vAlign w:val="bottom"/>
          </w:tcPr>
          <w:p>
            <w:pPr>
              <w:jc w:val="center"/>
              <w:spacing w:after="0" w:line="176" w:lineRule="exact"/>
              <w:rPr>
                <w:sz w:val="20"/>
                <w:szCs w:val="20"/>
                <w:color w:val="auto"/>
              </w:rPr>
            </w:pPr>
            <w:r>
              <w:rPr>
                <w:rFonts w:ascii="Arial" w:cs="Arial" w:eastAsia="Arial" w:hAnsi="Arial"/>
                <w:sz w:val="17"/>
                <w:szCs w:val="17"/>
                <w:color w:val="auto"/>
                <w:w w:val="93"/>
              </w:rPr>
              <w:t>David Obstler</w:t>
            </w:r>
          </w:p>
        </w:tc>
      </w:tr>
      <w:tr>
        <w:trPr>
          <w:trHeight w:val="209"/>
        </w:trPr>
        <w:tc>
          <w:tcPr>
            <w:tcW w:w="3480" w:type="dxa"/>
            <w:vAlign w:val="bottom"/>
          </w:tcPr>
          <w:p>
            <w:pPr>
              <w:spacing w:after="0"/>
              <w:rPr>
                <w:sz w:val="18"/>
                <w:szCs w:val="18"/>
                <w:color w:val="auto"/>
              </w:rPr>
            </w:pPr>
          </w:p>
        </w:tc>
        <w:tc>
          <w:tcPr>
            <w:tcW w:w="2580" w:type="dxa"/>
            <w:vAlign w:val="bottom"/>
          </w:tcPr>
          <w:p>
            <w:pPr>
              <w:ind w:left="1780"/>
              <w:spacing w:after="0"/>
              <w:rPr>
                <w:sz w:val="20"/>
                <w:szCs w:val="20"/>
                <w:color w:val="auto"/>
              </w:rPr>
            </w:pPr>
            <w:r>
              <w:rPr>
                <w:rFonts w:ascii="Arial" w:cs="Arial" w:eastAsia="Arial" w:hAnsi="Arial"/>
                <w:sz w:val="17"/>
                <w:szCs w:val="17"/>
                <w:b w:val="1"/>
                <w:bCs w:val="1"/>
                <w:color w:val="auto"/>
              </w:rPr>
              <w:t>Title:</w:t>
            </w:r>
          </w:p>
        </w:tc>
        <w:tc>
          <w:tcPr>
            <w:tcW w:w="5360" w:type="dxa"/>
            <w:vAlign w:val="bottom"/>
          </w:tcPr>
          <w:p>
            <w:pPr>
              <w:jc w:val="center"/>
              <w:spacing w:after="0"/>
              <w:rPr>
                <w:sz w:val="20"/>
                <w:szCs w:val="20"/>
                <w:color w:val="auto"/>
              </w:rPr>
            </w:pPr>
            <w:r>
              <w:rPr>
                <w:rFonts w:ascii="Arial" w:cs="Arial" w:eastAsia="Arial" w:hAnsi="Arial"/>
                <w:sz w:val="17"/>
                <w:szCs w:val="17"/>
                <w:color w:val="auto"/>
                <w:w w:val="95"/>
              </w:rPr>
              <w:t>Chief Financial Officer</w:t>
            </w:r>
          </w:p>
        </w:tc>
      </w:tr>
      <w:tr>
        <w:trPr>
          <w:trHeight w:val="216"/>
        </w:trPr>
        <w:tc>
          <w:tcPr>
            <w:tcW w:w="3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i w:val="1"/>
                <w:iCs w:val="1"/>
                <w:color w:val="auto"/>
                <w:w w:val="95"/>
              </w:rPr>
              <w:t>Principal Financial and Accounting Officer</w:t>
            </w:r>
            <w:r>
              <w:rPr>
                <w:rFonts w:ascii="Arial" w:cs="Arial" w:eastAsia="Arial" w:hAnsi="Arial"/>
                <w:sz w:val="17"/>
                <w:szCs w:val="17"/>
                <w:color w:val="auto"/>
                <w:w w:val="95"/>
              </w:rPr>
              <w:t>)</w:t>
            </w:r>
          </w:p>
        </w:tc>
      </w:tr>
    </w:tbl>
    <w:p>
      <w:pPr>
        <w:sectPr>
          <w:pgSz w:w="11900" w:h="16838" w:orient="portrait"/>
          <w:cols w:equalWidth="0" w:num="1">
            <w:col w:w="11420"/>
          </w:cols>
          <w:pgMar w:left="240" w:top="118"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Olivier Pomel, certify, pursuant to 18 U.S.C. Section 1350, as adopted pursuant to Section 906 of the Sarbanes-Oxley Act of 2002, that the Annual Report on Form 10-K of Datadog, Inc. for the fiscal year ended December 31, 2019 fully complies with the requirements of Section 13(a) or 15(d) of the Securities Exchange Act of 1934, as amended, and that information contained in such Annual Report on Form 10-K fairly presents, in all material respects, the financial condition and results of operations of Datadog,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February 25, 2020</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Olivier Pomel</w:t>
            </w:r>
          </w:p>
        </w:tc>
      </w:tr>
      <w:tr>
        <w:trPr>
          <w:trHeight w:val="191"/>
        </w:trPr>
        <w:tc>
          <w:tcPr>
            <w:tcW w:w="3700" w:type="dxa"/>
            <w:vAlign w:val="bottom"/>
          </w:tcPr>
          <w:p>
            <w:pPr>
              <w:spacing w:after="0"/>
              <w:rPr>
                <w:sz w:val="16"/>
                <w:szCs w:val="16"/>
                <w:color w:val="auto"/>
              </w:rPr>
            </w:pPr>
          </w:p>
        </w:tc>
        <w:tc>
          <w:tcPr>
            <w:tcW w:w="2480" w:type="dxa"/>
            <w:vAlign w:val="bottom"/>
          </w:tcPr>
          <w:p>
            <w:pPr>
              <w:ind w:left="1920"/>
              <w:spacing w:after="0" w:line="191" w:lineRule="exact"/>
              <w:rPr>
                <w:sz w:val="20"/>
                <w:szCs w:val="20"/>
                <w:color w:val="auto"/>
              </w:rPr>
            </w:pPr>
            <w:r>
              <w:rPr>
                <w:rFonts w:ascii="Arial" w:cs="Arial" w:eastAsia="Arial" w:hAnsi="Arial"/>
                <w:sz w:val="18"/>
                <w:szCs w:val="18"/>
                <w:b w:val="1"/>
                <w:bCs w:val="1"/>
                <w:color w:val="auto"/>
                <w:w w:val="98"/>
              </w:rPr>
              <w:t>Name:</w:t>
            </w:r>
          </w:p>
        </w:tc>
        <w:tc>
          <w:tcPr>
            <w:tcW w:w="5240" w:type="dxa"/>
            <w:vAlign w:val="bottom"/>
          </w:tcPr>
          <w:p>
            <w:pPr>
              <w:jc w:val="center"/>
              <w:spacing w:after="0" w:line="191" w:lineRule="exact"/>
              <w:rPr>
                <w:sz w:val="20"/>
                <w:szCs w:val="20"/>
                <w:color w:val="auto"/>
              </w:rPr>
            </w:pPr>
            <w:r>
              <w:rPr>
                <w:rFonts w:ascii="Arial" w:cs="Arial" w:eastAsia="Arial" w:hAnsi="Arial"/>
                <w:sz w:val="18"/>
                <w:szCs w:val="18"/>
                <w:color w:val="auto"/>
                <w:w w:val="93"/>
              </w:rPr>
              <w:t>Olivier Pomel</w:t>
            </w:r>
          </w:p>
        </w:tc>
      </w:tr>
      <w:tr>
        <w:trPr>
          <w:trHeight w:val="220"/>
        </w:trPr>
        <w:tc>
          <w:tcPr>
            <w:tcW w:w="3700" w:type="dxa"/>
            <w:vAlign w:val="bottom"/>
          </w:tcPr>
          <w:p>
            <w:pPr>
              <w:spacing w:after="0"/>
              <w:rPr>
                <w:sz w:val="19"/>
                <w:szCs w:val="19"/>
                <w:color w:val="auto"/>
              </w:rPr>
            </w:pPr>
          </w:p>
        </w:tc>
        <w:tc>
          <w:tcPr>
            <w:tcW w:w="2480" w:type="dxa"/>
            <w:vAlign w:val="bottom"/>
          </w:tcPr>
          <w:p>
            <w:pPr>
              <w:ind w:left="1920"/>
              <w:spacing w:after="0"/>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r>
      <w:tr>
        <w:trPr>
          <w:trHeight w:val="230"/>
        </w:trPr>
        <w:tc>
          <w:tcPr>
            <w:tcW w:w="3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bl>
    <w:p>
      <w:pPr>
        <w:sectPr>
          <w:pgSz w:w="11900" w:h="16838" w:orient="portrait"/>
          <w:cols w:equalWidth="0" w:num="1">
            <w:col w:w="11420"/>
          </w:cols>
          <w:pgMar w:left="240" w:top="337"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David Obstler, certify, pursuant to 18 U.S.C. Section 1350, as adopted pursuant to Section 906 of the Sarbanes-Oxley Act of 2002, that the Annual Report on Form 10-K of Datadog, Inc. for the fiscal year ended December 31, 2019 fully complies with the requirements of Section 13(a) or 15(d) of the Securities Exchange Act of 1934, as amended, and that information contained in such Annual Report on Form 10-K fairly presents, in all material respects, the financial condition and results of operations of Datadog,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February 25, 2020</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Obstler</w:t>
            </w:r>
          </w:p>
        </w:tc>
      </w:tr>
      <w:tr>
        <w:trPr>
          <w:trHeight w:val="191"/>
        </w:trPr>
        <w:tc>
          <w:tcPr>
            <w:tcW w:w="3700" w:type="dxa"/>
            <w:vAlign w:val="bottom"/>
          </w:tcPr>
          <w:p>
            <w:pPr>
              <w:spacing w:after="0"/>
              <w:rPr>
                <w:sz w:val="16"/>
                <w:szCs w:val="16"/>
                <w:color w:val="auto"/>
              </w:rPr>
            </w:pPr>
          </w:p>
        </w:tc>
        <w:tc>
          <w:tcPr>
            <w:tcW w:w="2480" w:type="dxa"/>
            <w:vAlign w:val="bottom"/>
          </w:tcPr>
          <w:p>
            <w:pPr>
              <w:ind w:left="1920"/>
              <w:spacing w:after="0" w:line="191" w:lineRule="exact"/>
              <w:rPr>
                <w:sz w:val="20"/>
                <w:szCs w:val="20"/>
                <w:color w:val="auto"/>
              </w:rPr>
            </w:pPr>
            <w:r>
              <w:rPr>
                <w:rFonts w:ascii="Arial" w:cs="Arial" w:eastAsia="Arial" w:hAnsi="Arial"/>
                <w:sz w:val="18"/>
                <w:szCs w:val="18"/>
                <w:b w:val="1"/>
                <w:bCs w:val="1"/>
                <w:color w:val="auto"/>
                <w:w w:val="98"/>
              </w:rPr>
              <w:t>Name:</w:t>
            </w:r>
          </w:p>
        </w:tc>
        <w:tc>
          <w:tcPr>
            <w:tcW w:w="5240" w:type="dxa"/>
            <w:vAlign w:val="bottom"/>
          </w:tcPr>
          <w:p>
            <w:pPr>
              <w:jc w:val="center"/>
              <w:spacing w:after="0" w:line="191" w:lineRule="exact"/>
              <w:rPr>
                <w:sz w:val="20"/>
                <w:szCs w:val="20"/>
                <w:color w:val="auto"/>
              </w:rPr>
            </w:pPr>
            <w:r>
              <w:rPr>
                <w:rFonts w:ascii="Arial" w:cs="Arial" w:eastAsia="Arial" w:hAnsi="Arial"/>
                <w:sz w:val="18"/>
                <w:szCs w:val="18"/>
                <w:color w:val="auto"/>
                <w:w w:val="91"/>
              </w:rPr>
              <w:t>David Obstler</w:t>
            </w:r>
          </w:p>
        </w:tc>
      </w:tr>
      <w:tr>
        <w:trPr>
          <w:trHeight w:val="220"/>
        </w:trPr>
        <w:tc>
          <w:tcPr>
            <w:tcW w:w="3700" w:type="dxa"/>
            <w:vAlign w:val="bottom"/>
          </w:tcPr>
          <w:p>
            <w:pPr>
              <w:spacing w:after="0"/>
              <w:rPr>
                <w:sz w:val="19"/>
                <w:szCs w:val="19"/>
                <w:color w:val="auto"/>
              </w:rPr>
            </w:pPr>
          </w:p>
        </w:tc>
        <w:tc>
          <w:tcPr>
            <w:tcW w:w="2480" w:type="dxa"/>
            <w:vAlign w:val="bottom"/>
          </w:tcPr>
          <w:p>
            <w:pPr>
              <w:ind w:left="1920"/>
              <w:spacing w:after="0"/>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8"/>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2"/>
    </w:lvl>
  </w:abstractNum>
  <w:abstractNum w:abstractNumId="26">
    <w:nsid w:val="77465F01"/>
    <w:multiLevelType w:val="hybridMultilevel"/>
    <w:lvl w:ilvl="0">
      <w:lvlJc w:val="left"/>
      <w:lvlText w:val="(%1)"/>
      <w:numFmt w:val="decimal"/>
      <w:start w:val="3"/>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2"/>
    </w:lvl>
  </w:abstractNum>
  <w:abstractNum w:abstractNumId="30">
    <w:nsid w:val="5E884ADC"/>
    <w:multiLevelType w:val="hybridMultilevel"/>
    <w:lvl w:ilvl="0">
      <w:lvlJc w:val="left"/>
      <w:lvlText w:val="(%1)"/>
      <w:numFmt w:val="decimal"/>
      <w:start w:val="3"/>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2"/>
    </w:lvl>
  </w:abstractNum>
  <w:abstractNum w:abstractNumId="33">
    <w:nsid w:val="580BD78F"/>
    <w:multiLevelType w:val="hybridMultilevel"/>
    <w:lvl w:ilvl="0">
      <w:lvlJc w:val="left"/>
      <w:lvlText w:val="(%1)"/>
      <w:numFmt w:val="decimal"/>
      <w:start w:val="3"/>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B"/>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3"/>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19" Type="http://schemas.openxmlformats.org/officeDocument/2006/relationships/hyperlink" Target="http://www.sec.gov/Archives/edgar/data/0001561550/000119312519252279/d803834dex31.htm" TargetMode="External"/><Relationship Id="rId120" Type="http://schemas.openxmlformats.org/officeDocument/2006/relationships/hyperlink" Target="http://www.sec.gov/Archives/edgar/data/0001561550/000119312519227783/d745413dex34.htm" TargetMode="External"/><Relationship Id="rId121" Type="http://schemas.openxmlformats.org/officeDocument/2006/relationships/hyperlink" Target="http://www.sec.gov/Archives/edgar/data/0001561550/000119312519240411/d745413dex41.htm" TargetMode="External"/><Relationship Id="rId122" Type="http://schemas.openxmlformats.org/officeDocument/2006/relationships/hyperlink" Target="http://www.sec.gov/Archives/edgar/data/0001561550/000119312519227783/d745413dex101.htm" TargetMode="External"/><Relationship Id="rId123" Type="http://schemas.openxmlformats.org/officeDocument/2006/relationships/hyperlink" Target="http://www.sec.gov/Archives/edgar/data/0001561550/000119312519227783/d745413dex102.htm" TargetMode="External"/><Relationship Id="rId124" Type="http://schemas.openxmlformats.org/officeDocument/2006/relationships/hyperlink" Target="http://www.sec.gov/Archives/edgar/data/0001561550/000119312519240411/d745413dex103.htm" TargetMode="External"/><Relationship Id="rId125" Type="http://schemas.openxmlformats.org/officeDocument/2006/relationships/hyperlink" Target="http://www.sec.gov/Archives/edgar/data/0001561550/000119312519240411/d745413dex104.htm" TargetMode="External"/><Relationship Id="rId126" Type="http://schemas.openxmlformats.org/officeDocument/2006/relationships/hyperlink" Target="http://www.sec.gov/Archives/edgar/data/0001561550/000119312519240411/d745413dex105.htm" TargetMode="External"/><Relationship Id="rId127" Type="http://schemas.openxmlformats.org/officeDocument/2006/relationships/hyperlink" Target="http://www.sec.gov/Archives/edgar/data/0001561550/000119312519240411/d745413dex106.htm" TargetMode="External"/><Relationship Id="rId130" Type="http://schemas.openxmlformats.org/officeDocument/2006/relationships/hyperlink" Target="http://www.sec.gov/Archives/edgar/data/0001561550/000119312519240411/d745413dex107.htm" TargetMode="External"/><Relationship Id="rId131" Type="http://schemas.openxmlformats.org/officeDocument/2006/relationships/hyperlink" Target="http://www.sec.gov/Archives/edgar/data/0001561550/000119312519240411/d745413dex108.htm" TargetMode="External"/><Relationship Id="rId132" Type="http://schemas.openxmlformats.org/officeDocument/2006/relationships/hyperlink" Target="http://www.sec.gov/Archives/edgar/data/0001561550/000119312519227783/d745413dex109.htm" TargetMode="External"/><Relationship Id="rId133" Type="http://schemas.openxmlformats.org/officeDocument/2006/relationships/hyperlink" Target="http://www.sec.gov/Archives/edgar/data/0001561550/000119312519227783/d745413dex1010.htm" TargetMode="External"/><Relationship Id="rId134" Type="http://schemas.openxmlformats.org/officeDocument/2006/relationships/hyperlink" Target="http://www.sec.gov/Archives/edgar/data/0001561550/000119312519227783/d745413dex1011.htm" TargetMode="External"/><Relationship Id="rId135" Type="http://schemas.openxmlformats.org/officeDocument/2006/relationships/hyperlink" Target="http://www.sec.gov/Archives/edgar/data/0001561550/000119312519240411/d745413dex1012.htm" TargetMode="External"/><Relationship Id="rId136" Type="http://schemas.openxmlformats.org/officeDocument/2006/relationships/hyperlink" Target="http://www.sec.gov/Archives/edgar/data/0001561550/000119312519240411/d745413d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2020-02-25T17:01:06Z</dcterms:created>
  <dcterms:modified xsi:type="dcterms:W3CDTF">2020-02-25T17:01:06Z</dcterms:modified>
</cp:coreProperties>
</file>