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031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031355"/>
                    </a:xfrm>
                    <a:prstGeom prst="rect">
                      <a:avLst/>
                    </a:prstGeom>
                    <a:noFill/>
                  </pic:spPr>
                </pic:pic>
              </a:graphicData>
            </a:graphic>
          </wp:anchor>
        </w:drawing>
      </w:r>
    </w:p>
    <w:p>
      <w:pPr>
        <w:spacing w:after="0" w:line="1285" w:lineRule="exact"/>
        <w:rPr>
          <w:sz w:val="24"/>
          <w:szCs w:val="24"/>
          <w:color w:val="auto"/>
        </w:rPr>
      </w:pPr>
    </w:p>
    <w:p>
      <w:pPr>
        <w:sectPr>
          <w:pgSz w:w="11900" w:h="16896"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Blitzer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DATADOG,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620 8TH AVENUE, 45TH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Datadog,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DDOG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96"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5"/>
          </w:tcPr>
          <w:p>
            <w:pPr>
              <w:jc w:val="center"/>
              <w:ind w:right="2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66"/>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06/02/2026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13,642</w:t>
            </w:r>
          </w:p>
        </w:tc>
        <w:tc>
          <w:tcPr>
            <w:tcW w:w="4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267.1544</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275,973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562</w:t>
            </w:r>
          </w:p>
        </w:tc>
        <w:tc>
          <w:tcPr>
            <w:tcW w:w="4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246.541</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275,411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3,500</w:t>
            </w:r>
          </w:p>
        </w:tc>
        <w:tc>
          <w:tcPr>
            <w:tcW w:w="4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247.6877</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271,911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2,924</w:t>
            </w:r>
          </w:p>
        </w:tc>
        <w:tc>
          <w:tcPr>
            <w:tcW w:w="4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248.6745</w:t>
            </w:r>
            <w:r>
              <w:rPr>
                <w:rFonts w:ascii="Times New Roman" w:cs="Times New Roman" w:eastAsia="Times New Roman" w:hAnsi="Times New Roman"/>
                <w:sz w:val="22"/>
                <w:szCs w:val="22"/>
                <w:color w:val="008000"/>
                <w:w w:val="95"/>
                <w:vertAlign w:val="superscript"/>
              </w:rPr>
              <w:t>(6)</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268,987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2,270</w:t>
            </w:r>
          </w:p>
        </w:tc>
        <w:tc>
          <w:tcPr>
            <w:tcW w:w="4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249.6982</w:t>
            </w:r>
            <w:r>
              <w:rPr>
                <w:rFonts w:ascii="Times New Roman" w:cs="Times New Roman" w:eastAsia="Times New Roman" w:hAnsi="Times New Roman"/>
                <w:sz w:val="22"/>
                <w:szCs w:val="22"/>
                <w:color w:val="008000"/>
                <w:w w:val="95"/>
                <w:vertAlign w:val="superscript"/>
              </w:rPr>
              <w:t>(7)</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266,717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2,046</w:t>
            </w:r>
          </w:p>
        </w:tc>
        <w:tc>
          <w:tcPr>
            <w:tcW w:w="4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250.3434</w:t>
            </w:r>
            <w:r>
              <w:rPr>
                <w:rFonts w:ascii="Times New Roman" w:cs="Times New Roman" w:eastAsia="Times New Roman" w:hAnsi="Times New Roman"/>
                <w:sz w:val="22"/>
                <w:szCs w:val="22"/>
                <w:color w:val="008000"/>
                <w:w w:val="95"/>
                <w:vertAlign w:val="superscript"/>
              </w:rPr>
              <w:t>(8)</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264,671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251.605</w:t>
            </w:r>
            <w:r>
              <w:rPr>
                <w:rFonts w:ascii="Times New Roman" w:cs="Times New Roman" w:eastAsia="Times New Roman" w:hAnsi="Times New Roman"/>
                <w:sz w:val="22"/>
                <w:szCs w:val="22"/>
                <w:color w:val="008000"/>
                <w:w w:val="95"/>
                <w:vertAlign w:val="superscript"/>
              </w:rPr>
              <w:t>(9)</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264,471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253.25</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264,271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255.995</w:t>
            </w:r>
            <w:r>
              <w:rPr>
                <w:rFonts w:ascii="Times New Roman" w:cs="Times New Roman" w:eastAsia="Times New Roman" w:hAnsi="Times New Roman"/>
                <w:sz w:val="22"/>
                <w:szCs w:val="22"/>
                <w:color w:val="008000"/>
                <w:w w:val="96"/>
                <w:vertAlign w:val="superscript"/>
              </w:rPr>
              <w:t>(10)</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264,071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259.43</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263,871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261.52</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263,771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6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required by the Issuer to sell only the number of shares of common stock necessary to cover applicable tax withholding obligations realized upon the vesting of restricted stock units and performance-based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$267.15 to $268.44.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dated August 22, 2025.</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$246.04 to $246.69.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$247.19 to $248.14.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$248.20 to $249.15.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$249.29 to $250.28. The Reporting Person will provide upon request to the SEC, the Issuer or security holder of the Issuer, full information regarding the number of shares sold at each separate price.</w:t>
      </w:r>
    </w:p>
    <w:p>
      <w:pPr>
        <w:sectPr>
          <w:pgSz w:w="11900" w:h="16896" w:orient="portrait"/>
          <w:cols w:equalWidth="0" w:num="1">
            <w:col w:w="11080"/>
          </w:cols>
          <w:pgMar w:left="460" w:top="219" w:right="359" w:bottom="0" w:gutter="0" w:footer="0" w:header="0"/>
          <w:type w:val="continuous"/>
        </w:sectPr>
      </w:pPr>
    </w:p>
    <w:bookmarkStart w:id="1" w:name="page2"/>
    <w:bookmarkEnd w:id="1"/>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$250.29 to $250.62.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$251.36 to $251.85.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$255.95 to $256.04. The Reporting Person will provide upon request to the SEC, the Issuer or security holder of the Issuer, full information regarding the number of shares sold at each separate price.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Kerry Acocella,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4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40"/>
      </w:cols>
      <w:pgMar w:left="500" w:top="12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1590"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2026-06-04T16:48:31Z</dcterms:created>
  <dcterms:modified xsi:type="dcterms:W3CDTF">2026-06-04T16:48:31Z</dcterms:modified>
</cp:coreProperties>
</file>