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As filed with the Securities and Exchange Commission on September 17, 2019.</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333-233428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165735</wp:posOffset>
            </wp:positionH>
            <wp:positionV relativeFrom="paragraph">
              <wp:posOffset>32385</wp:posOffset>
            </wp:positionV>
            <wp:extent cx="6933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3565" cy="825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74930</wp:posOffset>
            </wp:positionV>
            <wp:extent cx="6933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3565" cy="8255"/>
                    </a:xfrm>
                    <a:prstGeom prst="rect">
                      <a:avLst/>
                    </a:prstGeom>
                    <a:noFill/>
                  </pic:spPr>
                </pic:pic>
              </a:graphicData>
            </a:graphic>
          </wp:anchor>
        </w:drawing>
      </w:r>
    </w:p>
    <w:p>
      <w:pPr>
        <w:spacing w:after="0" w:line="111" w:lineRule="exact"/>
        <w:rPr>
          <w:sz w:val="24"/>
          <w:szCs w:val="24"/>
          <w:color w:val="auto"/>
        </w:rPr>
      </w:pPr>
    </w:p>
    <w:p>
      <w:pPr>
        <w:jc w:val="center"/>
        <w:ind w:right="-239"/>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3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69850</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16" w:lineRule="exact"/>
        <w:rPr>
          <w:sz w:val="24"/>
          <w:szCs w:val="24"/>
          <w:color w:val="auto"/>
        </w:rPr>
      </w:pPr>
    </w:p>
    <w:p>
      <w:pPr>
        <w:jc w:val="center"/>
        <w:ind w:right="-239"/>
        <w:spacing w:after="0"/>
        <w:rPr>
          <w:sz w:val="20"/>
          <w:szCs w:val="20"/>
          <w:color w:val="auto"/>
        </w:rPr>
      </w:pPr>
      <w:r>
        <w:rPr>
          <w:rFonts w:ascii="Arial" w:cs="Arial" w:eastAsia="Arial" w:hAnsi="Arial"/>
          <w:sz w:val="27"/>
          <w:szCs w:val="27"/>
          <w:b w:val="1"/>
          <w:bCs w:val="1"/>
          <w:color w:val="auto"/>
        </w:rPr>
        <w:t>Amendment No. 2</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27"/>
          <w:szCs w:val="27"/>
          <w:b w:val="1"/>
          <w:bCs w:val="1"/>
          <w:color w:val="auto"/>
        </w:rPr>
        <w:t>to</w:t>
      </w:r>
    </w:p>
    <w:p>
      <w:pPr>
        <w:jc w:val="center"/>
        <w:ind w:right="-239"/>
        <w:spacing w:after="0" w:line="237" w:lineRule="auto"/>
        <w:rPr>
          <w:sz w:val="20"/>
          <w:szCs w:val="20"/>
          <w:color w:val="auto"/>
        </w:rPr>
      </w:pPr>
      <w:r>
        <w:rPr>
          <w:rFonts w:ascii="Arial" w:cs="Arial" w:eastAsia="Arial" w:hAnsi="Arial"/>
          <w:sz w:val="27"/>
          <w:szCs w:val="27"/>
          <w:b w:val="1"/>
          <w:bCs w:val="1"/>
          <w:color w:val="auto"/>
        </w:rPr>
        <w:t>FORM S-1</w:t>
      </w:r>
    </w:p>
    <w:p>
      <w:pPr>
        <w:jc w:val="center"/>
        <w:ind w:right="-239"/>
        <w:spacing w:after="0" w:line="235" w:lineRule="auto"/>
        <w:rPr>
          <w:sz w:val="20"/>
          <w:szCs w:val="20"/>
          <w:color w:val="auto"/>
        </w:rPr>
      </w:pPr>
      <w:r>
        <w:rPr>
          <w:rFonts w:ascii="Arial" w:cs="Arial" w:eastAsia="Arial" w:hAnsi="Arial"/>
          <w:sz w:val="27"/>
          <w:szCs w:val="27"/>
          <w:b w:val="1"/>
          <w:bCs w:val="1"/>
          <w:color w:val="auto"/>
        </w:rPr>
        <w:t>REGISTRATION STATEMENT</w:t>
      </w:r>
    </w:p>
    <w:p>
      <w:pPr>
        <w:jc w:val="center"/>
        <w:ind w:right="-239"/>
        <w:spacing w:after="0" w:line="225" w:lineRule="auto"/>
        <w:rPr>
          <w:sz w:val="20"/>
          <w:szCs w:val="20"/>
          <w:color w:val="auto"/>
        </w:rPr>
      </w:pPr>
      <w:r>
        <w:rPr>
          <w:rFonts w:ascii="Arial" w:cs="Arial" w:eastAsia="Arial" w:hAnsi="Arial"/>
          <w:sz w:val="15"/>
          <w:szCs w:val="15"/>
          <w:b w:val="1"/>
          <w:bCs w:val="1"/>
          <w:i w:val="1"/>
          <w:iCs w:val="1"/>
          <w:color w:val="auto"/>
        </w:rPr>
        <w:t>UNDER</w:t>
      </w:r>
    </w:p>
    <w:p>
      <w:pPr>
        <w:jc w:val="center"/>
        <w:ind w:right="-23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69850</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07" w:lineRule="exact"/>
        <w:rPr>
          <w:sz w:val="24"/>
          <w:szCs w:val="24"/>
          <w:color w:val="auto"/>
        </w:rPr>
      </w:pPr>
    </w:p>
    <w:p>
      <w:pPr>
        <w:jc w:val="center"/>
        <w:ind w:right="-239"/>
        <w:spacing w:after="0"/>
        <w:rPr>
          <w:sz w:val="20"/>
          <w:szCs w:val="20"/>
          <w:color w:val="auto"/>
        </w:rPr>
      </w:pPr>
      <w:r>
        <w:rPr>
          <w:rFonts w:ascii="Arial" w:cs="Arial" w:eastAsia="Arial" w:hAnsi="Arial"/>
          <w:sz w:val="36"/>
          <w:szCs w:val="36"/>
          <w:b w:val="1"/>
          <w:bCs w:val="1"/>
          <w:color w:val="auto"/>
        </w:rPr>
        <w:t>Datadog, Inc.</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69850</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28" w:lineRule="exact"/>
        <w:rPr>
          <w:sz w:val="24"/>
          <w:szCs w:val="24"/>
          <w:color w:val="auto"/>
        </w:rPr>
      </w:pPr>
    </w:p>
    <w:tbl>
      <w:tblPr>
        <w:tblLayout w:type="fixed"/>
        <w:tblInd w:w="1120" w:type="dxa"/>
        <w:tblCellMar>
          <w:top w:w="0" w:type="dxa"/>
          <w:left w:w="0" w:type="dxa"/>
          <w:bottom w:w="0" w:type="dxa"/>
          <w:right w:w="0" w:type="dxa"/>
        </w:tblCellMar>
      </w:tblPr>
      <w:tr>
        <w:trPr>
          <w:trHeight w:val="172"/>
        </w:trPr>
        <w:tc>
          <w:tcPr>
            <w:tcW w:w="2240" w:type="dxa"/>
            <w:vAlign w:val="bottom"/>
          </w:tcPr>
          <w:p>
            <w:pPr>
              <w:jc w:val="center"/>
              <w:ind w:right="184"/>
              <w:spacing w:after="0"/>
              <w:rPr>
                <w:sz w:val="20"/>
                <w:szCs w:val="20"/>
                <w:color w:val="auto"/>
              </w:rPr>
            </w:pPr>
            <w:r>
              <w:rPr>
                <w:rFonts w:ascii="Arial" w:cs="Arial" w:eastAsia="Arial" w:hAnsi="Arial"/>
                <w:sz w:val="15"/>
                <w:szCs w:val="15"/>
                <w:b w:val="1"/>
                <w:bCs w:val="1"/>
                <w:color w:val="auto"/>
                <w:w w:val="94"/>
              </w:rPr>
              <w:t>Delaware</w:t>
            </w:r>
          </w:p>
        </w:tc>
        <w:tc>
          <w:tcPr>
            <w:tcW w:w="3500" w:type="dxa"/>
            <w:vAlign w:val="bottom"/>
            <w:gridSpan w:val="2"/>
          </w:tcPr>
          <w:p>
            <w:pPr>
              <w:jc w:val="center"/>
              <w:ind w:left="1366"/>
              <w:spacing w:after="0"/>
              <w:rPr>
                <w:sz w:val="20"/>
                <w:szCs w:val="20"/>
                <w:color w:val="auto"/>
              </w:rPr>
            </w:pPr>
            <w:r>
              <w:rPr>
                <w:rFonts w:ascii="Arial" w:cs="Arial" w:eastAsia="Arial" w:hAnsi="Arial"/>
                <w:sz w:val="15"/>
                <w:szCs w:val="15"/>
                <w:b w:val="1"/>
                <w:bCs w:val="1"/>
                <w:color w:val="auto"/>
                <w:w w:val="89"/>
              </w:rPr>
              <w:t>7372</w:t>
            </w:r>
          </w:p>
        </w:tc>
        <w:tc>
          <w:tcPr>
            <w:tcW w:w="1260" w:type="dxa"/>
            <w:vAlign w:val="bottom"/>
          </w:tcPr>
          <w:p>
            <w:pPr>
              <w:spacing w:after="0"/>
              <w:rPr>
                <w:sz w:val="14"/>
                <w:szCs w:val="14"/>
                <w:color w:val="auto"/>
              </w:rPr>
            </w:pPr>
          </w:p>
        </w:tc>
        <w:tc>
          <w:tcPr>
            <w:tcW w:w="2180" w:type="dxa"/>
            <w:vAlign w:val="bottom"/>
          </w:tcPr>
          <w:p>
            <w:pPr>
              <w:jc w:val="center"/>
              <w:ind w:left="364"/>
              <w:spacing w:after="0"/>
              <w:rPr>
                <w:sz w:val="20"/>
                <w:szCs w:val="20"/>
                <w:color w:val="auto"/>
              </w:rPr>
            </w:pPr>
            <w:r>
              <w:rPr>
                <w:rFonts w:ascii="Arial" w:cs="Arial" w:eastAsia="Arial" w:hAnsi="Arial"/>
                <w:sz w:val="15"/>
                <w:szCs w:val="15"/>
                <w:b w:val="1"/>
                <w:bCs w:val="1"/>
                <w:color w:val="auto"/>
                <w:w w:val="92"/>
              </w:rPr>
              <w:t>27-2825503</w:t>
            </w:r>
          </w:p>
        </w:tc>
      </w:tr>
      <w:tr>
        <w:trPr>
          <w:trHeight w:val="161"/>
        </w:trPr>
        <w:tc>
          <w:tcPr>
            <w:tcW w:w="2240" w:type="dxa"/>
            <w:vAlign w:val="bottom"/>
          </w:tcPr>
          <w:p>
            <w:pPr>
              <w:jc w:val="center"/>
              <w:ind w:right="184"/>
              <w:spacing w:after="0" w:line="161" w:lineRule="exact"/>
              <w:rPr>
                <w:sz w:val="20"/>
                <w:szCs w:val="20"/>
                <w:color w:val="auto"/>
              </w:rPr>
            </w:pPr>
            <w:r>
              <w:rPr>
                <w:rFonts w:ascii="Arial" w:cs="Arial" w:eastAsia="Arial" w:hAnsi="Arial"/>
                <w:sz w:val="15"/>
                <w:szCs w:val="15"/>
                <w:b w:val="1"/>
                <w:bCs w:val="1"/>
                <w:color w:val="auto"/>
                <w:w w:val="92"/>
              </w:rPr>
              <w:t>(State or other jurisdiction of</w:t>
            </w:r>
          </w:p>
        </w:tc>
        <w:tc>
          <w:tcPr>
            <w:tcW w:w="1200" w:type="dxa"/>
            <w:vAlign w:val="bottom"/>
          </w:tcPr>
          <w:p>
            <w:pPr>
              <w:spacing w:after="0"/>
              <w:rPr>
                <w:sz w:val="13"/>
                <w:szCs w:val="13"/>
                <w:color w:val="auto"/>
              </w:rPr>
            </w:pPr>
          </w:p>
        </w:tc>
        <w:tc>
          <w:tcPr>
            <w:tcW w:w="3560" w:type="dxa"/>
            <w:vAlign w:val="bottom"/>
            <w:gridSpan w:val="2"/>
          </w:tcPr>
          <w:p>
            <w:pPr>
              <w:jc w:val="center"/>
              <w:ind w:right="1020"/>
              <w:spacing w:after="0" w:line="161" w:lineRule="exact"/>
              <w:rPr>
                <w:sz w:val="20"/>
                <w:szCs w:val="20"/>
                <w:color w:val="auto"/>
              </w:rPr>
            </w:pPr>
            <w:r>
              <w:rPr>
                <w:rFonts w:ascii="Arial" w:cs="Arial" w:eastAsia="Arial" w:hAnsi="Arial"/>
                <w:sz w:val="15"/>
                <w:szCs w:val="15"/>
                <w:b w:val="1"/>
                <w:bCs w:val="1"/>
                <w:color w:val="auto"/>
                <w:w w:val="96"/>
              </w:rPr>
              <w:t>(Primary Standard Industrial</w:t>
            </w:r>
          </w:p>
        </w:tc>
        <w:tc>
          <w:tcPr>
            <w:tcW w:w="2180" w:type="dxa"/>
            <w:vAlign w:val="bottom"/>
          </w:tcPr>
          <w:p>
            <w:pPr>
              <w:jc w:val="center"/>
              <w:ind w:left="364"/>
              <w:spacing w:after="0" w:line="161" w:lineRule="exact"/>
              <w:rPr>
                <w:sz w:val="20"/>
                <w:szCs w:val="20"/>
                <w:color w:val="auto"/>
              </w:rPr>
            </w:pPr>
            <w:r>
              <w:rPr>
                <w:rFonts w:ascii="Arial" w:cs="Arial" w:eastAsia="Arial" w:hAnsi="Arial"/>
                <w:sz w:val="15"/>
                <w:szCs w:val="15"/>
                <w:b w:val="1"/>
                <w:bCs w:val="1"/>
                <w:color w:val="auto"/>
                <w:w w:val="95"/>
              </w:rPr>
              <w:t>(I.R.S. Employer</w:t>
            </w:r>
          </w:p>
        </w:tc>
      </w:tr>
      <w:tr>
        <w:trPr>
          <w:trHeight w:val="187"/>
        </w:trPr>
        <w:tc>
          <w:tcPr>
            <w:tcW w:w="2240" w:type="dxa"/>
            <w:vAlign w:val="bottom"/>
          </w:tcPr>
          <w:p>
            <w:pPr>
              <w:jc w:val="center"/>
              <w:ind w:right="184"/>
              <w:spacing w:after="0"/>
              <w:rPr>
                <w:sz w:val="20"/>
                <w:szCs w:val="20"/>
                <w:color w:val="auto"/>
              </w:rPr>
            </w:pPr>
            <w:r>
              <w:rPr>
                <w:rFonts w:ascii="Arial" w:cs="Arial" w:eastAsia="Arial" w:hAnsi="Arial"/>
                <w:sz w:val="15"/>
                <w:szCs w:val="15"/>
                <w:b w:val="1"/>
                <w:bCs w:val="1"/>
                <w:color w:val="auto"/>
                <w:w w:val="92"/>
              </w:rPr>
              <w:t>incorporation or organization)</w:t>
            </w:r>
          </w:p>
        </w:tc>
        <w:tc>
          <w:tcPr>
            <w:tcW w:w="1200" w:type="dxa"/>
            <w:vAlign w:val="bottom"/>
          </w:tcPr>
          <w:p>
            <w:pPr>
              <w:spacing w:after="0"/>
              <w:rPr>
                <w:sz w:val="16"/>
                <w:szCs w:val="16"/>
                <w:color w:val="auto"/>
              </w:rPr>
            </w:pPr>
          </w:p>
        </w:tc>
        <w:tc>
          <w:tcPr>
            <w:tcW w:w="3560" w:type="dxa"/>
            <w:vAlign w:val="bottom"/>
            <w:gridSpan w:val="2"/>
          </w:tcPr>
          <w:p>
            <w:pPr>
              <w:jc w:val="center"/>
              <w:ind w:right="1040"/>
              <w:spacing w:after="0"/>
              <w:rPr>
                <w:sz w:val="20"/>
                <w:szCs w:val="20"/>
                <w:color w:val="auto"/>
              </w:rPr>
            </w:pPr>
            <w:r>
              <w:rPr>
                <w:rFonts w:ascii="Arial" w:cs="Arial" w:eastAsia="Arial" w:hAnsi="Arial"/>
                <w:sz w:val="15"/>
                <w:szCs w:val="15"/>
                <w:b w:val="1"/>
                <w:bCs w:val="1"/>
                <w:color w:val="auto"/>
                <w:w w:val="91"/>
              </w:rPr>
              <w:t>Classification Code Number)</w:t>
            </w:r>
          </w:p>
        </w:tc>
        <w:tc>
          <w:tcPr>
            <w:tcW w:w="2180" w:type="dxa"/>
            <w:vAlign w:val="bottom"/>
          </w:tcPr>
          <w:p>
            <w:pPr>
              <w:jc w:val="center"/>
              <w:ind w:left="364"/>
              <w:spacing w:after="0"/>
              <w:rPr>
                <w:sz w:val="20"/>
                <w:szCs w:val="20"/>
                <w:color w:val="auto"/>
              </w:rPr>
            </w:pPr>
            <w:r>
              <w:rPr>
                <w:rFonts w:ascii="Arial" w:cs="Arial" w:eastAsia="Arial" w:hAnsi="Arial"/>
                <w:sz w:val="15"/>
                <w:szCs w:val="15"/>
                <w:b w:val="1"/>
                <w:bCs w:val="1"/>
                <w:color w:val="auto"/>
                <w:w w:val="94"/>
              </w:rPr>
              <w:t>Identification Number)</w:t>
            </w:r>
          </w:p>
        </w:tc>
      </w:tr>
      <w:tr>
        <w:trPr>
          <w:trHeight w:val="161"/>
        </w:trPr>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560" w:type="dxa"/>
            <w:vAlign w:val="bottom"/>
            <w:gridSpan w:val="2"/>
          </w:tcPr>
          <w:p>
            <w:pPr>
              <w:jc w:val="center"/>
              <w:ind w:right="1260"/>
              <w:spacing w:after="0" w:line="161" w:lineRule="exact"/>
              <w:rPr>
                <w:sz w:val="20"/>
                <w:szCs w:val="20"/>
                <w:color w:val="auto"/>
              </w:rPr>
            </w:pPr>
            <w:r>
              <w:rPr>
                <w:rFonts w:ascii="Arial" w:cs="Arial" w:eastAsia="Arial" w:hAnsi="Arial"/>
                <w:sz w:val="15"/>
                <w:szCs w:val="15"/>
                <w:b w:val="1"/>
                <w:bCs w:val="1"/>
                <w:color w:val="auto"/>
                <w:w w:val="91"/>
              </w:rPr>
              <w:t>620 8th Avenue, 45th Floor</w:t>
            </w:r>
          </w:p>
        </w:tc>
        <w:tc>
          <w:tcPr>
            <w:tcW w:w="2180" w:type="dxa"/>
            <w:vAlign w:val="bottom"/>
          </w:tcPr>
          <w:p>
            <w:pPr>
              <w:spacing w:after="0"/>
              <w:rPr>
                <w:sz w:val="13"/>
                <w:szCs w:val="13"/>
                <w:color w:val="auto"/>
              </w:rPr>
            </w:pPr>
          </w:p>
        </w:tc>
      </w:tr>
      <w:tr>
        <w:trPr>
          <w:trHeight w:val="161"/>
        </w:trPr>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560" w:type="dxa"/>
            <w:vAlign w:val="bottom"/>
            <w:gridSpan w:val="2"/>
          </w:tcPr>
          <w:p>
            <w:pPr>
              <w:jc w:val="center"/>
              <w:ind w:right="1260"/>
              <w:spacing w:after="0" w:line="161" w:lineRule="exact"/>
              <w:rPr>
                <w:sz w:val="20"/>
                <w:szCs w:val="20"/>
                <w:color w:val="auto"/>
              </w:rPr>
            </w:pPr>
            <w:r>
              <w:rPr>
                <w:rFonts w:ascii="Arial" w:cs="Arial" w:eastAsia="Arial" w:hAnsi="Arial"/>
                <w:sz w:val="15"/>
                <w:szCs w:val="15"/>
                <w:b w:val="1"/>
                <w:bCs w:val="1"/>
                <w:color w:val="auto"/>
                <w:w w:val="93"/>
              </w:rPr>
              <w:t>New York, New York 10018</w:t>
            </w:r>
          </w:p>
        </w:tc>
        <w:tc>
          <w:tcPr>
            <w:tcW w:w="2180" w:type="dxa"/>
            <w:vAlign w:val="bottom"/>
          </w:tcPr>
          <w:p>
            <w:pPr>
              <w:spacing w:after="0"/>
              <w:rPr>
                <w:sz w:val="13"/>
                <w:szCs w:val="13"/>
                <w:color w:val="auto"/>
              </w:rPr>
            </w:pPr>
          </w:p>
        </w:tc>
      </w:tr>
      <w:tr>
        <w:trPr>
          <w:trHeight w:val="155"/>
        </w:trPr>
        <w:tc>
          <w:tcPr>
            <w:tcW w:w="2240" w:type="dxa"/>
            <w:vAlign w:val="bottom"/>
          </w:tcPr>
          <w:p>
            <w:pPr>
              <w:spacing w:after="0"/>
              <w:rPr>
                <w:sz w:val="13"/>
                <w:szCs w:val="13"/>
                <w:color w:val="auto"/>
              </w:rPr>
            </w:pPr>
          </w:p>
        </w:tc>
        <w:tc>
          <w:tcPr>
            <w:tcW w:w="3500" w:type="dxa"/>
            <w:vAlign w:val="bottom"/>
            <w:gridSpan w:val="2"/>
          </w:tcPr>
          <w:p>
            <w:pPr>
              <w:jc w:val="center"/>
              <w:ind w:left="1126"/>
              <w:spacing w:after="0" w:line="155" w:lineRule="exact"/>
              <w:rPr>
                <w:sz w:val="20"/>
                <w:szCs w:val="20"/>
                <w:color w:val="auto"/>
              </w:rPr>
            </w:pPr>
            <w:r>
              <w:rPr>
                <w:rFonts w:ascii="Arial" w:cs="Arial" w:eastAsia="Arial" w:hAnsi="Arial"/>
                <w:sz w:val="15"/>
                <w:szCs w:val="15"/>
                <w:b w:val="1"/>
                <w:bCs w:val="1"/>
                <w:color w:val="auto"/>
                <w:w w:val="91"/>
              </w:rPr>
              <w:t>(866) 329-4466</w:t>
            </w:r>
          </w:p>
        </w:tc>
        <w:tc>
          <w:tcPr>
            <w:tcW w:w="12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47"/>
        </w:trPr>
        <w:tc>
          <w:tcPr>
            <w:tcW w:w="2240" w:type="dxa"/>
            <w:vAlign w:val="bottom"/>
          </w:tcPr>
          <w:p>
            <w:pPr>
              <w:spacing w:after="0"/>
              <w:rPr>
                <w:sz w:val="12"/>
                <w:szCs w:val="12"/>
                <w:color w:val="auto"/>
              </w:rPr>
            </w:pPr>
          </w:p>
        </w:tc>
        <w:tc>
          <w:tcPr>
            <w:tcW w:w="476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(Address, including zip code, and telephone number, including</w:t>
            </w:r>
          </w:p>
        </w:tc>
        <w:tc>
          <w:tcPr>
            <w:tcW w:w="2180" w:type="dxa"/>
            <w:vAlign w:val="bottom"/>
          </w:tcPr>
          <w:p>
            <w:pPr>
              <w:spacing w:after="0"/>
              <w:rPr>
                <w:sz w:val="12"/>
                <w:szCs w:val="12"/>
                <w:color w:val="auto"/>
              </w:rPr>
            </w:pPr>
          </w:p>
        </w:tc>
      </w:tr>
      <w:tr>
        <w:trPr>
          <w:trHeight w:val="185"/>
        </w:trPr>
        <w:tc>
          <w:tcPr>
            <w:tcW w:w="2240" w:type="dxa"/>
            <w:vAlign w:val="bottom"/>
          </w:tcPr>
          <w:p>
            <w:pPr>
              <w:spacing w:after="0"/>
              <w:rPr>
                <w:sz w:val="16"/>
                <w:szCs w:val="16"/>
                <w:color w:val="auto"/>
              </w:rPr>
            </w:pPr>
          </w:p>
        </w:tc>
        <w:tc>
          <w:tcPr>
            <w:tcW w:w="4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area code, of Registrant’s principal executive offices)</w:t>
            </w:r>
          </w:p>
        </w:tc>
        <w:tc>
          <w:tcPr>
            <w:tcW w:w="2180" w:type="dxa"/>
            <w:vAlign w:val="bottom"/>
          </w:tcPr>
          <w:p>
            <w:pPr>
              <w:spacing w:after="0"/>
              <w:rPr>
                <w:sz w:val="16"/>
                <w:szCs w:val="16"/>
                <w:color w:val="auto"/>
              </w:rPr>
            </w:pPr>
          </w:p>
        </w:tc>
      </w:tr>
      <w:tr>
        <w:trPr>
          <w:trHeight w:val="119"/>
        </w:trPr>
        <w:tc>
          <w:tcPr>
            <w:tcW w:w="2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2180" w:type="dxa"/>
            <w:vAlign w:val="bottom"/>
          </w:tcPr>
          <w:p>
            <w:pPr>
              <w:spacing w:after="0"/>
              <w:rPr>
                <w:sz w:val="10"/>
                <w:szCs w:val="10"/>
                <w:color w:val="auto"/>
              </w:rPr>
            </w:pPr>
          </w:p>
        </w:tc>
      </w:tr>
      <w:tr>
        <w:trPr>
          <w:trHeight w:val="163"/>
        </w:trPr>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560" w:type="dxa"/>
            <w:vAlign w:val="bottom"/>
            <w:gridSpan w:val="2"/>
          </w:tcPr>
          <w:p>
            <w:pPr>
              <w:jc w:val="center"/>
              <w:ind w:right="1260"/>
              <w:spacing w:after="0" w:line="164" w:lineRule="exact"/>
              <w:rPr>
                <w:sz w:val="20"/>
                <w:szCs w:val="20"/>
                <w:color w:val="auto"/>
              </w:rPr>
            </w:pPr>
            <w:r>
              <w:rPr>
                <w:rFonts w:ascii="Arial" w:cs="Arial" w:eastAsia="Arial" w:hAnsi="Arial"/>
                <w:sz w:val="15"/>
                <w:szCs w:val="15"/>
                <w:b w:val="1"/>
                <w:bCs w:val="1"/>
                <w:color w:val="auto"/>
                <w:w w:val="93"/>
              </w:rPr>
              <w:t>Olivier Pomel</w:t>
            </w:r>
          </w:p>
        </w:tc>
        <w:tc>
          <w:tcPr>
            <w:tcW w:w="2180" w:type="dxa"/>
            <w:vAlign w:val="bottom"/>
          </w:tcPr>
          <w:p>
            <w:pPr>
              <w:spacing w:after="0"/>
              <w:rPr>
                <w:sz w:val="14"/>
                <w:szCs w:val="14"/>
                <w:color w:val="auto"/>
              </w:rPr>
            </w:pPr>
          </w:p>
        </w:tc>
      </w:tr>
      <w:tr>
        <w:trPr>
          <w:trHeight w:val="161"/>
        </w:trPr>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560" w:type="dxa"/>
            <w:vAlign w:val="bottom"/>
            <w:gridSpan w:val="2"/>
          </w:tcPr>
          <w:p>
            <w:pPr>
              <w:jc w:val="center"/>
              <w:ind w:right="1240"/>
              <w:spacing w:after="0" w:line="161" w:lineRule="exact"/>
              <w:rPr>
                <w:sz w:val="20"/>
                <w:szCs w:val="20"/>
                <w:color w:val="auto"/>
              </w:rPr>
            </w:pPr>
            <w:r>
              <w:rPr>
                <w:rFonts w:ascii="Arial" w:cs="Arial" w:eastAsia="Arial" w:hAnsi="Arial"/>
                <w:sz w:val="15"/>
                <w:szCs w:val="15"/>
                <w:b w:val="1"/>
                <w:bCs w:val="1"/>
                <w:color w:val="auto"/>
                <w:w w:val="92"/>
              </w:rPr>
              <w:t>Chief Executive Officer</w:t>
            </w:r>
          </w:p>
        </w:tc>
        <w:tc>
          <w:tcPr>
            <w:tcW w:w="2180" w:type="dxa"/>
            <w:vAlign w:val="bottom"/>
          </w:tcPr>
          <w:p>
            <w:pPr>
              <w:spacing w:after="0"/>
              <w:rPr>
                <w:sz w:val="13"/>
                <w:szCs w:val="13"/>
                <w:color w:val="auto"/>
              </w:rPr>
            </w:pPr>
          </w:p>
        </w:tc>
      </w:tr>
      <w:tr>
        <w:trPr>
          <w:trHeight w:val="161"/>
        </w:trPr>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560" w:type="dxa"/>
            <w:vAlign w:val="bottom"/>
            <w:gridSpan w:val="2"/>
          </w:tcPr>
          <w:p>
            <w:pPr>
              <w:jc w:val="center"/>
              <w:ind w:right="1260"/>
              <w:spacing w:after="0" w:line="161" w:lineRule="exact"/>
              <w:rPr>
                <w:sz w:val="20"/>
                <w:szCs w:val="20"/>
                <w:color w:val="auto"/>
              </w:rPr>
            </w:pPr>
            <w:r>
              <w:rPr>
                <w:rFonts w:ascii="Arial" w:cs="Arial" w:eastAsia="Arial" w:hAnsi="Arial"/>
                <w:sz w:val="15"/>
                <w:szCs w:val="15"/>
                <w:b w:val="1"/>
                <w:bCs w:val="1"/>
                <w:color w:val="auto"/>
                <w:w w:val="91"/>
              </w:rPr>
              <w:t>Datadog, Inc.</w:t>
            </w:r>
          </w:p>
        </w:tc>
        <w:tc>
          <w:tcPr>
            <w:tcW w:w="2180" w:type="dxa"/>
            <w:vAlign w:val="bottom"/>
          </w:tcPr>
          <w:p>
            <w:pPr>
              <w:spacing w:after="0"/>
              <w:rPr>
                <w:sz w:val="13"/>
                <w:szCs w:val="13"/>
                <w:color w:val="auto"/>
              </w:rPr>
            </w:pPr>
          </w:p>
        </w:tc>
      </w:tr>
      <w:tr>
        <w:trPr>
          <w:trHeight w:val="161"/>
        </w:trPr>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560" w:type="dxa"/>
            <w:vAlign w:val="bottom"/>
            <w:gridSpan w:val="2"/>
          </w:tcPr>
          <w:p>
            <w:pPr>
              <w:jc w:val="center"/>
              <w:ind w:right="1260"/>
              <w:spacing w:after="0" w:line="161" w:lineRule="exact"/>
              <w:rPr>
                <w:sz w:val="20"/>
                <w:szCs w:val="20"/>
                <w:color w:val="auto"/>
              </w:rPr>
            </w:pPr>
            <w:r>
              <w:rPr>
                <w:rFonts w:ascii="Arial" w:cs="Arial" w:eastAsia="Arial" w:hAnsi="Arial"/>
                <w:sz w:val="15"/>
                <w:szCs w:val="15"/>
                <w:b w:val="1"/>
                <w:bCs w:val="1"/>
                <w:color w:val="auto"/>
                <w:w w:val="91"/>
              </w:rPr>
              <w:t>620 8th Avenue, 45th Floor</w:t>
            </w:r>
          </w:p>
        </w:tc>
        <w:tc>
          <w:tcPr>
            <w:tcW w:w="2180" w:type="dxa"/>
            <w:vAlign w:val="bottom"/>
          </w:tcPr>
          <w:p>
            <w:pPr>
              <w:spacing w:after="0"/>
              <w:rPr>
                <w:sz w:val="13"/>
                <w:szCs w:val="13"/>
                <w:color w:val="auto"/>
              </w:rPr>
            </w:pPr>
          </w:p>
        </w:tc>
      </w:tr>
      <w:tr>
        <w:trPr>
          <w:trHeight w:val="161"/>
        </w:trPr>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560" w:type="dxa"/>
            <w:vAlign w:val="bottom"/>
            <w:gridSpan w:val="2"/>
          </w:tcPr>
          <w:p>
            <w:pPr>
              <w:jc w:val="center"/>
              <w:ind w:right="1260"/>
              <w:spacing w:after="0" w:line="161" w:lineRule="exact"/>
              <w:rPr>
                <w:sz w:val="20"/>
                <w:szCs w:val="20"/>
                <w:color w:val="auto"/>
              </w:rPr>
            </w:pPr>
            <w:r>
              <w:rPr>
                <w:rFonts w:ascii="Arial" w:cs="Arial" w:eastAsia="Arial" w:hAnsi="Arial"/>
                <w:sz w:val="15"/>
                <w:szCs w:val="15"/>
                <w:b w:val="1"/>
                <w:bCs w:val="1"/>
                <w:color w:val="auto"/>
                <w:w w:val="93"/>
              </w:rPr>
              <w:t>New York, New York 10018</w:t>
            </w:r>
          </w:p>
        </w:tc>
        <w:tc>
          <w:tcPr>
            <w:tcW w:w="2180" w:type="dxa"/>
            <w:vAlign w:val="bottom"/>
          </w:tcPr>
          <w:p>
            <w:pPr>
              <w:spacing w:after="0"/>
              <w:rPr>
                <w:sz w:val="13"/>
                <w:szCs w:val="13"/>
                <w:color w:val="auto"/>
              </w:rPr>
            </w:pPr>
          </w:p>
        </w:tc>
      </w:tr>
      <w:tr>
        <w:trPr>
          <w:trHeight w:val="155"/>
        </w:trPr>
        <w:tc>
          <w:tcPr>
            <w:tcW w:w="2240" w:type="dxa"/>
            <w:vAlign w:val="bottom"/>
          </w:tcPr>
          <w:p>
            <w:pPr>
              <w:spacing w:after="0"/>
              <w:rPr>
                <w:sz w:val="13"/>
                <w:szCs w:val="13"/>
                <w:color w:val="auto"/>
              </w:rPr>
            </w:pPr>
          </w:p>
        </w:tc>
        <w:tc>
          <w:tcPr>
            <w:tcW w:w="3500" w:type="dxa"/>
            <w:vAlign w:val="bottom"/>
            <w:gridSpan w:val="2"/>
          </w:tcPr>
          <w:p>
            <w:pPr>
              <w:jc w:val="center"/>
              <w:ind w:left="1126"/>
              <w:spacing w:after="0" w:line="155" w:lineRule="exact"/>
              <w:rPr>
                <w:sz w:val="20"/>
                <w:szCs w:val="20"/>
                <w:color w:val="auto"/>
              </w:rPr>
            </w:pPr>
            <w:r>
              <w:rPr>
                <w:rFonts w:ascii="Arial" w:cs="Arial" w:eastAsia="Arial" w:hAnsi="Arial"/>
                <w:sz w:val="15"/>
                <w:szCs w:val="15"/>
                <w:b w:val="1"/>
                <w:bCs w:val="1"/>
                <w:color w:val="auto"/>
                <w:w w:val="91"/>
              </w:rPr>
              <w:t>(866) 329-4466</w:t>
            </w:r>
          </w:p>
        </w:tc>
        <w:tc>
          <w:tcPr>
            <w:tcW w:w="126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47"/>
        </w:trPr>
        <w:tc>
          <w:tcPr>
            <w:tcW w:w="2240" w:type="dxa"/>
            <w:vAlign w:val="bottom"/>
          </w:tcPr>
          <w:p>
            <w:pPr>
              <w:spacing w:after="0"/>
              <w:rPr>
                <w:sz w:val="12"/>
                <w:szCs w:val="12"/>
                <w:color w:val="auto"/>
              </w:rPr>
            </w:pPr>
          </w:p>
        </w:tc>
        <w:tc>
          <w:tcPr>
            <w:tcW w:w="476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(Name, address, including zip code, and telephone number, including</w:t>
            </w:r>
          </w:p>
        </w:tc>
        <w:tc>
          <w:tcPr>
            <w:tcW w:w="2180" w:type="dxa"/>
            <w:vAlign w:val="bottom"/>
          </w:tcPr>
          <w:p>
            <w:pPr>
              <w:spacing w:after="0"/>
              <w:rPr>
                <w:sz w:val="12"/>
                <w:szCs w:val="12"/>
                <w:color w:val="auto"/>
              </w:rPr>
            </w:pPr>
          </w:p>
        </w:tc>
      </w:tr>
      <w:tr>
        <w:trPr>
          <w:trHeight w:val="185"/>
        </w:trPr>
        <w:tc>
          <w:tcPr>
            <w:tcW w:w="2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area code, of agent for service)</w:t>
            </w:r>
          </w:p>
        </w:tc>
        <w:tc>
          <w:tcPr>
            <w:tcW w:w="2180" w:type="dxa"/>
            <w:vAlign w:val="bottom"/>
          </w:tcPr>
          <w:p>
            <w:pPr>
              <w:spacing w:after="0"/>
              <w:rPr>
                <w:sz w:val="16"/>
                <w:szCs w:val="16"/>
                <w:color w:val="auto"/>
              </w:rPr>
            </w:pPr>
          </w:p>
        </w:tc>
      </w:tr>
      <w:tr>
        <w:trPr>
          <w:trHeight w:val="119"/>
        </w:trPr>
        <w:tc>
          <w:tcPr>
            <w:tcW w:w="2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2180" w:type="dxa"/>
            <w:vAlign w:val="bottom"/>
          </w:tcPr>
          <w:p>
            <w:pPr>
              <w:spacing w:after="0"/>
              <w:rPr>
                <w:sz w:val="10"/>
                <w:szCs w:val="10"/>
                <w:color w:val="auto"/>
              </w:rPr>
            </w:pPr>
          </w:p>
        </w:tc>
      </w:tr>
      <w:tr>
        <w:trPr>
          <w:trHeight w:val="230"/>
        </w:trPr>
        <w:tc>
          <w:tcPr>
            <w:tcW w:w="2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560" w:type="dxa"/>
            <w:vAlign w:val="bottom"/>
            <w:gridSpan w:val="2"/>
          </w:tcPr>
          <w:p>
            <w:pPr>
              <w:jc w:val="center"/>
              <w:ind w:right="1340"/>
              <w:spacing w:after="0"/>
              <w:rPr>
                <w:sz w:val="20"/>
                <w:szCs w:val="20"/>
                <w:color w:val="auto"/>
              </w:rPr>
            </w:pPr>
            <w:r>
              <w:rPr>
                <w:rFonts w:ascii="Arial" w:cs="Arial" w:eastAsia="Arial" w:hAnsi="Arial"/>
                <w:sz w:val="15"/>
                <w:szCs w:val="15"/>
                <w:b w:val="1"/>
                <w:bCs w:val="1"/>
                <w:i w:val="1"/>
                <w:iCs w:val="1"/>
                <w:color w:val="auto"/>
                <w:w w:val="84"/>
              </w:rPr>
              <w:t>Copies to:</w:t>
            </w:r>
          </w:p>
        </w:tc>
        <w:tc>
          <w:tcPr>
            <w:tcW w:w="2180" w:type="dxa"/>
            <w:vAlign w:val="bottom"/>
          </w:tcPr>
          <w:p>
            <w:pPr>
              <w:spacing w:after="0"/>
              <w:rPr>
                <w:sz w:val="20"/>
                <w:szCs w:val="20"/>
                <w:color w:val="auto"/>
              </w:rPr>
            </w:pPr>
          </w:p>
        </w:tc>
      </w:tr>
      <w:tr>
        <w:trPr>
          <w:trHeight w:val="161"/>
        </w:trPr>
        <w:tc>
          <w:tcPr>
            <w:tcW w:w="2240" w:type="dxa"/>
            <w:vAlign w:val="bottom"/>
          </w:tcPr>
          <w:p>
            <w:pPr>
              <w:jc w:val="center"/>
              <w:ind w:right="384"/>
              <w:spacing w:after="0" w:line="161" w:lineRule="exact"/>
              <w:rPr>
                <w:sz w:val="20"/>
                <w:szCs w:val="20"/>
                <w:color w:val="auto"/>
              </w:rPr>
            </w:pPr>
            <w:r>
              <w:rPr>
                <w:rFonts w:ascii="Arial" w:cs="Arial" w:eastAsia="Arial" w:hAnsi="Arial"/>
                <w:sz w:val="15"/>
                <w:szCs w:val="15"/>
                <w:b w:val="1"/>
                <w:bCs w:val="1"/>
                <w:color w:val="auto"/>
                <w:w w:val="89"/>
              </w:rPr>
              <w:t>Jodie Bourdet</w:t>
            </w:r>
          </w:p>
        </w:tc>
        <w:tc>
          <w:tcPr>
            <w:tcW w:w="1200" w:type="dxa"/>
            <w:vAlign w:val="bottom"/>
          </w:tcPr>
          <w:p>
            <w:pPr>
              <w:spacing w:after="0"/>
              <w:rPr>
                <w:sz w:val="13"/>
                <w:szCs w:val="13"/>
                <w:color w:val="auto"/>
              </w:rPr>
            </w:pPr>
          </w:p>
        </w:tc>
        <w:tc>
          <w:tcPr>
            <w:tcW w:w="3560" w:type="dxa"/>
            <w:vAlign w:val="bottom"/>
            <w:gridSpan w:val="2"/>
          </w:tcPr>
          <w:p>
            <w:pPr>
              <w:jc w:val="center"/>
              <w:ind w:right="1340"/>
              <w:spacing w:after="0" w:line="161" w:lineRule="exact"/>
              <w:rPr>
                <w:sz w:val="20"/>
                <w:szCs w:val="20"/>
                <w:color w:val="auto"/>
              </w:rPr>
            </w:pPr>
            <w:r>
              <w:rPr>
                <w:rFonts w:ascii="Arial" w:cs="Arial" w:eastAsia="Arial" w:hAnsi="Arial"/>
                <w:sz w:val="15"/>
                <w:szCs w:val="15"/>
                <w:b w:val="1"/>
                <w:bCs w:val="1"/>
                <w:color w:val="auto"/>
                <w:w w:val="92"/>
              </w:rPr>
              <w:t>David Obstler</w:t>
            </w:r>
          </w:p>
        </w:tc>
        <w:tc>
          <w:tcPr>
            <w:tcW w:w="2180" w:type="dxa"/>
            <w:vAlign w:val="bottom"/>
          </w:tcPr>
          <w:p>
            <w:pPr>
              <w:jc w:val="center"/>
              <w:ind w:left="264"/>
              <w:spacing w:after="0" w:line="161" w:lineRule="exact"/>
              <w:rPr>
                <w:sz w:val="20"/>
                <w:szCs w:val="20"/>
                <w:color w:val="auto"/>
              </w:rPr>
            </w:pPr>
            <w:r>
              <w:rPr>
                <w:rFonts w:ascii="Arial" w:cs="Arial" w:eastAsia="Arial" w:hAnsi="Arial"/>
                <w:sz w:val="15"/>
                <w:szCs w:val="15"/>
                <w:b w:val="1"/>
                <w:bCs w:val="1"/>
                <w:color w:val="auto"/>
                <w:w w:val="92"/>
              </w:rPr>
              <w:t>Richard D. Truesdell, Jr.</w:t>
            </w:r>
          </w:p>
        </w:tc>
      </w:tr>
      <w:tr>
        <w:trPr>
          <w:trHeight w:val="161"/>
        </w:trPr>
        <w:tc>
          <w:tcPr>
            <w:tcW w:w="2240" w:type="dxa"/>
            <w:vAlign w:val="bottom"/>
          </w:tcPr>
          <w:p>
            <w:pPr>
              <w:jc w:val="center"/>
              <w:ind w:right="404"/>
              <w:spacing w:after="0" w:line="161" w:lineRule="exact"/>
              <w:rPr>
                <w:sz w:val="20"/>
                <w:szCs w:val="20"/>
                <w:color w:val="auto"/>
              </w:rPr>
            </w:pPr>
            <w:r>
              <w:rPr>
                <w:rFonts w:ascii="Arial" w:cs="Arial" w:eastAsia="Arial" w:hAnsi="Arial"/>
                <w:sz w:val="15"/>
                <w:szCs w:val="15"/>
                <w:b w:val="1"/>
                <w:bCs w:val="1"/>
                <w:color w:val="auto"/>
                <w:w w:val="90"/>
              </w:rPr>
              <w:t>Nicole Brookshire</w:t>
            </w:r>
          </w:p>
        </w:tc>
        <w:tc>
          <w:tcPr>
            <w:tcW w:w="1200" w:type="dxa"/>
            <w:vAlign w:val="bottom"/>
          </w:tcPr>
          <w:p>
            <w:pPr>
              <w:spacing w:after="0"/>
              <w:rPr>
                <w:sz w:val="13"/>
                <w:szCs w:val="13"/>
                <w:color w:val="auto"/>
              </w:rPr>
            </w:pPr>
          </w:p>
        </w:tc>
        <w:tc>
          <w:tcPr>
            <w:tcW w:w="3560" w:type="dxa"/>
            <w:vAlign w:val="bottom"/>
            <w:gridSpan w:val="2"/>
          </w:tcPr>
          <w:p>
            <w:pPr>
              <w:jc w:val="center"/>
              <w:ind w:right="1340"/>
              <w:spacing w:after="0" w:line="161" w:lineRule="exact"/>
              <w:rPr>
                <w:sz w:val="20"/>
                <w:szCs w:val="20"/>
                <w:color w:val="auto"/>
              </w:rPr>
            </w:pPr>
            <w:r>
              <w:rPr>
                <w:rFonts w:ascii="Arial" w:cs="Arial" w:eastAsia="Arial" w:hAnsi="Arial"/>
                <w:sz w:val="15"/>
                <w:szCs w:val="15"/>
                <w:b w:val="1"/>
                <w:bCs w:val="1"/>
                <w:color w:val="auto"/>
                <w:w w:val="92"/>
              </w:rPr>
              <w:t>Laszlo Kopits</w:t>
            </w:r>
          </w:p>
        </w:tc>
        <w:tc>
          <w:tcPr>
            <w:tcW w:w="2180" w:type="dxa"/>
            <w:vAlign w:val="bottom"/>
          </w:tcPr>
          <w:p>
            <w:pPr>
              <w:jc w:val="center"/>
              <w:ind w:left="264"/>
              <w:spacing w:after="0" w:line="161" w:lineRule="exact"/>
              <w:rPr>
                <w:sz w:val="20"/>
                <w:szCs w:val="20"/>
                <w:color w:val="auto"/>
              </w:rPr>
            </w:pPr>
            <w:r>
              <w:rPr>
                <w:rFonts w:ascii="Arial" w:cs="Arial" w:eastAsia="Arial" w:hAnsi="Arial"/>
                <w:sz w:val="15"/>
                <w:szCs w:val="15"/>
                <w:b w:val="1"/>
                <w:bCs w:val="1"/>
                <w:color w:val="auto"/>
                <w:w w:val="93"/>
              </w:rPr>
              <w:t>Marcel R. Fausten</w:t>
            </w:r>
          </w:p>
        </w:tc>
      </w:tr>
      <w:tr>
        <w:trPr>
          <w:trHeight w:val="161"/>
        </w:trPr>
        <w:tc>
          <w:tcPr>
            <w:tcW w:w="2240" w:type="dxa"/>
            <w:vAlign w:val="bottom"/>
          </w:tcPr>
          <w:p>
            <w:pPr>
              <w:jc w:val="center"/>
              <w:ind w:right="384"/>
              <w:spacing w:after="0" w:line="161" w:lineRule="exact"/>
              <w:rPr>
                <w:sz w:val="20"/>
                <w:szCs w:val="20"/>
                <w:color w:val="auto"/>
              </w:rPr>
            </w:pPr>
            <w:r>
              <w:rPr>
                <w:rFonts w:ascii="Arial" w:cs="Arial" w:eastAsia="Arial" w:hAnsi="Arial"/>
                <w:sz w:val="15"/>
                <w:szCs w:val="15"/>
                <w:b w:val="1"/>
                <w:bCs w:val="1"/>
                <w:color w:val="auto"/>
                <w:w w:val="92"/>
              </w:rPr>
              <w:t>Alison Haggerty</w:t>
            </w:r>
          </w:p>
        </w:tc>
        <w:tc>
          <w:tcPr>
            <w:tcW w:w="1200" w:type="dxa"/>
            <w:vAlign w:val="bottom"/>
          </w:tcPr>
          <w:p>
            <w:pPr>
              <w:spacing w:after="0"/>
              <w:rPr>
                <w:sz w:val="13"/>
                <w:szCs w:val="13"/>
                <w:color w:val="auto"/>
              </w:rPr>
            </w:pPr>
          </w:p>
        </w:tc>
        <w:tc>
          <w:tcPr>
            <w:tcW w:w="3560" w:type="dxa"/>
            <w:vAlign w:val="bottom"/>
            <w:gridSpan w:val="2"/>
          </w:tcPr>
          <w:p>
            <w:pPr>
              <w:jc w:val="center"/>
              <w:ind w:right="1340"/>
              <w:spacing w:after="0" w:line="161" w:lineRule="exact"/>
              <w:rPr>
                <w:sz w:val="20"/>
                <w:szCs w:val="20"/>
                <w:color w:val="auto"/>
              </w:rPr>
            </w:pPr>
            <w:r>
              <w:rPr>
                <w:rFonts w:ascii="Arial" w:cs="Arial" w:eastAsia="Arial" w:hAnsi="Arial"/>
                <w:sz w:val="15"/>
                <w:szCs w:val="15"/>
                <w:b w:val="1"/>
                <w:bCs w:val="1"/>
                <w:color w:val="auto"/>
                <w:w w:val="91"/>
              </w:rPr>
              <w:t>Datadog, Inc.</w:t>
            </w:r>
          </w:p>
        </w:tc>
        <w:tc>
          <w:tcPr>
            <w:tcW w:w="2180" w:type="dxa"/>
            <w:vAlign w:val="bottom"/>
          </w:tcPr>
          <w:p>
            <w:pPr>
              <w:jc w:val="center"/>
              <w:ind w:left="244"/>
              <w:spacing w:after="0" w:line="161" w:lineRule="exact"/>
              <w:rPr>
                <w:sz w:val="20"/>
                <w:szCs w:val="20"/>
                <w:color w:val="auto"/>
              </w:rPr>
            </w:pPr>
            <w:r>
              <w:rPr>
                <w:rFonts w:ascii="Arial" w:cs="Arial" w:eastAsia="Arial" w:hAnsi="Arial"/>
                <w:sz w:val="15"/>
                <w:szCs w:val="15"/>
                <w:b w:val="1"/>
                <w:bCs w:val="1"/>
                <w:color w:val="auto"/>
                <w:w w:val="96"/>
              </w:rPr>
              <w:t>Davis Polk &amp; Wardwell LLP</w:t>
            </w:r>
          </w:p>
        </w:tc>
      </w:tr>
      <w:tr>
        <w:trPr>
          <w:trHeight w:val="161"/>
        </w:trPr>
        <w:tc>
          <w:tcPr>
            <w:tcW w:w="2240" w:type="dxa"/>
            <w:vAlign w:val="bottom"/>
          </w:tcPr>
          <w:p>
            <w:pPr>
              <w:jc w:val="center"/>
              <w:ind w:right="384"/>
              <w:spacing w:after="0" w:line="161" w:lineRule="exact"/>
              <w:rPr>
                <w:sz w:val="20"/>
                <w:szCs w:val="20"/>
                <w:color w:val="auto"/>
              </w:rPr>
            </w:pPr>
            <w:r>
              <w:rPr>
                <w:rFonts w:ascii="Arial" w:cs="Arial" w:eastAsia="Arial" w:hAnsi="Arial"/>
                <w:sz w:val="15"/>
                <w:szCs w:val="15"/>
                <w:b w:val="1"/>
                <w:bCs w:val="1"/>
                <w:color w:val="auto"/>
                <w:w w:val="94"/>
              </w:rPr>
              <w:t>Cooley LLP</w:t>
            </w:r>
          </w:p>
        </w:tc>
        <w:tc>
          <w:tcPr>
            <w:tcW w:w="1200" w:type="dxa"/>
            <w:vAlign w:val="bottom"/>
          </w:tcPr>
          <w:p>
            <w:pPr>
              <w:spacing w:after="0"/>
              <w:rPr>
                <w:sz w:val="13"/>
                <w:szCs w:val="13"/>
                <w:color w:val="auto"/>
              </w:rPr>
            </w:pPr>
          </w:p>
        </w:tc>
        <w:tc>
          <w:tcPr>
            <w:tcW w:w="3560" w:type="dxa"/>
            <w:vAlign w:val="bottom"/>
            <w:gridSpan w:val="2"/>
          </w:tcPr>
          <w:p>
            <w:pPr>
              <w:jc w:val="center"/>
              <w:ind w:right="1340"/>
              <w:spacing w:after="0" w:line="161" w:lineRule="exact"/>
              <w:rPr>
                <w:sz w:val="20"/>
                <w:szCs w:val="20"/>
                <w:color w:val="auto"/>
              </w:rPr>
            </w:pPr>
            <w:r>
              <w:rPr>
                <w:rFonts w:ascii="Arial" w:cs="Arial" w:eastAsia="Arial" w:hAnsi="Arial"/>
                <w:sz w:val="15"/>
                <w:szCs w:val="15"/>
                <w:b w:val="1"/>
                <w:bCs w:val="1"/>
                <w:color w:val="auto"/>
                <w:w w:val="91"/>
              </w:rPr>
              <w:t>620 8th Avenue, 45th Floor</w:t>
            </w:r>
          </w:p>
        </w:tc>
        <w:tc>
          <w:tcPr>
            <w:tcW w:w="2180" w:type="dxa"/>
            <w:vAlign w:val="bottom"/>
          </w:tcPr>
          <w:p>
            <w:pPr>
              <w:jc w:val="center"/>
              <w:ind w:left="264"/>
              <w:spacing w:after="0" w:line="161" w:lineRule="exact"/>
              <w:rPr>
                <w:sz w:val="20"/>
                <w:szCs w:val="20"/>
                <w:color w:val="auto"/>
              </w:rPr>
            </w:pPr>
            <w:r>
              <w:rPr>
                <w:rFonts w:ascii="Arial" w:cs="Arial" w:eastAsia="Arial" w:hAnsi="Arial"/>
                <w:sz w:val="15"/>
                <w:szCs w:val="15"/>
                <w:b w:val="1"/>
                <w:bCs w:val="1"/>
                <w:color w:val="auto"/>
                <w:w w:val="90"/>
              </w:rPr>
              <w:t>450 Lexington Avenue</w:t>
            </w:r>
          </w:p>
        </w:tc>
      </w:tr>
      <w:tr>
        <w:trPr>
          <w:trHeight w:val="161"/>
        </w:trPr>
        <w:tc>
          <w:tcPr>
            <w:tcW w:w="2240" w:type="dxa"/>
            <w:vAlign w:val="bottom"/>
          </w:tcPr>
          <w:p>
            <w:pPr>
              <w:jc w:val="center"/>
              <w:ind w:right="384"/>
              <w:spacing w:after="0" w:line="161" w:lineRule="exact"/>
              <w:rPr>
                <w:sz w:val="20"/>
                <w:szCs w:val="20"/>
                <w:color w:val="auto"/>
              </w:rPr>
            </w:pPr>
            <w:r>
              <w:rPr>
                <w:rFonts w:ascii="Arial" w:cs="Arial" w:eastAsia="Arial" w:hAnsi="Arial"/>
                <w:sz w:val="15"/>
                <w:szCs w:val="15"/>
                <w:b w:val="1"/>
                <w:bCs w:val="1"/>
                <w:color w:val="auto"/>
                <w:w w:val="89"/>
              </w:rPr>
              <w:t>55 Hudson Yards</w:t>
            </w:r>
          </w:p>
        </w:tc>
        <w:tc>
          <w:tcPr>
            <w:tcW w:w="1200" w:type="dxa"/>
            <w:vAlign w:val="bottom"/>
          </w:tcPr>
          <w:p>
            <w:pPr>
              <w:spacing w:after="0"/>
              <w:rPr>
                <w:sz w:val="13"/>
                <w:szCs w:val="13"/>
                <w:color w:val="auto"/>
              </w:rPr>
            </w:pPr>
          </w:p>
        </w:tc>
        <w:tc>
          <w:tcPr>
            <w:tcW w:w="3560" w:type="dxa"/>
            <w:vAlign w:val="bottom"/>
            <w:gridSpan w:val="2"/>
          </w:tcPr>
          <w:p>
            <w:pPr>
              <w:jc w:val="center"/>
              <w:ind w:right="1340"/>
              <w:spacing w:after="0" w:line="161" w:lineRule="exact"/>
              <w:rPr>
                <w:sz w:val="20"/>
                <w:szCs w:val="20"/>
                <w:color w:val="auto"/>
              </w:rPr>
            </w:pPr>
            <w:r>
              <w:rPr>
                <w:rFonts w:ascii="Arial" w:cs="Arial" w:eastAsia="Arial" w:hAnsi="Arial"/>
                <w:sz w:val="15"/>
                <w:szCs w:val="15"/>
                <w:b w:val="1"/>
                <w:bCs w:val="1"/>
                <w:color w:val="auto"/>
                <w:w w:val="93"/>
              </w:rPr>
              <w:t>New York, New York 10018</w:t>
            </w:r>
          </w:p>
        </w:tc>
        <w:tc>
          <w:tcPr>
            <w:tcW w:w="2180" w:type="dxa"/>
            <w:vAlign w:val="bottom"/>
          </w:tcPr>
          <w:p>
            <w:pPr>
              <w:jc w:val="center"/>
              <w:ind w:left="244"/>
              <w:spacing w:after="0" w:line="161" w:lineRule="exact"/>
              <w:rPr>
                <w:sz w:val="20"/>
                <w:szCs w:val="20"/>
                <w:color w:val="auto"/>
              </w:rPr>
            </w:pPr>
            <w:r>
              <w:rPr>
                <w:rFonts w:ascii="Arial" w:cs="Arial" w:eastAsia="Arial" w:hAnsi="Arial"/>
                <w:sz w:val="15"/>
                <w:szCs w:val="15"/>
                <w:b w:val="1"/>
                <w:bCs w:val="1"/>
                <w:color w:val="auto"/>
                <w:w w:val="93"/>
              </w:rPr>
              <w:t>New York, New York 10017</w:t>
            </w:r>
          </w:p>
        </w:tc>
      </w:tr>
      <w:tr>
        <w:trPr>
          <w:trHeight w:val="161"/>
        </w:trPr>
        <w:tc>
          <w:tcPr>
            <w:tcW w:w="2240" w:type="dxa"/>
            <w:vAlign w:val="bottom"/>
          </w:tcPr>
          <w:p>
            <w:pPr>
              <w:jc w:val="center"/>
              <w:ind w:right="384"/>
              <w:spacing w:after="0" w:line="161" w:lineRule="exact"/>
              <w:rPr>
                <w:sz w:val="20"/>
                <w:szCs w:val="20"/>
                <w:color w:val="auto"/>
              </w:rPr>
            </w:pPr>
            <w:r>
              <w:rPr>
                <w:rFonts w:ascii="Arial" w:cs="Arial" w:eastAsia="Arial" w:hAnsi="Arial"/>
                <w:sz w:val="15"/>
                <w:szCs w:val="15"/>
                <w:b w:val="1"/>
                <w:bCs w:val="1"/>
                <w:color w:val="auto"/>
                <w:w w:val="93"/>
              </w:rPr>
              <w:t>New York, New York 10001</w:t>
            </w:r>
          </w:p>
        </w:tc>
        <w:tc>
          <w:tcPr>
            <w:tcW w:w="3500" w:type="dxa"/>
            <w:vAlign w:val="bottom"/>
            <w:gridSpan w:val="2"/>
          </w:tcPr>
          <w:p>
            <w:pPr>
              <w:jc w:val="center"/>
              <w:ind w:left="1046"/>
              <w:spacing w:after="0" w:line="161" w:lineRule="exact"/>
              <w:rPr>
                <w:sz w:val="20"/>
                <w:szCs w:val="20"/>
                <w:color w:val="auto"/>
              </w:rPr>
            </w:pPr>
            <w:r>
              <w:rPr>
                <w:rFonts w:ascii="Arial" w:cs="Arial" w:eastAsia="Arial" w:hAnsi="Arial"/>
                <w:sz w:val="15"/>
                <w:szCs w:val="15"/>
                <w:b w:val="1"/>
                <w:bCs w:val="1"/>
                <w:color w:val="auto"/>
                <w:w w:val="91"/>
              </w:rPr>
              <w:t>(866) 329-4466</w:t>
            </w:r>
          </w:p>
        </w:tc>
        <w:tc>
          <w:tcPr>
            <w:tcW w:w="1260" w:type="dxa"/>
            <w:vAlign w:val="bottom"/>
          </w:tcPr>
          <w:p>
            <w:pPr>
              <w:spacing w:after="0"/>
              <w:rPr>
                <w:sz w:val="13"/>
                <w:szCs w:val="13"/>
                <w:color w:val="auto"/>
              </w:rPr>
            </w:pPr>
          </w:p>
        </w:tc>
        <w:tc>
          <w:tcPr>
            <w:tcW w:w="2180" w:type="dxa"/>
            <w:vAlign w:val="bottom"/>
          </w:tcPr>
          <w:p>
            <w:pPr>
              <w:jc w:val="center"/>
              <w:ind w:left="244"/>
              <w:spacing w:after="0" w:line="161" w:lineRule="exact"/>
              <w:rPr>
                <w:sz w:val="20"/>
                <w:szCs w:val="20"/>
                <w:color w:val="auto"/>
              </w:rPr>
            </w:pPr>
            <w:r>
              <w:rPr>
                <w:rFonts w:ascii="Arial" w:cs="Arial" w:eastAsia="Arial" w:hAnsi="Arial"/>
                <w:sz w:val="15"/>
                <w:szCs w:val="15"/>
                <w:b w:val="1"/>
                <w:bCs w:val="1"/>
                <w:color w:val="auto"/>
                <w:w w:val="91"/>
              </w:rPr>
              <w:t>(212) 450-4000</w:t>
            </w:r>
          </w:p>
        </w:tc>
      </w:tr>
      <w:tr>
        <w:trPr>
          <w:trHeight w:val="195"/>
        </w:trPr>
        <w:tc>
          <w:tcPr>
            <w:tcW w:w="2240" w:type="dxa"/>
            <w:vAlign w:val="bottom"/>
          </w:tcPr>
          <w:p>
            <w:pPr>
              <w:jc w:val="center"/>
              <w:ind w:right="384"/>
              <w:spacing w:after="0"/>
              <w:rPr>
                <w:sz w:val="20"/>
                <w:szCs w:val="20"/>
                <w:color w:val="auto"/>
              </w:rPr>
            </w:pPr>
            <w:r>
              <w:rPr>
                <w:rFonts w:ascii="Arial" w:cs="Arial" w:eastAsia="Arial" w:hAnsi="Arial"/>
                <w:sz w:val="15"/>
                <w:szCs w:val="15"/>
                <w:b w:val="1"/>
                <w:bCs w:val="1"/>
                <w:color w:val="auto"/>
                <w:w w:val="91"/>
              </w:rPr>
              <w:t>(212) 479-6000</w:t>
            </w:r>
          </w:p>
        </w:tc>
        <w:tc>
          <w:tcPr>
            <w:tcW w:w="12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82550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33"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is declared effective.</w:t>
      </w:r>
    </w:p>
    <w:p>
      <w:pPr>
        <w:spacing w:after="0" w:line="34" w:lineRule="exact"/>
        <w:rPr>
          <w:sz w:val="24"/>
          <w:szCs w:val="24"/>
          <w:color w:val="auto"/>
        </w:rPr>
      </w:pPr>
    </w:p>
    <w:p>
      <w:pPr>
        <w:ind w:left="260" w:right="300" w:firstLine="437"/>
        <w:spacing w:after="0" w:line="185"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ind w:left="260" w:right="360" w:firstLine="437"/>
        <w:spacing w:after="0" w:line="181"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260" w:right="140" w:firstLine="437"/>
        <w:spacing w:after="0" w:line="186"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left="260" w:right="120" w:firstLine="437"/>
        <w:spacing w:after="0" w:line="182"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70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w:t>
      </w:r>
    </w:p>
    <w:tbl>
      <w:tblPr>
        <w:tblLayout w:type="fixed"/>
        <w:tblInd w:w="260" w:type="dxa"/>
        <w:tblCellMar>
          <w:top w:w="0" w:type="dxa"/>
          <w:left w:w="0" w:type="dxa"/>
          <w:bottom w:w="0" w:type="dxa"/>
          <w:right w:w="0" w:type="dxa"/>
        </w:tblCellMar>
      </w:tblPr>
      <w:tr>
        <w:trPr>
          <w:trHeight w:val="146"/>
        </w:trPr>
        <w:tc>
          <w:tcPr>
            <w:tcW w:w="10680" w:type="dxa"/>
            <w:vAlign w:val="bottom"/>
            <w:gridSpan w:val="3"/>
          </w:tcPr>
          <w:p>
            <w:pPr>
              <w:spacing w:after="0" w:line="146" w:lineRule="exact"/>
              <w:rPr>
                <w:sz w:val="20"/>
                <w:szCs w:val="20"/>
                <w:color w:val="auto"/>
              </w:rPr>
            </w:pPr>
            <w:r>
              <w:rPr>
                <w:rFonts w:ascii="Arial" w:cs="Arial" w:eastAsia="Arial" w:hAnsi="Arial"/>
                <w:sz w:val="15"/>
                <w:szCs w:val="15"/>
                <w:color w:val="auto"/>
                <w:w w:val="93"/>
              </w:rPr>
              <w:t>company. See the definitions of “large accelerated filer,” “accelerated filer,” “smaller reporting company” and “emerging growth company” in Rule 12b-2 of the Exchange Act.</w:t>
            </w:r>
          </w:p>
        </w:tc>
        <w:tc>
          <w:tcPr>
            <w:tcW w:w="160" w:type="dxa"/>
            <w:vAlign w:val="bottom"/>
            <w:vMerge w:val="restart"/>
          </w:tcPr>
          <w:p>
            <w:pPr>
              <w:ind w:left="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700" w:type="dxa"/>
            <w:vAlign w:val="bottom"/>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5420" w:type="dxa"/>
            <w:vAlign w:val="bottom"/>
          </w:tcPr>
          <w:p>
            <w:pPr>
              <w:ind w:left="3380"/>
              <w:spacing w:after="0"/>
              <w:rPr>
                <w:sz w:val="20"/>
                <w:szCs w:val="20"/>
                <w:color w:val="auto"/>
              </w:rPr>
            </w:pPr>
            <w:r>
              <w:rPr>
                <w:rFonts w:ascii="Arial" w:cs="Arial" w:eastAsia="Arial" w:hAnsi="Arial"/>
                <w:sz w:val="15"/>
                <w:szCs w:val="15"/>
                <w:color w:val="auto"/>
              </w:rPr>
              <w:t>Accelerated filer</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560" w:type="dxa"/>
            <w:vAlign w:val="bottom"/>
          </w:tcPr>
          <w:p>
            <w:pPr>
              <w:spacing w:after="0"/>
              <w:rPr>
                <w:sz w:val="20"/>
                <w:szCs w:val="20"/>
                <w:color w:val="auto"/>
              </w:rPr>
            </w:pPr>
            <w:r>
              <w:rPr>
                <w:rFonts w:ascii="Arial" w:cs="Arial" w:eastAsia="Arial" w:hAnsi="Arial"/>
                <w:sz w:val="15"/>
                <w:szCs w:val="15"/>
                <w:color w:val="auto"/>
              </w:rPr>
              <w:t>Non-accelerated filer</w:t>
            </w:r>
          </w:p>
        </w:tc>
        <w:tc>
          <w:tcPr>
            <w:tcW w:w="3700" w:type="dxa"/>
            <w:vAlign w:val="bottom"/>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5420" w:type="dxa"/>
            <w:vAlign w:val="bottom"/>
          </w:tcPr>
          <w:p>
            <w:pPr>
              <w:ind w:left="3380"/>
              <w:spacing w:after="0"/>
              <w:rPr>
                <w:sz w:val="20"/>
                <w:szCs w:val="20"/>
                <w:color w:val="auto"/>
              </w:rPr>
            </w:pPr>
            <w:r>
              <w:rPr>
                <w:rFonts w:ascii="Arial" w:cs="Arial" w:eastAsia="Arial" w:hAnsi="Arial"/>
                <w:sz w:val="15"/>
                <w:szCs w:val="15"/>
                <w:color w:val="auto"/>
              </w:rPr>
              <w:t>Smaller reporting company</w:t>
            </w:r>
          </w:p>
        </w:tc>
        <w:tc>
          <w:tcPr>
            <w:tcW w:w="160" w:type="dxa"/>
            <w:vAlign w:val="bottom"/>
          </w:tcPr>
          <w:p>
            <w:pPr>
              <w:ind w:left="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244"/>
        </w:trPr>
        <w:tc>
          <w:tcPr>
            <w:tcW w:w="15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5420" w:type="dxa"/>
            <w:vAlign w:val="bottom"/>
          </w:tcPr>
          <w:p>
            <w:pPr>
              <w:ind w:left="3380"/>
              <w:spacing w:after="0"/>
              <w:rPr>
                <w:sz w:val="20"/>
                <w:szCs w:val="20"/>
                <w:color w:val="auto"/>
              </w:rPr>
            </w:pPr>
            <w:r>
              <w:rPr>
                <w:rFonts w:ascii="Arial" w:cs="Arial" w:eastAsia="Arial" w:hAnsi="Arial"/>
                <w:sz w:val="15"/>
                <w:szCs w:val="15"/>
                <w:color w:val="auto"/>
              </w:rPr>
              <w:t>Emerging growth company</w:t>
            </w:r>
          </w:p>
        </w:tc>
        <w:tc>
          <w:tcPr>
            <w:tcW w:w="160" w:type="dxa"/>
            <w:vAlign w:val="bottom"/>
          </w:tcPr>
          <w:p>
            <w:pPr>
              <w:ind w:left="2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bl>
    <w:p>
      <w:pPr>
        <w:ind w:left="260" w:right="520" w:firstLine="437"/>
        <w:spacing w:after="0" w:line="18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71120</wp:posOffset>
            </wp:positionV>
            <wp:extent cx="145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15"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CALCULATION OF REGISTRATION FEE</w:t>
      </w:r>
    </w:p>
    <w:p>
      <w:pPr>
        <w:spacing w:after="0" w:line="26" w:lineRule="exact"/>
        <w:rPr>
          <w:sz w:val="24"/>
          <w:szCs w:val="24"/>
          <w:color w:val="auto"/>
        </w:rPr>
      </w:pPr>
    </w:p>
    <w:tbl>
      <w:tblPr>
        <w:tblLayout w:type="fixed"/>
        <w:tblInd w:w="2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2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 of</w:t>
            </w:r>
          </w:p>
        </w:tc>
        <w:tc>
          <w:tcPr>
            <w:tcW w:w="1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w w:val="99"/>
              </w:rPr>
              <w:t>Amount to be</w:t>
            </w:r>
          </w:p>
        </w:tc>
        <w:tc>
          <w:tcPr>
            <w:tcW w:w="1560" w:type="dxa"/>
            <w:vAlign w:val="bottom"/>
            <w:tcBorders>
              <w:right w:val="single" w:sz="8" w:color="auto"/>
            </w:tcBorders>
          </w:tcPr>
          <w:p>
            <w:pPr>
              <w:jc w:val="center"/>
              <w:ind w:left="5"/>
              <w:spacing w:after="0" w:line="114" w:lineRule="exact"/>
              <w:rPr>
                <w:sz w:val="20"/>
                <w:szCs w:val="20"/>
                <w:color w:val="auto"/>
              </w:rPr>
            </w:pPr>
            <w:r>
              <w:rPr>
                <w:rFonts w:ascii="Arial" w:cs="Arial" w:eastAsia="Arial" w:hAnsi="Arial"/>
                <w:sz w:val="13"/>
                <w:szCs w:val="13"/>
                <w:b w:val="1"/>
                <w:bCs w:val="1"/>
                <w:color w:val="auto"/>
              </w:rPr>
              <w:t>Proposed Maximum</w:t>
            </w:r>
          </w:p>
        </w:tc>
        <w:tc>
          <w:tcPr>
            <w:tcW w:w="1580" w:type="dxa"/>
            <w:vAlign w:val="bottom"/>
            <w:tcBorders>
              <w:right w:val="single" w:sz="8" w:color="auto"/>
            </w:tcBorders>
          </w:tcPr>
          <w:p>
            <w:pPr>
              <w:jc w:val="center"/>
              <w:ind w:left="25"/>
              <w:spacing w:after="0" w:line="114" w:lineRule="exact"/>
              <w:rPr>
                <w:sz w:val="20"/>
                <w:szCs w:val="20"/>
                <w:color w:val="auto"/>
              </w:rPr>
            </w:pPr>
            <w:r>
              <w:rPr>
                <w:rFonts w:ascii="Arial" w:cs="Arial" w:eastAsia="Arial" w:hAnsi="Arial"/>
                <w:sz w:val="13"/>
                <w:szCs w:val="13"/>
                <w:b w:val="1"/>
                <w:bCs w:val="1"/>
                <w:color w:val="auto"/>
              </w:rPr>
              <w:t>Proposed Maximum</w:t>
            </w:r>
          </w:p>
        </w:tc>
        <w:tc>
          <w:tcPr>
            <w:tcW w:w="1440" w:type="dxa"/>
            <w:vAlign w:val="bottom"/>
            <w:vMerge w:val="restart"/>
          </w:tcPr>
          <w:p>
            <w:pPr>
              <w:jc w:val="center"/>
              <w:ind w:left="63"/>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ind w:left="5"/>
              <w:spacing w:after="0" w:line="147" w:lineRule="exact"/>
              <w:rPr>
                <w:sz w:val="20"/>
                <w:szCs w:val="20"/>
                <w:color w:val="auto"/>
              </w:rPr>
            </w:pPr>
            <w:r>
              <w:rPr>
                <w:rFonts w:ascii="Arial" w:cs="Arial" w:eastAsia="Arial" w:hAnsi="Arial"/>
                <w:sz w:val="14"/>
                <w:szCs w:val="14"/>
                <w:b w:val="1"/>
                <w:bCs w:val="1"/>
                <w:color w:val="auto"/>
                <w:w w:val="94"/>
              </w:rPr>
              <w:t>Offering Price Per</w:t>
            </w:r>
          </w:p>
        </w:tc>
        <w:tc>
          <w:tcPr>
            <w:tcW w:w="1580" w:type="dxa"/>
            <w:vAlign w:val="bottom"/>
            <w:tcBorders>
              <w:right w:val="single" w:sz="8" w:color="auto"/>
            </w:tcBorders>
          </w:tcPr>
          <w:p>
            <w:pPr>
              <w:jc w:val="center"/>
              <w:ind w:left="45"/>
              <w:spacing w:after="0" w:line="147" w:lineRule="exact"/>
              <w:rPr>
                <w:sz w:val="20"/>
                <w:szCs w:val="20"/>
                <w:color w:val="auto"/>
              </w:rPr>
            </w:pPr>
            <w:r>
              <w:rPr>
                <w:rFonts w:ascii="Arial" w:cs="Arial" w:eastAsia="Arial" w:hAnsi="Arial"/>
                <w:sz w:val="14"/>
                <w:szCs w:val="14"/>
                <w:b w:val="1"/>
                <w:bCs w:val="1"/>
                <w:color w:val="auto"/>
                <w:w w:val="92"/>
              </w:rPr>
              <w:t>Aggregate Offering</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0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Registered</w:t>
            </w:r>
            <w:r>
              <w:rPr>
                <w:rFonts w:ascii="Arial" w:cs="Arial" w:eastAsia="Arial" w:hAnsi="Arial"/>
                <w:sz w:val="12"/>
                <w:szCs w:val="12"/>
                <w:b w:val="1"/>
                <w:bCs w:val="1"/>
                <w:color w:val="auto"/>
              </w:rPr>
              <w:t>(1)</w:t>
            </w:r>
          </w:p>
        </w:tc>
        <w:tc>
          <w:tcPr>
            <w:tcW w:w="156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158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94"/>
              </w:rPr>
              <w:t>Price</w:t>
            </w:r>
            <w:r>
              <w:rPr>
                <w:rFonts w:ascii="Arial" w:cs="Arial" w:eastAsia="Arial" w:hAnsi="Arial"/>
                <w:sz w:val="12"/>
                <w:szCs w:val="12"/>
                <w:b w:val="1"/>
                <w:bCs w:val="1"/>
                <w:color w:val="auto"/>
                <w:w w:val="94"/>
              </w:rPr>
              <w:t>(1)(2)</w:t>
            </w:r>
          </w:p>
        </w:tc>
        <w:tc>
          <w:tcPr>
            <w:tcW w:w="144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12"/>
                <w:szCs w:val="12"/>
                <w:b w:val="1"/>
                <w:bCs w:val="1"/>
                <w:color w:val="auto"/>
                <w:w w:val="91"/>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par value $0.00001 per share</w:t>
            </w:r>
          </w:p>
        </w:tc>
        <w:tc>
          <w:tcPr>
            <w:tcW w:w="10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7"/>
              </w:rPr>
              <w:t>27,600,000</w:t>
            </w:r>
          </w:p>
        </w:tc>
        <w:tc>
          <w:tcPr>
            <w:tcW w:w="156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90"/>
              </w:rPr>
              <w:t>$26.00</w:t>
            </w:r>
          </w:p>
        </w:tc>
        <w:tc>
          <w:tcPr>
            <w:tcW w:w="1580" w:type="dxa"/>
            <w:vAlign w:val="bottom"/>
            <w:tcBorders>
              <w:bottom w:val="single" w:sz="8" w:color="auto"/>
              <w:right w:val="single" w:sz="8" w:color="auto"/>
            </w:tcBorders>
          </w:tcPr>
          <w:p>
            <w:pPr>
              <w:jc w:val="center"/>
              <w:ind w:left="45"/>
              <w:spacing w:after="0"/>
              <w:rPr>
                <w:sz w:val="20"/>
                <w:szCs w:val="20"/>
                <w:color w:val="auto"/>
              </w:rPr>
            </w:pPr>
            <w:r>
              <w:rPr>
                <w:rFonts w:ascii="Arial" w:cs="Arial" w:eastAsia="Arial" w:hAnsi="Arial"/>
                <w:sz w:val="18"/>
                <w:szCs w:val="18"/>
                <w:color w:val="auto"/>
                <w:w w:val="88"/>
              </w:rPr>
              <w:t>$717,600,000</w:t>
            </w:r>
          </w:p>
        </w:tc>
        <w:tc>
          <w:tcPr>
            <w:tcW w:w="1440" w:type="dxa"/>
            <w:vAlign w:val="bottom"/>
            <w:tcBorders>
              <w:bottom w:val="single" w:sz="8" w:color="auto"/>
            </w:tcBorders>
          </w:tcPr>
          <w:p>
            <w:pPr>
              <w:jc w:val="center"/>
              <w:ind w:left="63"/>
              <w:spacing w:after="0"/>
              <w:rPr>
                <w:sz w:val="20"/>
                <w:szCs w:val="20"/>
                <w:color w:val="auto"/>
              </w:rPr>
            </w:pPr>
            <w:r>
              <w:rPr>
                <w:rFonts w:ascii="Arial" w:cs="Arial" w:eastAsia="Arial" w:hAnsi="Arial"/>
                <w:sz w:val="18"/>
                <w:szCs w:val="18"/>
                <w:color w:val="auto"/>
                <w:w w:val="89"/>
              </w:rPr>
              <w:t>$86,974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hanging="425"/>
        <w:spacing w:after="0"/>
        <w:tabs>
          <w:tab w:leader="none" w:pos="68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3,600,000 additional shares that the underwriters have the option to purchase.</w:t>
      </w:r>
    </w:p>
    <w:p>
      <w:pPr>
        <w:ind w:left="680" w:right="20" w:hanging="425"/>
        <w:spacing w:after="0" w:line="223" w:lineRule="auto"/>
        <w:tabs>
          <w:tab w:leader="none" w:pos="6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in accordance with Rule 457(a) of the Securities Act of 1933, as amended. Includes the aggregate offering price of additional shares that the underwriters have the option to purchase.</w:t>
      </w:r>
    </w:p>
    <w:p>
      <w:pPr>
        <w:ind w:left="680" w:hanging="425"/>
        <w:spacing w:after="0"/>
        <w:tabs>
          <w:tab w:leader="none" w:pos="6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previously paid a registration fee of $73,593 in connection with the prior filings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78105</wp:posOffset>
            </wp:positionV>
            <wp:extent cx="145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26" w:lineRule="exact"/>
        <w:rPr>
          <w:sz w:val="24"/>
          <w:szCs w:val="24"/>
          <w:color w:val="auto"/>
        </w:rPr>
      </w:pPr>
    </w:p>
    <w:p>
      <w:pPr>
        <w:ind w:left="260" w:right="340" w:firstLine="437"/>
        <w:spacing w:after="0" w:line="235"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165735</wp:posOffset>
            </wp:positionH>
            <wp:positionV relativeFrom="paragraph">
              <wp:posOffset>49530</wp:posOffset>
            </wp:positionV>
            <wp:extent cx="6933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3565" cy="825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92075</wp:posOffset>
            </wp:positionV>
            <wp:extent cx="6933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3565" cy="8255"/>
                    </a:xfrm>
                    <a:prstGeom prst="rect">
                      <a:avLst/>
                    </a:prstGeom>
                    <a:noFill/>
                  </pic:spPr>
                </pic:pic>
              </a:graphicData>
            </a:graphic>
          </wp:anchor>
        </w:drawing>
      </w:r>
    </w:p>
    <w:p>
      <w:pPr>
        <w:sectPr>
          <w:pgSz w:w="11900" w:h="16838" w:orient="portrait"/>
          <w:cols w:equalWidth="0" w:num="1">
            <w:col w:w="11180"/>
          </w:cols>
          <w:pgMar w:left="240" w:top="229" w:right="4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231775</wp:posOffset>
            </wp:positionV>
            <wp:extent cx="6967220" cy="9074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7220" cy="907478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231775</wp:posOffset>
            </wp:positionV>
            <wp:extent cx="6967220" cy="9074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7220" cy="907478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231775</wp:posOffset>
            </wp:positionV>
            <wp:extent cx="6967220" cy="9074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7220" cy="907478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231775</wp:posOffset>
            </wp:positionV>
            <wp:extent cx="6967220" cy="9074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7220" cy="907478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231775</wp:posOffset>
            </wp:positionV>
            <wp:extent cx="7009765" cy="9133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9765" cy="9133840"/>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231775</wp:posOffset>
            </wp:positionV>
            <wp:extent cx="5013325" cy="6517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13325" cy="651700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Prospectus</w:t>
      </w:r>
    </w:p>
    <w:p>
      <w:pPr>
        <w:spacing w:after="0" w:line="29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60" w:type="dxa"/>
            <w:vAlign w:val="bottom"/>
            <w:gridSpan w:val="9"/>
            <w:vMerge w:val="restart"/>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400" w:type="dxa"/>
            <w:vAlign w:val="bottom"/>
          </w:tcPr>
          <w:p>
            <w:pPr>
              <w:spacing w:after="0"/>
              <w:rPr>
                <w:sz w:val="14"/>
                <w:szCs w:val="14"/>
                <w:color w:val="auto"/>
              </w:rPr>
            </w:pPr>
          </w:p>
        </w:tc>
        <w:tc>
          <w:tcPr>
            <w:tcW w:w="4960" w:type="dxa"/>
            <w:vAlign w:val="bottom"/>
            <w:gridSpan w:val="15"/>
            <w:vMerge w:val="restart"/>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MANAGEMENT</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7"/>
        </w:trPr>
        <w:tc>
          <w:tcPr>
            <w:tcW w:w="2660" w:type="dxa"/>
            <w:vAlign w:val="bottom"/>
            <w:gridSpan w:val="9"/>
            <w:vMerge w:val="continue"/>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4960" w:type="dxa"/>
            <w:vAlign w:val="bottom"/>
            <w:gridSpan w:val="15"/>
            <w:vMerge w:val="continue"/>
          </w:tcPr>
          <w:p>
            <w:pPr>
              <w:spacing w:after="0"/>
              <w:rPr>
                <w:sz w:val="14"/>
                <w:szCs w:val="14"/>
                <w:color w:val="auto"/>
              </w:rPr>
            </w:pPr>
          </w:p>
        </w:tc>
        <w:tc>
          <w:tcPr>
            <w:tcW w:w="3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w w:val="99"/>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240" w:type="dxa"/>
            <w:vAlign w:val="bottom"/>
            <w:tcBorders>
              <w:bottom w:val="single" w:sz="8" w:color="0000EE"/>
            </w:tcBorders>
            <w:gridSpan w:val="4"/>
          </w:tcPr>
          <w:p>
            <w:pPr>
              <w:spacing w:after="0" w:line="195"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RISK FACTORS</w:t>
              </w:r>
            </w:hyperlink>
          </w:p>
        </w:tc>
        <w:tc>
          <w:tcPr>
            <w:tcW w:w="820" w:type="dxa"/>
            <w:vAlign w:val="bottom"/>
            <w:gridSpan w:val="4"/>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c>
          <w:tcPr>
            <w:tcW w:w="400" w:type="dxa"/>
            <w:vAlign w:val="bottom"/>
          </w:tcPr>
          <w:p>
            <w:pPr>
              <w:spacing w:after="0"/>
              <w:rPr>
                <w:sz w:val="16"/>
                <w:szCs w:val="16"/>
                <w:color w:val="auto"/>
              </w:rPr>
            </w:pPr>
          </w:p>
        </w:tc>
        <w:tc>
          <w:tcPr>
            <w:tcW w:w="2440" w:type="dxa"/>
            <w:vAlign w:val="bottom"/>
            <w:tcBorders>
              <w:bottom w:val="single" w:sz="8" w:color="0000EE"/>
            </w:tcBorders>
            <w:gridSpan w:val="9"/>
          </w:tcPr>
          <w:p>
            <w:pPr>
              <w:spacing w:after="0" w:line="195"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EXECUTIVE COMPENSATION</w:t>
              </w:r>
            </w:hyperlink>
          </w:p>
        </w:tc>
        <w:tc>
          <w:tcPr>
            <w:tcW w:w="2520" w:type="dxa"/>
            <w:vAlign w:val="bottom"/>
            <w:gridSpan w:val="6"/>
          </w:tcPr>
          <w:p>
            <w:pPr>
              <w:spacing w:after="0"/>
              <w:rPr>
                <w:sz w:val="16"/>
                <w:szCs w:val="16"/>
                <w:color w:val="auto"/>
              </w:rPr>
            </w:pPr>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4"/>
        </w:trPr>
        <w:tc>
          <w:tcPr>
            <w:tcW w:w="4120" w:type="dxa"/>
            <w:vAlign w:val="bottom"/>
            <w:gridSpan w:val="13"/>
          </w:tcPr>
          <w:p>
            <w:pPr>
              <w:spacing w:after="0" w:line="195"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SPECIAL NOTE REGARDING FORWARD-LOOKING</w:t>
              </w:r>
            </w:hyperlink>
          </w:p>
        </w:tc>
        <w:tc>
          <w:tcPr>
            <w:tcW w:w="72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60" w:type="dxa"/>
            <w:vAlign w:val="bottom"/>
            <w:gridSpan w:val="15"/>
          </w:tcPr>
          <w:p>
            <w:pPr>
              <w:spacing w:after="0" w:line="195" w:lineRule="exact"/>
              <w:rPr>
                <w:rFonts w:ascii="Arial" w:cs="Arial" w:eastAsia="Arial" w:hAnsi="Arial"/>
                <w:sz w:val="18"/>
                <w:szCs w:val="18"/>
                <w:color w:val="0000EE"/>
              </w:rPr>
            </w:pPr>
            <w:hyperlink w:anchor="page131">
              <w:r>
                <w:rPr>
                  <w:rFonts w:ascii="Arial" w:cs="Arial" w:eastAsia="Arial" w:hAnsi="Arial"/>
                  <w:sz w:val="18"/>
                  <w:szCs w:val="18"/>
                  <w:color w:val="0000EE"/>
                </w:rPr>
                <w:t>CERTAIN RELATIONSHIPS AND RELATED PARTY</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248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52">
              <w:r>
                <w:rPr>
                  <w:rFonts w:ascii="Arial" w:cs="Arial" w:eastAsia="Arial" w:hAnsi="Arial"/>
                  <w:sz w:val="18"/>
                  <w:szCs w:val="18"/>
                  <w:color w:val="0000EE"/>
                </w:rPr>
                <w:t>STATEMENTS</w:t>
              </w:r>
            </w:hyperlink>
          </w:p>
        </w:tc>
        <w:tc>
          <w:tcPr>
            <w:tcW w:w="6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4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84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w:anchor="page131">
              <w:r>
                <w:rPr>
                  <w:rFonts w:ascii="Arial" w:cs="Arial" w:eastAsia="Arial" w:hAnsi="Arial"/>
                  <w:sz w:val="18"/>
                  <w:szCs w:val="18"/>
                  <w:color w:val="0000EE"/>
                </w:rPr>
                <w:t>TRANSACTIONS</w:t>
              </w:r>
            </w:hyperlink>
          </w:p>
        </w:tc>
        <w:tc>
          <w:tcPr>
            <w:tcW w:w="940" w:type="dxa"/>
            <w:vAlign w:val="bottom"/>
            <w:gridSpan w:val="3"/>
          </w:tcPr>
          <w:p>
            <w:pPr>
              <w:spacing w:after="0"/>
              <w:rPr>
                <w:sz w:val="16"/>
                <w:szCs w:val="16"/>
                <w:color w:val="auto"/>
              </w:rPr>
            </w:pPr>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00" w:type="dxa"/>
            <w:vAlign w:val="bottom"/>
            <w:gridSpan w:val="10"/>
          </w:tcPr>
          <w:p>
            <w:pPr>
              <w:spacing w:after="0" w:line="195"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MARKET, INDUSTRY AND OTHER DATA</w:t>
              </w:r>
            </w:hyperlink>
          </w:p>
        </w:tc>
        <w:tc>
          <w:tcPr>
            <w:tcW w:w="1540" w:type="dxa"/>
            <w:vAlign w:val="bottom"/>
            <w:gridSpan w:val="7"/>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45</w:t>
            </w:r>
          </w:p>
        </w:tc>
        <w:tc>
          <w:tcPr>
            <w:tcW w:w="400" w:type="dxa"/>
            <w:vAlign w:val="bottom"/>
          </w:tcPr>
          <w:p>
            <w:pPr>
              <w:spacing w:after="0"/>
              <w:rPr>
                <w:sz w:val="16"/>
                <w:szCs w:val="16"/>
                <w:color w:val="auto"/>
              </w:rPr>
            </w:pPr>
          </w:p>
        </w:tc>
        <w:tc>
          <w:tcPr>
            <w:tcW w:w="4960" w:type="dxa"/>
            <w:vAlign w:val="bottom"/>
            <w:gridSpan w:val="15"/>
          </w:tcPr>
          <w:p>
            <w:pPr>
              <w:spacing w:after="0" w:line="195" w:lineRule="exact"/>
              <w:rPr>
                <w:rFonts w:ascii="Arial" w:cs="Arial" w:eastAsia="Arial" w:hAnsi="Arial"/>
                <w:sz w:val="18"/>
                <w:szCs w:val="18"/>
                <w:color w:val="0000EE"/>
              </w:rPr>
            </w:pPr>
            <w:hyperlink w:anchor="page133">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80" w:type="dxa"/>
            <w:vAlign w:val="bottom"/>
            <w:gridSpan w:val="7"/>
          </w:tcPr>
          <w:p>
            <w:pPr>
              <w:spacing w:after="0" w:line="195"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USE OF PROCEEDS</w:t>
              </w:r>
            </w:hyperlink>
          </w:p>
        </w:tc>
        <w:tc>
          <w:tcPr>
            <w:tcW w:w="108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c>
          <w:tcPr>
            <w:tcW w:w="400" w:type="dxa"/>
            <w:vAlign w:val="bottom"/>
          </w:tcPr>
          <w:p>
            <w:pPr>
              <w:spacing w:after="0"/>
              <w:rPr>
                <w:sz w:val="16"/>
                <w:szCs w:val="16"/>
                <w:color w:val="auto"/>
              </w:rPr>
            </w:pPr>
          </w:p>
        </w:tc>
        <w:tc>
          <w:tcPr>
            <w:tcW w:w="4960" w:type="dxa"/>
            <w:vAlign w:val="bottom"/>
            <w:gridSpan w:val="15"/>
          </w:tcPr>
          <w:p>
            <w:pPr>
              <w:spacing w:after="0" w:line="195" w:lineRule="exact"/>
              <w:rPr>
                <w:rFonts w:ascii="Arial" w:cs="Arial" w:eastAsia="Arial" w:hAnsi="Arial"/>
                <w:sz w:val="18"/>
                <w:szCs w:val="18"/>
                <w:color w:val="0000EE"/>
              </w:rPr>
            </w:pPr>
            <w:hyperlink w:anchor="page136">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580" w:type="dxa"/>
            <w:vAlign w:val="bottom"/>
            <w:tcBorders>
              <w:bottom w:val="single" w:sz="8" w:color="0000EE"/>
            </w:tcBorders>
            <w:gridSpan w:val="7"/>
          </w:tcPr>
          <w:p>
            <w:pPr>
              <w:spacing w:after="0" w:line="195"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DIVIDEND POLICY</w:t>
              </w:r>
            </w:hyperlink>
          </w:p>
        </w:tc>
        <w:tc>
          <w:tcPr>
            <w:tcW w:w="108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47</w:t>
            </w:r>
          </w:p>
        </w:tc>
        <w:tc>
          <w:tcPr>
            <w:tcW w:w="400" w:type="dxa"/>
            <w:vAlign w:val="bottom"/>
          </w:tcPr>
          <w:p>
            <w:pPr>
              <w:spacing w:after="0"/>
              <w:rPr>
                <w:sz w:val="16"/>
                <w:szCs w:val="16"/>
                <w:color w:val="auto"/>
              </w:rPr>
            </w:pPr>
          </w:p>
        </w:tc>
        <w:tc>
          <w:tcPr>
            <w:tcW w:w="3160" w:type="dxa"/>
            <w:vAlign w:val="bottom"/>
            <w:tcBorders>
              <w:bottom w:val="single" w:sz="8" w:color="0000EE"/>
            </w:tcBorders>
            <w:gridSpan w:val="11"/>
          </w:tcPr>
          <w:p>
            <w:pPr>
              <w:spacing w:after="0" w:line="195" w:lineRule="exact"/>
              <w:rPr>
                <w:rFonts w:ascii="Arial" w:cs="Arial" w:eastAsia="Arial" w:hAnsi="Arial"/>
                <w:sz w:val="18"/>
                <w:szCs w:val="18"/>
                <w:color w:val="0000EE"/>
                <w:w w:val="94"/>
              </w:rPr>
            </w:pPr>
            <w:hyperlink w:anchor="page142">
              <w:r>
                <w:rPr>
                  <w:rFonts w:ascii="Arial" w:cs="Arial" w:eastAsia="Arial" w:hAnsi="Arial"/>
                  <w:sz w:val="18"/>
                  <w:szCs w:val="18"/>
                  <w:color w:val="0000EE"/>
                  <w:w w:val="94"/>
                </w:rPr>
                <w:t>SHARES ELIGIBLE FOR FUTURE SALE</w:t>
              </w:r>
            </w:hyperlink>
          </w:p>
        </w:tc>
        <w:tc>
          <w:tcPr>
            <w:tcW w:w="1800" w:type="dxa"/>
            <w:vAlign w:val="bottom"/>
            <w:gridSpan w:val="4"/>
          </w:tcPr>
          <w:p>
            <w:pPr>
              <w:spacing w:after="0"/>
              <w:rPr>
                <w:sz w:val="16"/>
                <w:szCs w:val="16"/>
                <w:color w:val="auto"/>
              </w:rPr>
            </w:pPr>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4"/>
        </w:trPr>
        <w:tc>
          <w:tcPr>
            <w:tcW w:w="2660" w:type="dxa"/>
            <w:vAlign w:val="bottom"/>
            <w:gridSpan w:val="9"/>
          </w:tcPr>
          <w:p>
            <w:pPr>
              <w:spacing w:after="0" w:line="195" w:lineRule="exact"/>
              <w:rPr>
                <w:rFonts w:ascii="Arial" w:cs="Arial" w:eastAsia="Arial" w:hAnsi="Arial"/>
                <w:sz w:val="18"/>
                <w:szCs w:val="18"/>
                <w:color w:val="0000EE"/>
              </w:rPr>
            </w:pPr>
            <w:hyperlink w:anchor="page56">
              <w:r>
                <w:rPr>
                  <w:rFonts w:ascii="Arial" w:cs="Arial" w:eastAsia="Arial" w:hAnsi="Arial"/>
                  <w:sz w:val="18"/>
                  <w:szCs w:val="18"/>
                  <w:color w:val="0000EE"/>
                </w:rPr>
                <w:t>CAPITALIZATION</w:t>
              </w:r>
            </w:hyperlink>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48</w:t>
            </w:r>
          </w:p>
        </w:tc>
        <w:tc>
          <w:tcPr>
            <w:tcW w:w="400" w:type="dxa"/>
            <w:vAlign w:val="bottom"/>
          </w:tcPr>
          <w:p>
            <w:pPr>
              <w:spacing w:after="0"/>
              <w:rPr>
                <w:sz w:val="16"/>
                <w:szCs w:val="16"/>
                <w:color w:val="auto"/>
              </w:rPr>
            </w:pPr>
          </w:p>
        </w:tc>
        <w:tc>
          <w:tcPr>
            <w:tcW w:w="4960" w:type="dxa"/>
            <w:vAlign w:val="bottom"/>
            <w:gridSpan w:val="15"/>
          </w:tcPr>
          <w:p>
            <w:pPr>
              <w:spacing w:after="0" w:line="195" w:lineRule="exact"/>
              <w:rPr>
                <w:rFonts w:ascii="Arial" w:cs="Arial" w:eastAsia="Arial" w:hAnsi="Arial"/>
                <w:sz w:val="18"/>
                <w:szCs w:val="18"/>
                <w:color w:val="0000EE"/>
              </w:rPr>
            </w:pPr>
            <w:hyperlink w:anchor="page145">
              <w:r>
                <w:rPr>
                  <w:rFonts w:ascii="Arial" w:cs="Arial" w:eastAsia="Arial" w:hAnsi="Arial"/>
                  <w:sz w:val="18"/>
                  <w:szCs w:val="18"/>
                  <w:color w:val="0000EE"/>
                </w:rPr>
                <w:t>MATERIAL U.S. FEDERAL INCOME TAX CONSEQUENCES</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60" w:type="dxa"/>
            <w:vAlign w:val="bottom"/>
            <w:tcBorders>
              <w:top w:val="single" w:sz="8" w:color="0000EE"/>
            </w:tcBorders>
            <w:gridSpan w:val="2"/>
          </w:tcPr>
          <w:p>
            <w:pPr>
              <w:spacing w:after="0" w:line="195"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DILUTION</w:t>
              </w:r>
            </w:hyperlink>
          </w:p>
        </w:tc>
        <w:tc>
          <w:tcPr>
            <w:tcW w:w="580" w:type="dxa"/>
            <w:vAlign w:val="bottom"/>
            <w:tcBorders>
              <w:top w:val="single" w:sz="8" w:color="0000EE"/>
            </w:tcBorders>
            <w:gridSpan w:val="4"/>
          </w:tcPr>
          <w:p>
            <w:pPr>
              <w:spacing w:after="0"/>
              <w:rPr>
                <w:sz w:val="16"/>
                <w:szCs w:val="16"/>
                <w:color w:val="auto"/>
              </w:rPr>
            </w:pPr>
          </w:p>
        </w:tc>
        <w:tc>
          <w:tcPr>
            <w:tcW w:w="1220" w:type="dxa"/>
            <w:vAlign w:val="bottom"/>
            <w:gridSpan w:val="3"/>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c>
          <w:tcPr>
            <w:tcW w:w="40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540" w:type="dxa"/>
            <w:vAlign w:val="bottom"/>
            <w:tcBorders>
              <w:top w:val="single" w:sz="8" w:color="0000EE"/>
            </w:tcBorders>
            <w:gridSpan w:val="13"/>
          </w:tcPr>
          <w:p>
            <w:pPr>
              <w:spacing w:after="0" w:line="195" w:lineRule="exact"/>
              <w:rPr>
                <w:rFonts w:ascii="Arial" w:cs="Arial" w:eastAsia="Arial" w:hAnsi="Arial"/>
                <w:sz w:val="18"/>
                <w:szCs w:val="18"/>
                <w:color w:val="0000EE"/>
              </w:rPr>
            </w:pPr>
            <w:hyperlink w:anchor="page145">
              <w:r>
                <w:rPr>
                  <w:rFonts w:ascii="Arial" w:cs="Arial" w:eastAsia="Arial" w:hAnsi="Arial"/>
                  <w:sz w:val="18"/>
                  <w:szCs w:val="18"/>
                  <w:color w:val="0000EE"/>
                </w:rPr>
                <w:t>TO NON-U.S. HOLDERS OF OUR CLASS A COMMON</w:t>
              </w:r>
            </w:hyperlink>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40" w:type="dxa"/>
            <w:vAlign w:val="bottom"/>
            <w:gridSpan w:val="17"/>
          </w:tcPr>
          <w:p>
            <w:pPr>
              <w:spacing w:after="0" w:line="195" w:lineRule="exact"/>
              <w:rPr>
                <w:rFonts w:ascii="Arial" w:cs="Arial" w:eastAsia="Arial" w:hAnsi="Arial"/>
                <w:sz w:val="18"/>
                <w:szCs w:val="18"/>
                <w:color w:val="0000EE"/>
              </w:rPr>
            </w:pPr>
            <w:hyperlink w:anchor="page61">
              <w:r>
                <w:rPr>
                  <w:rFonts w:ascii="Arial" w:cs="Arial" w:eastAsia="Arial" w:hAnsi="Arial"/>
                  <w:sz w:val="18"/>
                  <w:szCs w:val="18"/>
                  <w:color w:val="0000EE"/>
                </w:rPr>
                <w:t>SELECTED CONSOLIDATED FINANCIAL DATA</w:t>
              </w:r>
            </w:hyperlink>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80" w:type="dxa"/>
            <w:vAlign w:val="bottom"/>
            <w:gridSpan w:val="14"/>
          </w:tcPr>
          <w:p>
            <w:pPr>
              <w:spacing w:after="0" w:line="195" w:lineRule="exact"/>
              <w:rPr>
                <w:rFonts w:ascii="Arial" w:cs="Arial" w:eastAsia="Arial" w:hAnsi="Arial"/>
                <w:sz w:val="18"/>
                <w:szCs w:val="18"/>
                <w:color w:val="0000EE"/>
              </w:rPr>
            </w:pPr>
            <w:hyperlink w:anchor="page145">
              <w:r>
                <w:rPr>
                  <w:rFonts w:ascii="Arial" w:cs="Arial" w:eastAsia="Arial" w:hAnsi="Arial"/>
                  <w:sz w:val="18"/>
                  <w:szCs w:val="18"/>
                  <w:color w:val="0000EE"/>
                </w:rPr>
                <w:t>STOCK</w:t>
              </w:r>
            </w:hyperlink>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2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60" w:type="dxa"/>
            <w:vAlign w:val="bottom"/>
            <w:gridSpan w:val="14"/>
          </w:tcPr>
          <w:p>
            <w:pPr>
              <w:spacing w:after="0" w:line="195"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MANAGEMENT’S DISCUSSION AND ANALYSIS OF</w:t>
              </w:r>
            </w:hyperlink>
          </w:p>
        </w:tc>
        <w:tc>
          <w:tcPr>
            <w:tcW w:w="680" w:type="dxa"/>
            <w:vAlign w:val="bottom"/>
            <w:gridSpan w:val="3"/>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60" w:type="dxa"/>
            <w:vAlign w:val="bottom"/>
            <w:gridSpan w:val="15"/>
          </w:tcPr>
          <w:p>
            <w:pPr>
              <w:spacing w:after="0" w:line="195" w:lineRule="exact"/>
              <w:rPr>
                <w:rFonts w:ascii="Arial" w:cs="Arial" w:eastAsia="Arial" w:hAnsi="Arial"/>
                <w:sz w:val="18"/>
                <w:szCs w:val="18"/>
                <w:color w:val="0000EE"/>
              </w:rPr>
            </w:pPr>
            <w:hyperlink w:anchor="page149">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20" w:type="dxa"/>
            <w:vAlign w:val="bottom"/>
            <w:tcBorders>
              <w:left w:val="single" w:sz="8" w:color="0000EE"/>
            </w:tcBorders>
            <w:gridSpan w:val="6"/>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3500" w:type="dxa"/>
            <w:vAlign w:val="bottom"/>
            <w:gridSpan w:val="10"/>
          </w:tcPr>
          <w:p>
            <w:pPr>
              <w:spacing w:after="0" w:line="195"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FINANCIAL CONDITION AND RESULTS OF</w:t>
              </w:r>
            </w:hyperlink>
          </w:p>
        </w:tc>
        <w:tc>
          <w:tcPr>
            <w:tcW w:w="480" w:type="dxa"/>
            <w:vAlign w:val="bottom"/>
            <w:gridSpan w:val="3"/>
          </w:tcPr>
          <w:p>
            <w:pPr>
              <w:spacing w:after="0"/>
              <w:rPr>
                <w:sz w:val="16"/>
                <w:szCs w:val="16"/>
                <w:color w:val="auto"/>
              </w:rPr>
            </w:pPr>
          </w:p>
        </w:tc>
        <w:tc>
          <w:tcPr>
            <w:tcW w:w="680" w:type="dxa"/>
            <w:vAlign w:val="bottom"/>
            <w:gridSpan w:val="3"/>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60" w:type="dxa"/>
            <w:vAlign w:val="bottom"/>
            <w:gridSpan w:val="15"/>
          </w:tcPr>
          <w:p>
            <w:pPr>
              <w:spacing w:after="0" w:line="195" w:lineRule="exact"/>
              <w:rPr>
                <w:rFonts w:ascii="Arial" w:cs="Arial" w:eastAsia="Arial" w:hAnsi="Arial"/>
                <w:sz w:val="18"/>
                <w:szCs w:val="18"/>
                <w:color w:val="0000EE"/>
              </w:rPr>
            </w:pPr>
            <w:hyperlink w:anchor="page156">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248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63">
              <w:r>
                <w:rPr>
                  <w:rFonts w:ascii="Arial" w:cs="Arial" w:eastAsia="Arial" w:hAnsi="Arial"/>
                  <w:sz w:val="18"/>
                  <w:szCs w:val="18"/>
                  <w:color w:val="0000EE"/>
                </w:rPr>
                <w:t>OPERATIONS</w:t>
              </w:r>
            </w:hyperlink>
          </w:p>
        </w:tc>
        <w:tc>
          <w:tcPr>
            <w:tcW w:w="6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400" w:type="dxa"/>
            <w:vAlign w:val="bottom"/>
          </w:tcPr>
          <w:p>
            <w:pPr>
              <w:spacing w:after="0"/>
              <w:rPr>
                <w:sz w:val="16"/>
                <w:szCs w:val="16"/>
                <w:color w:val="auto"/>
              </w:rPr>
            </w:pPr>
          </w:p>
        </w:tc>
        <w:tc>
          <w:tcPr>
            <w:tcW w:w="1440" w:type="dxa"/>
            <w:vAlign w:val="bottom"/>
            <w:tcBorders>
              <w:top w:val="single" w:sz="8" w:color="0000EE"/>
            </w:tcBorders>
            <w:gridSpan w:val="6"/>
          </w:tcPr>
          <w:p>
            <w:pPr>
              <w:spacing w:after="0" w:line="195" w:lineRule="exact"/>
              <w:rPr>
                <w:rFonts w:ascii="Arial" w:cs="Arial" w:eastAsia="Arial" w:hAnsi="Arial"/>
                <w:sz w:val="18"/>
                <w:szCs w:val="18"/>
                <w:color w:val="0000EE"/>
              </w:rPr>
            </w:pPr>
            <w:hyperlink w:anchor="page156">
              <w:r>
                <w:rPr>
                  <w:rFonts w:ascii="Arial" w:cs="Arial" w:eastAsia="Arial" w:hAnsi="Arial"/>
                  <w:sz w:val="18"/>
                  <w:szCs w:val="18"/>
                  <w:color w:val="0000EE"/>
                </w:rPr>
                <w:t>EXPERTS</w:t>
              </w:r>
            </w:hyperlink>
          </w:p>
        </w:tc>
        <w:tc>
          <w:tcPr>
            <w:tcW w:w="3520" w:type="dxa"/>
            <w:vAlign w:val="bottom"/>
            <w:gridSpan w:val="9"/>
          </w:tcPr>
          <w:p>
            <w:pPr>
              <w:spacing w:after="0"/>
              <w:rPr>
                <w:sz w:val="16"/>
                <w:szCs w:val="16"/>
                <w:color w:val="auto"/>
              </w:rPr>
            </w:pPr>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8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40" w:type="dxa"/>
            <w:vAlign w:val="bottom"/>
            <w:gridSpan w:val="17"/>
          </w:tcPr>
          <w:p>
            <w:pPr>
              <w:spacing w:after="0" w:line="195" w:lineRule="exact"/>
              <w:rPr>
                <w:rFonts w:ascii="Arial" w:cs="Arial" w:eastAsia="Arial" w:hAnsi="Arial"/>
                <w:sz w:val="18"/>
                <w:szCs w:val="18"/>
                <w:color w:val="0000EE"/>
              </w:rPr>
            </w:pPr>
            <w:hyperlink w:anchor="page85">
              <w:r>
                <w:rPr>
                  <w:rFonts w:ascii="Arial" w:cs="Arial" w:eastAsia="Arial" w:hAnsi="Arial"/>
                  <w:sz w:val="18"/>
                  <w:szCs w:val="18"/>
                  <w:color w:val="0000EE"/>
                </w:rPr>
                <w:t>LETTER FROM ALEXIS LÊQUÔC AND OLIVIER POMEL,</w:t>
              </w:r>
            </w:hyperlink>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960" w:type="dxa"/>
            <w:vAlign w:val="bottom"/>
            <w:gridSpan w:val="15"/>
          </w:tcPr>
          <w:p>
            <w:pPr>
              <w:spacing w:after="0" w:line="195" w:lineRule="exact"/>
              <w:rPr>
                <w:rFonts w:ascii="Arial" w:cs="Arial" w:eastAsia="Arial" w:hAnsi="Arial"/>
                <w:sz w:val="18"/>
                <w:szCs w:val="18"/>
                <w:color w:val="0000EE"/>
              </w:rPr>
            </w:pPr>
            <w:hyperlink w:anchor="page156">
              <w:r>
                <w:rPr>
                  <w:rFonts w:ascii="Arial" w:cs="Arial" w:eastAsia="Arial" w:hAnsi="Arial"/>
                  <w:sz w:val="18"/>
                  <w:szCs w:val="18"/>
                  <w:color w:val="0000EE"/>
                </w:rPr>
                <w:t>WHERE YOU CAN FIND ADDITIONAL INFORMATION</w:t>
              </w:r>
            </w:hyperlink>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940" w:type="dxa"/>
            <w:vAlign w:val="bottom"/>
            <w:tcBorders>
              <w:bottom w:val="single" w:sz="8" w:color="0000EE"/>
            </w:tcBorders>
            <w:gridSpan w:val="2"/>
          </w:tcPr>
          <w:p>
            <w:pPr>
              <w:spacing w:after="0" w:line="195"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FOUNDERS</w:t>
              </w:r>
            </w:hyperlink>
          </w:p>
        </w:tc>
        <w:tc>
          <w:tcPr>
            <w:tcW w:w="1540" w:type="dxa"/>
            <w:vAlign w:val="bottom"/>
            <w:gridSpan w:val="6"/>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c>
          <w:tcPr>
            <w:tcW w:w="400" w:type="dxa"/>
            <w:vAlign w:val="bottom"/>
          </w:tcPr>
          <w:p>
            <w:pPr>
              <w:spacing w:after="0"/>
              <w:rPr>
                <w:sz w:val="16"/>
                <w:szCs w:val="16"/>
                <w:color w:val="auto"/>
              </w:rPr>
            </w:pPr>
          </w:p>
        </w:tc>
        <w:tc>
          <w:tcPr>
            <w:tcW w:w="4380" w:type="dxa"/>
            <w:vAlign w:val="bottom"/>
            <w:tcBorders>
              <w:bottom w:val="single" w:sz="8" w:color="0000EE"/>
            </w:tcBorders>
            <w:gridSpan w:val="13"/>
          </w:tcPr>
          <w:p>
            <w:pPr>
              <w:spacing w:after="0" w:line="195"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INDEX TO CONSOLIDATED FINANCIAL STATEMENTS</w:t>
              </w:r>
            </w:hyperlink>
          </w:p>
        </w:tc>
        <w:tc>
          <w:tcPr>
            <w:tcW w:w="580" w:type="dxa"/>
            <w:vAlign w:val="bottom"/>
            <w:gridSpan w:val="2"/>
          </w:tcPr>
          <w:p>
            <w:pPr>
              <w:spacing w:after="0"/>
              <w:rPr>
                <w:sz w:val="16"/>
                <w:szCs w:val="16"/>
                <w:color w:val="auto"/>
              </w:rPr>
            </w:pPr>
          </w:p>
        </w:tc>
        <w:tc>
          <w:tcPr>
            <w:tcW w:w="3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4"/>
        </w:trPr>
        <w:tc>
          <w:tcPr>
            <w:tcW w:w="2660" w:type="dxa"/>
            <w:vAlign w:val="bottom"/>
            <w:gridSpan w:val="9"/>
          </w:tcPr>
          <w:p>
            <w:pPr>
              <w:spacing w:after="0" w:line="195" w:lineRule="exact"/>
              <w:rPr>
                <w:rFonts w:ascii="Arial" w:cs="Arial" w:eastAsia="Arial" w:hAnsi="Arial"/>
                <w:sz w:val="18"/>
                <w:szCs w:val="18"/>
                <w:color w:val="0000EE"/>
              </w:rPr>
            </w:pPr>
            <w:hyperlink w:anchor="page87">
              <w:r>
                <w:rPr>
                  <w:rFonts w:ascii="Arial" w:cs="Arial" w:eastAsia="Arial" w:hAnsi="Arial"/>
                  <w:sz w:val="18"/>
                  <w:szCs w:val="18"/>
                  <w:color w:val="0000EE"/>
                </w:rPr>
                <w:t>BUSINESS</w:t>
              </w:r>
            </w:hyperlink>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79</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5"/>
        </w:trPr>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80" w:type="dxa"/>
            <w:vAlign w:val="bottom"/>
          </w:tcPr>
          <w:p>
            <w:pPr>
              <w:spacing w:after="0"/>
              <w:rPr>
                <w:sz w:val="24"/>
                <w:szCs w:val="24"/>
                <w:color w:val="auto"/>
              </w:rPr>
            </w:pPr>
          </w:p>
        </w:tc>
        <w:tc>
          <w:tcPr>
            <w:tcW w:w="248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Through and including</w:t>
            </w:r>
          </w:p>
        </w:tc>
        <w:tc>
          <w:tcPr>
            <w:tcW w:w="7860" w:type="dxa"/>
            <w:vAlign w:val="bottom"/>
            <w:gridSpan w:val="25"/>
          </w:tcPr>
          <w:p>
            <w:pPr>
              <w:ind w:left="460"/>
              <w:spacing w:after="0"/>
              <w:rPr>
                <w:sz w:val="20"/>
                <w:szCs w:val="20"/>
                <w:color w:val="auto"/>
              </w:rPr>
            </w:pPr>
            <w:r>
              <w:rPr>
                <w:rFonts w:ascii="Arial" w:cs="Arial" w:eastAsia="Arial" w:hAnsi="Arial"/>
                <w:sz w:val="18"/>
                <w:szCs w:val="18"/>
                <w:b w:val="1"/>
                <w:bCs w:val="1"/>
                <w:color w:val="auto"/>
                <w:w w:val="90"/>
              </w:rPr>
              <w:t>, 2019 (the 25th day after the date of this prospectus), all dealers effecting transactions in these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right="220"/>
        <w:spacing w:after="0" w:line="285" w:lineRule="auto"/>
        <w:rPr>
          <w:sz w:val="20"/>
          <w:szCs w:val="20"/>
          <w:color w:val="auto"/>
        </w:rPr>
      </w:pPr>
      <w:r>
        <w:rPr>
          <w:rFonts w:ascii="Arial" w:cs="Arial" w:eastAsia="Arial" w:hAnsi="Arial"/>
          <w:sz w:val="17"/>
          <w:szCs w:val="17"/>
          <w:b w:val="1"/>
          <w:bCs w:val="1"/>
          <w:color w:val="auto"/>
        </w:rPr>
        <w:t>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207645</wp:posOffset>
            </wp:positionV>
            <wp:extent cx="14528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60" w:right="20" w:firstLine="437"/>
        <w:spacing w:after="0" w:line="272" w:lineRule="auto"/>
        <w:rPr>
          <w:sz w:val="20"/>
          <w:szCs w:val="20"/>
          <w:color w:val="auto"/>
        </w:rPr>
      </w:pPr>
      <w:r>
        <w:rPr>
          <w:rFonts w:ascii="Arial" w:cs="Arial" w:eastAsia="Arial" w:hAnsi="Arial"/>
          <w:sz w:val="17"/>
          <w:szCs w:val="17"/>
          <w:color w:val="auto"/>
        </w:rPr>
        <w:t>We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77" w:lineRule="exact"/>
        <w:rPr>
          <w:sz w:val="20"/>
          <w:szCs w:val="20"/>
          <w:color w:val="auto"/>
        </w:rPr>
      </w:pPr>
    </w:p>
    <w:p>
      <w:pPr>
        <w:ind w:left="260" w:firstLine="437"/>
        <w:spacing w:after="0" w:line="275" w:lineRule="auto"/>
        <w:rPr>
          <w:sz w:val="20"/>
          <w:szCs w:val="20"/>
          <w:color w:val="auto"/>
        </w:rPr>
      </w:pPr>
      <w:r>
        <w:rPr>
          <w:rFonts w:ascii="Arial" w:cs="Arial" w:eastAsia="Arial" w:hAnsi="Arial"/>
          <w:sz w:val="17"/>
          <w:szCs w:val="17"/>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240" w:top="456"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858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7375" cy="58585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440" w:right="200" w:firstLine="422"/>
        <w:spacing w:after="0" w:line="252"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“Datadog,” the “company,” “we,” “our,” “us” or similar terms refer to Datadog, Inc. and its subsidiaries.</w:t>
      </w:r>
    </w:p>
    <w:p>
      <w:pPr>
        <w:spacing w:after="0" w:line="19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1" w:lineRule="exact"/>
        <w:rPr>
          <w:sz w:val="20"/>
          <w:szCs w:val="20"/>
          <w:color w:val="auto"/>
        </w:rPr>
      </w:pPr>
    </w:p>
    <w:p>
      <w:pPr>
        <w:jc w:val="both"/>
        <w:ind w:left="440" w:right="120" w:firstLine="422"/>
        <w:spacing w:after="0" w:line="297"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60" w:lineRule="exact"/>
        <w:rPr>
          <w:sz w:val="20"/>
          <w:szCs w:val="20"/>
          <w:color w:val="auto"/>
        </w:rPr>
      </w:pPr>
    </w:p>
    <w:p>
      <w:pPr>
        <w:ind w:left="440" w:right="20" w:firstLine="422"/>
        <w:spacing w:after="0" w:line="252" w:lineRule="auto"/>
        <w:rPr>
          <w:sz w:val="20"/>
          <w:szCs w:val="20"/>
          <w:color w:val="auto"/>
        </w:rPr>
      </w:pPr>
      <w:r>
        <w:rPr>
          <w:rFonts w:ascii="Arial" w:cs="Arial" w:eastAsia="Arial" w:hAnsi="Arial"/>
          <w:sz w:val="18"/>
          <w:szCs w:val="18"/>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on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w:t>
      </w:r>
    </w:p>
    <w:p>
      <w:pPr>
        <w:spacing w:after="0" w:line="195" w:lineRule="exact"/>
        <w:rPr>
          <w:sz w:val="20"/>
          <w:szCs w:val="20"/>
          <w:color w:val="auto"/>
        </w:rPr>
      </w:pPr>
    </w:p>
    <w:p>
      <w:pPr>
        <w:ind w:left="440" w:firstLine="422"/>
        <w:spacing w:after="0" w:line="287" w:lineRule="auto"/>
        <w:rPr>
          <w:sz w:val="20"/>
          <w:szCs w:val="20"/>
          <w:color w:val="auto"/>
        </w:rPr>
      </w:pPr>
      <w:r>
        <w:rPr>
          <w:rFonts w:ascii="Arial" w:cs="Arial" w:eastAsia="Arial" w:hAnsi="Arial"/>
          <w:sz w:val="16"/>
          <w:szCs w:val="16"/>
          <w:color w:val="auto"/>
        </w:rPr>
        <w:t>From our founding goal of breaking down silos between Dev and Ops, we set out in 2010 to build a real-time data integration platform to turn chaos from disparate sources into digestible and actionable insights. In 2012, we launched our first use case with infrastructure monitoring, purpose-built to handle increasingly ephemeral cloud-native architectures. This enabled us to be deployed on our customers’ entire cloud IT environments and gave our product broad usage across Dev, Ops and business teams, in turn allowing us to address a bigger set of challenges through our platform. In 2017 we launched our APM product, designed to be broadly deployed in very distributed, micro-services architectures. In 2018, we were the first to combine the “three pillars of observability” with the introduction of our log management product. To allow for full-stack observability, in 2019, we launched user experience monitoring and announced network performance monitoring. Today, we offer end-to-end monitoring and analytics, powered by a common data model that is extensible for potential new use cases.</w:t>
      </w:r>
    </w:p>
    <w:p>
      <w:pPr>
        <w:spacing w:after="0" w:line="167" w:lineRule="exact"/>
        <w:rPr>
          <w:sz w:val="20"/>
          <w:szCs w:val="20"/>
          <w:color w:val="auto"/>
        </w:rPr>
      </w:pPr>
    </w:p>
    <w:p>
      <w:pPr>
        <w:ind w:left="440" w:right="120" w:firstLine="422"/>
        <w:spacing w:after="0" w:line="297" w:lineRule="auto"/>
        <w:rPr>
          <w:sz w:val="20"/>
          <w:szCs w:val="20"/>
          <w:color w:val="auto"/>
        </w:rPr>
      </w:pPr>
      <w:r>
        <w:rPr>
          <w:rFonts w:ascii="Arial" w:cs="Arial" w:eastAsia="Arial" w:hAnsi="Arial"/>
          <w:sz w:val="16"/>
          <w:szCs w:val="16"/>
          <w:color w:val="auto"/>
        </w:rPr>
        <w:t>Our proprietary platform combines the power of metrics, traces and logs to provide a unified view of infrastructure and application performance and the real-time events impacting this performance. Datadog is designed to be cloud agnostic and easy to deploy, with hundreds of out-of-the-box integrations, a built-in understanding of modern technology stacks and endless customizability. Customers can deploy our platform across their entire infrastructure, making it ubiquitous and a daily part of the lives of developers, operations engineers and business leaders.</w:t>
      </w:r>
    </w:p>
    <w:p>
      <w:pPr>
        <w:spacing w:after="0" w:line="160" w:lineRule="exact"/>
        <w:rPr>
          <w:sz w:val="20"/>
          <w:szCs w:val="20"/>
          <w:color w:val="auto"/>
        </w:rPr>
      </w:pPr>
    </w:p>
    <w:p>
      <w:pPr>
        <w:ind w:left="440" w:right="220" w:firstLine="422"/>
        <w:spacing w:after="0" w:line="271"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6"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798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7375" cy="57988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40" w:right="20"/>
        <w:spacing w:after="0" w:line="293" w:lineRule="auto"/>
        <w:rPr>
          <w:sz w:val="20"/>
          <w:szCs w:val="20"/>
          <w:color w:val="auto"/>
        </w:rPr>
      </w:pPr>
      <w:r>
        <w:rPr>
          <w:rFonts w:ascii="Arial" w:cs="Arial" w:eastAsia="Arial" w:hAnsi="Arial"/>
          <w:sz w:val="16"/>
          <w:szCs w:val="16"/>
          <w:color w:val="auto"/>
        </w:rPr>
        <w:t>customers often significantly increase their usage of the products they initially buy from us and expand their usage to other products we offer on our platform. We grow with our customers as they expand their workloads in the public and private cloud. Our ability to expand within our customer base is best demonstrated by our dollar-based net retention rate. As of June 30, 2018 and 2019, our dollar-based net retention rate was 146%, and as of December 31, 2017 and 2018, it was 141% and 151%, respectively. See “Management’s Discussion and Analysis of Financial Condition and Results of Operations—Factors Affecting Our Performance” for additional information regarding our dollar-based net retention rate.</w:t>
      </w:r>
    </w:p>
    <w:p>
      <w:pPr>
        <w:spacing w:after="0" w:line="161" w:lineRule="exact"/>
        <w:rPr>
          <w:sz w:val="20"/>
          <w:szCs w:val="20"/>
          <w:color w:val="auto"/>
        </w:rPr>
      </w:pPr>
    </w:p>
    <w:p>
      <w:pPr>
        <w:ind w:left="440" w:right="20" w:firstLine="422"/>
        <w:spacing w:after="0" w:line="251" w:lineRule="auto"/>
        <w:rPr>
          <w:sz w:val="20"/>
          <w:szCs w:val="20"/>
          <w:color w:val="auto"/>
        </w:rPr>
      </w:pPr>
      <w:r>
        <w:rPr>
          <w:rFonts w:ascii="Arial" w:cs="Arial" w:eastAsia="Arial" w:hAnsi="Arial"/>
          <w:sz w:val="18"/>
          <w:szCs w:val="18"/>
          <w:color w:val="auto"/>
        </w:rPr>
        <w:t>We have a highly efficient go-to-market model, which consists of a self-service tier, a high velocity inside sales team, and an enterprise sales force. As of June 30, 2019, we had approximately 8,800 customers, increasing from approximately 7,700, 5,400 and 3,800 customers as of December 31, 2018, 2017 and 2016, respectively. Approximately 590 of our customers as of June 30, 2019 had annual run-rate revenue, or ARR, of $100,000 or more, increasing from approximately 450, 240 and 130 customers as of December 31, 2018, 2017 and 2016, respectively, accounting for approximately 72%, 68%, 60% and 48% of our ARR, respectively. Further, as of June 30, 2019, we had 42 customers with ARR of $1.0 million or more, up from 29, 12 and two customers as of December 31, 2018, 2017 and 2016, respectively. As of June 30, 2019, our 10 largest customers represented approximately 14% of our ARR and no single customer represented more than 5% of our ARR. See “Management’s Discussion and Analysis of Financial Condition and Results of Operations—Factors Affecting Our Performance” for additional information regarding ARR.</w:t>
      </w:r>
    </w:p>
    <w:p>
      <w:pPr>
        <w:spacing w:after="0" w:line="193" w:lineRule="exact"/>
        <w:rPr>
          <w:sz w:val="20"/>
          <w:szCs w:val="20"/>
          <w:color w:val="auto"/>
        </w:rPr>
      </w:pPr>
    </w:p>
    <w:p>
      <w:pPr>
        <w:ind w:left="440" w:right="160" w:firstLine="422"/>
        <w:spacing w:after="0" w:line="267" w:lineRule="auto"/>
        <w:rPr>
          <w:sz w:val="20"/>
          <w:szCs w:val="20"/>
          <w:color w:val="auto"/>
        </w:rPr>
      </w:pPr>
      <w:r>
        <w:rPr>
          <w:rFonts w:ascii="Arial" w:cs="Arial" w:eastAsia="Arial" w:hAnsi="Arial"/>
          <w:sz w:val="17"/>
          <w:szCs w:val="17"/>
          <w:color w:val="auto"/>
        </w:rPr>
        <w:t>Our business has experienced rapid growth and is capital efficient. Since inception, we have raised $92.0 million of capital, net of share repurchases, and we had $63.6 million of cash, cash equivalents and restricted cash as of June 30, 2019. We generated revenue of $100.8 million and $198.1 million in 2017 and 2018, respectively, representing year-over-year growth of 97%. Our revenue was $85.4 million in the six months ended June 30, 2018 compared to $153.3 million in the six months ended June 30, 2019, representing period-over-period growth of 79%. Substantially all of our revenue is subscription software sales. Our net (loss) income was $(2.6) million, $(10.8) million, $0.5 million and $(13.4) million for the years ended December 31, 2017 and 2018 and the six months ended June 30, 2018 and 2019, respectively. We generated operating cash flow of $13.8 million, $10.8 million, $10.6 million and $3.0 million in 2017 and 2018 and the six months ended June 30, 2018 and 2019, respectively. Our free cash flow was $6.0 million, $(5.0) million, $1.5 million and $(6.4) million in 2017 and 2018 and the six months ended June 30, 2018 and 2019, respectively. See the section titled “Management’s Discussion and Analysis of Financial Condition and Results of Operations—Non-GAAP Free Cash Flow” for additional information.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440" w:firstLine="422"/>
        <w:spacing w:after="0" w:line="252" w:lineRule="auto"/>
        <w:rPr>
          <w:sz w:val="20"/>
          <w:szCs w:val="20"/>
          <w:color w:val="auto"/>
        </w:rPr>
      </w:pPr>
      <w:r>
        <w:rPr>
          <w:rFonts w:ascii="Arial" w:cs="Arial" w:eastAsia="Arial" w:hAnsi="Arial"/>
          <w:sz w:val="18"/>
          <w:szCs w:val="18"/>
          <w:color w:val="auto"/>
        </w:rPr>
        <w:t>Monitoring software is at the foundation of an organization’s IT stack. Without monitoring, organizations are blind to factors that impact performance, reliability, scalability and availability of systems in which they have invested large amounts of resources. Once installed, monitoring becomes integral to an organization’s performance and deeply embedded into business and operational workflows. There are a number of important industry trends that are transforming the way organizations use, deploy and manage software applications and their underlying technology infrastructure. These trends are creating a significant opportunity to displace existing monitoring solutions and reshape the corresponding product categories, and include:</w:t>
      </w:r>
    </w:p>
    <w:p>
      <w:pPr>
        <w:spacing w:after="0" w:line="101" w:lineRule="exact"/>
        <w:rPr>
          <w:sz w:val="20"/>
          <w:szCs w:val="20"/>
          <w:color w:val="auto"/>
        </w:rPr>
      </w:pPr>
    </w:p>
    <w:p>
      <w:pPr>
        <w:ind w:left="1360" w:right="100" w:hanging="510"/>
        <w:spacing w:after="0" w:line="272" w:lineRule="auto"/>
        <w:tabs>
          <w:tab w:leader="none" w:pos="13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Organizations must digitally transform their businesses to compete</w:t>
      </w:r>
      <w:r>
        <w:rPr>
          <w:rFonts w:ascii="Arial" w:cs="Arial" w:eastAsia="Arial" w:hAnsi="Arial"/>
          <w:sz w:val="17"/>
          <w:szCs w:val="17"/>
          <w:color w:val="auto"/>
        </w:rPr>
        <w:t>. Today, software applications are a critical driver of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and software developers are becoming increasingly influential. This rise in influence is directly correlated to the increased amounts of resources organizations are dedicating to building differentiated mission-critical software. Companies across all industries are heavily investing to digitally transform their businesses and enhance the experience of their customers. At the same time, companies are significantly growing their investments to monitor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240" w:top="456"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951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7375" cy="59518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380" w:right="40"/>
        <w:spacing w:after="0" w:line="271" w:lineRule="auto"/>
        <w:rPr>
          <w:sz w:val="20"/>
          <w:szCs w:val="20"/>
          <w:color w:val="auto"/>
        </w:rPr>
      </w:pPr>
      <w:r>
        <w:rPr>
          <w:rFonts w:ascii="Arial" w:cs="Arial" w:eastAsia="Arial" w:hAnsi="Arial"/>
          <w:sz w:val="18"/>
          <w:szCs w:val="18"/>
          <w:color w:val="auto"/>
        </w:rPr>
        <w:t>this digital transformation. According to Gartner, enterprises will quadruple their use of APM due to increasingly digitalized business processes from 2018 through 2021 to reach 20% of all business applications.</w:t>
      </w:r>
    </w:p>
    <w:p>
      <w:pPr>
        <w:spacing w:after="0" w:line="81" w:lineRule="exact"/>
        <w:rPr>
          <w:sz w:val="20"/>
          <w:szCs w:val="20"/>
          <w:color w:val="auto"/>
        </w:rPr>
      </w:pPr>
    </w:p>
    <w:p>
      <w:pPr>
        <w:ind w:left="1360" w:hanging="510"/>
        <w:spacing w:after="0" w:line="290" w:lineRule="auto"/>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We are in the early days of seismic shift to the cloud</w:t>
      </w:r>
      <w:r>
        <w:rPr>
          <w:rFonts w:ascii="Arial" w:cs="Arial" w:eastAsia="Arial" w:hAnsi="Arial"/>
          <w:sz w:val="16"/>
          <w:szCs w:val="16"/>
          <w:color w:val="auto"/>
        </w:rPr>
        <w:t>. There is a seismic shift from static on-premise IT architectures to distributed,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dynamic multi-cloud and hybrid cloud architectures with ephemeral technologies such as containers, microservices and serverless architectures becoming increasingly common. According to Gartner, as the cloud becomes increasingly mainstream from 2018 to 2022, it will influence greater portions of enterprise IT decisions, with more than $1 trillion in enterprise IT spend at stake in 2019. As companies migrate to the cloud and their underlying infrastructure changes, so does the monitoring of this infrastructure. We are still in the early days of this massive transformation. According to Gartner, only 5% of applications were monitored as of 2018.</w:t>
      </w:r>
    </w:p>
    <w:p>
      <w:pPr>
        <w:spacing w:after="0" w:line="71" w:lineRule="exact"/>
        <w:rPr>
          <w:rFonts w:ascii="Arial" w:cs="Arial" w:eastAsia="Arial" w:hAnsi="Arial"/>
          <w:sz w:val="16"/>
          <w:szCs w:val="16"/>
          <w:color w:val="auto"/>
        </w:rPr>
      </w:pPr>
    </w:p>
    <w:p>
      <w:pPr>
        <w:ind w:left="1360" w:right="80" w:hanging="510"/>
        <w:spacing w:after="0" w:line="338" w:lineRule="auto"/>
        <w:tabs>
          <w:tab w:leader="none" w:pos="1360" w:val="left"/>
        </w:tabs>
        <w:numPr>
          <w:ilvl w:val="0"/>
          <w:numId w:val="3"/>
        </w:numPr>
        <w:rPr>
          <w:rFonts w:ascii="Arial" w:cs="Arial" w:eastAsia="Arial" w:hAnsi="Arial"/>
          <w:sz w:val="14"/>
          <w:szCs w:val="14"/>
          <w:color w:val="auto"/>
        </w:rPr>
      </w:pPr>
      <w:r>
        <w:rPr>
          <w:rFonts w:ascii="Arial" w:cs="Arial" w:eastAsia="Arial" w:hAnsi="Arial"/>
          <w:sz w:val="14"/>
          <w:szCs w:val="14"/>
          <w:b w:val="1"/>
          <w:bCs w:val="1"/>
          <w:i w:val="1"/>
          <w:iCs w:val="1"/>
          <w:color w:val="auto"/>
        </w:rPr>
        <w:t>Modern technologies create significant challenges for IT</w:t>
      </w:r>
      <w:r>
        <w:rPr>
          <w:rFonts w:ascii="Arial" w:cs="Arial" w:eastAsia="Arial" w:hAnsi="Arial"/>
          <w:sz w:val="14"/>
          <w:szCs w:val="14"/>
          <w:color w:val="auto"/>
        </w:rPr>
        <w:t>. Technologies such as containers, microservices and serverless computing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create IT environments that are highly ephemeral in nature compared to static legacy on-premise environments. The number of SaaS platforms and open source tools available to IT organizations has exploded. The scale of computing resources required in the cloud has increased exponentially and is often called upon in quick, sometimes unpredictable, bursts of expanded computing capacity. The rate of change of application development in the cloud has increased dramatically. These challenges have made it extremely difficult to gain visibility and insight into application and infrastructure performance and legacy monitoring tools have struggled to adapt.</w:t>
      </w:r>
    </w:p>
    <w:p>
      <w:pPr>
        <w:spacing w:after="0" w:line="44" w:lineRule="exact"/>
        <w:rPr>
          <w:rFonts w:ascii="Arial" w:cs="Arial" w:eastAsia="Arial" w:hAnsi="Arial"/>
          <w:sz w:val="14"/>
          <w:szCs w:val="14"/>
          <w:color w:val="auto"/>
        </w:rPr>
      </w:pPr>
    </w:p>
    <w:p>
      <w:pPr>
        <w:ind w:left="1360" w:right="180" w:hanging="510"/>
        <w:spacing w:after="0" w:line="290" w:lineRule="auto"/>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Collaboration of development and operations teams is critically important</w:t>
      </w:r>
      <w:r>
        <w:rPr>
          <w:rFonts w:ascii="Arial" w:cs="Arial" w:eastAsia="Arial" w:hAnsi="Arial"/>
          <w:sz w:val="16"/>
          <w:szCs w:val="16"/>
          <w:color w:val="auto"/>
        </w:rPr>
        <w:t>. DevOps is a practice and culture characterized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developers and IT operations teams working together collaboratively, each with ownership of the entire product development cycle. DevOps is essential to achieving the agility and speed required for developing and maintaining modern applications. In the static, on-premise world, developers and IT operations personnel functioned independently with separate goals, priorities and tools. In the cloud age, where the frequency of software updates is days or minutes, this communication and coordination between development and operations teams is essential to ensuring rapid execution and optimizing business performance.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Opportunity</w:t>
      </w:r>
    </w:p>
    <w:p>
      <w:pPr>
        <w:spacing w:after="0" w:line="225" w:lineRule="exact"/>
        <w:rPr>
          <w:sz w:val="20"/>
          <w:szCs w:val="20"/>
          <w:color w:val="auto"/>
        </w:rPr>
      </w:pPr>
    </w:p>
    <w:p>
      <w:pPr>
        <w:ind w:left="440" w:right="40" w:firstLine="422"/>
        <w:spacing w:after="0" w:line="252" w:lineRule="auto"/>
        <w:rPr>
          <w:sz w:val="20"/>
          <w:szCs w:val="20"/>
          <w:color w:val="auto"/>
        </w:rPr>
      </w:pPr>
      <w:r>
        <w:rPr>
          <w:rFonts w:ascii="Arial" w:cs="Arial" w:eastAsia="Arial" w:hAnsi="Arial"/>
          <w:sz w:val="18"/>
          <w:szCs w:val="18"/>
          <w:color w:val="auto"/>
        </w:rPr>
        <w:t>Our platform provides comprehensive visibility and insights into IT infrastructure, application performance and the real time events impacting this performance. Our platform is employed across public cloud, private cloud, on-premise and multi-cloud hybrid environments. We believe that our platform currently addresses a significant portion of the IT Operations Management market. According to Gartner, the IT Operations Management market represents a $37 billion opportunity in 2023.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95" w:lineRule="exact"/>
        <w:rPr>
          <w:sz w:val="20"/>
          <w:szCs w:val="20"/>
          <w:color w:val="auto"/>
        </w:rPr>
      </w:pPr>
    </w:p>
    <w:p>
      <w:pPr>
        <w:ind w:left="440" w:right="40" w:firstLine="422"/>
        <w:spacing w:after="0" w:line="252" w:lineRule="auto"/>
        <w:rPr>
          <w:sz w:val="20"/>
          <w:szCs w:val="20"/>
          <w:color w:val="auto"/>
        </w:rPr>
      </w:pPr>
      <w:r>
        <w:rPr>
          <w:rFonts w:ascii="Arial" w:cs="Arial" w:eastAsia="Arial" w:hAnsi="Arial"/>
          <w:sz w:val="18"/>
          <w:szCs w:val="18"/>
          <w:color w:val="auto"/>
        </w:rPr>
        <w:t>We estimate our current market opportunity to be approximately $35 billion. We calculate this figure using the total number of global companies with 200 or more employees, which we determined by referencing independent industry data from the S&amp;P Capital IQ database. We then segment these companies into two cohorts based on the number of employees: companies that have between 200 and 999 employees and companies that have 1,000 or more employees. We then multiply the number of companies in each cohort by the average ARR per customer for each of our platform products. Our average ARR per customer is defined as the ARR in each platform product, for customers in the corresponding cohort of employee count, divided by the total number of customers in the corresponding platform product and cohort of employee count, as of June 30, 2019.</w:t>
      </w:r>
    </w:p>
    <w:p>
      <w:pPr>
        <w:spacing w:after="0" w:line="191" w:lineRule="exact"/>
        <w:rPr>
          <w:sz w:val="20"/>
          <w:szCs w:val="20"/>
          <w:color w:val="auto"/>
        </w:rPr>
      </w:pPr>
    </w:p>
    <w:p>
      <w:pPr>
        <w:ind w:left="440" w:right="20" w:firstLine="422"/>
        <w:spacing w:after="0" w:line="335" w:lineRule="auto"/>
        <w:rPr>
          <w:sz w:val="20"/>
          <w:szCs w:val="20"/>
          <w:color w:val="auto"/>
        </w:rPr>
      </w:pPr>
      <w:r>
        <w:rPr>
          <w:rFonts w:ascii="Arial" w:cs="Arial" w:eastAsia="Arial" w:hAnsi="Arial"/>
          <w:sz w:val="16"/>
          <w:szCs w:val="16"/>
          <w:color w:val="auto"/>
        </w:rPr>
        <w:t>We believe that we are currently underpenetrated in our existing customer base. We expect our estimated market opportunity will continue to expand as customers deploy our solution across a larger portion of their IT environments and adopt a greater number of our platform products.</w:t>
      </w:r>
    </w:p>
    <w:p>
      <w:pPr>
        <w:spacing w:after="0" w:line="200" w:lineRule="exact"/>
        <w:rPr>
          <w:sz w:val="20"/>
          <w:szCs w:val="20"/>
          <w:color w:val="auto"/>
        </w:rPr>
      </w:pPr>
    </w:p>
    <w:p>
      <w:pPr>
        <w:spacing w:after="0" w:line="3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240" w:top="456"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850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7375" cy="5850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Solution and Key Strengths</w:t>
      </w:r>
    </w:p>
    <w:p>
      <w:pPr>
        <w:spacing w:after="0" w:line="225" w:lineRule="exact"/>
        <w:rPr>
          <w:sz w:val="20"/>
          <w:szCs w:val="20"/>
          <w:color w:val="auto"/>
        </w:rPr>
      </w:pPr>
    </w:p>
    <w:p>
      <w:pPr>
        <w:ind w:left="440" w:firstLine="422"/>
        <w:spacing w:after="0" w:line="254" w:lineRule="auto"/>
        <w:rPr>
          <w:sz w:val="20"/>
          <w:szCs w:val="20"/>
          <w:color w:val="auto"/>
        </w:rPr>
      </w:pPr>
      <w:r>
        <w:rPr>
          <w:rFonts w:ascii="Arial" w:cs="Arial" w:eastAsia="Arial" w:hAnsi="Arial"/>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 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96" w:lineRule="exact"/>
        <w:rPr>
          <w:sz w:val="20"/>
          <w:szCs w:val="20"/>
          <w:color w:val="auto"/>
        </w:rPr>
      </w:pPr>
    </w:p>
    <w:p>
      <w:pPr>
        <w:ind w:left="1360" w:right="100" w:hanging="510"/>
        <w:spacing w:after="0" w:line="259"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dynamic cloud infrastructures</w:t>
      </w:r>
      <w:r>
        <w:rPr>
          <w:rFonts w:ascii="Arial" w:cs="Arial" w:eastAsia="Arial" w:hAnsi="Arial"/>
          <w:sz w:val="18"/>
          <w:szCs w:val="18"/>
          <w:color w:val="auto"/>
        </w:rPr>
        <w:t>. Our innovative platform was born in the cloud and was built to work with ephemeral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such as microservices, containers and serverless computing. Our data model was built to work at cloud scale with highly dynamic data sets and can process more than 10 trillion events a day.</w:t>
      </w:r>
    </w:p>
    <w:p>
      <w:pPr>
        <w:spacing w:after="0" w:line="92" w:lineRule="exact"/>
        <w:rPr>
          <w:rFonts w:ascii="Arial" w:cs="Arial" w:eastAsia="Arial" w:hAnsi="Arial"/>
          <w:sz w:val="18"/>
          <w:szCs w:val="18"/>
          <w:color w:val="auto"/>
        </w:rPr>
      </w:pPr>
    </w:p>
    <w:p>
      <w:pPr>
        <w:ind w:left="1360" w:right="40" w:hanging="510"/>
        <w:spacing w:after="0" w:line="293" w:lineRule="auto"/>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Simple but not simplistic</w:t>
      </w:r>
      <w:r>
        <w:rPr>
          <w:rFonts w:ascii="Arial" w:cs="Arial" w:eastAsia="Arial" w:hAnsi="Arial"/>
          <w:sz w:val="16"/>
          <w:szCs w:val="16"/>
          <w:color w:val="auto"/>
        </w:rPr>
        <w:t>. Our platform is easy-to-use with out-of-the-box integrations, customizable drag and drop dashboards, real-time 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and business users. As a result, our platform is integral to business operations and used every day, and our users find increasing value in the solution over time.</w:t>
      </w:r>
    </w:p>
    <w:p>
      <w:pPr>
        <w:spacing w:after="0" w:line="67" w:lineRule="exact"/>
        <w:rPr>
          <w:rFonts w:ascii="Arial" w:cs="Arial" w:eastAsia="Arial" w:hAnsi="Arial"/>
          <w:sz w:val="16"/>
          <w:szCs w:val="16"/>
          <w:color w:val="auto"/>
        </w:rPr>
      </w:pPr>
    </w:p>
    <w:p>
      <w:pPr>
        <w:ind w:left="1360" w:right="40" w:hanging="510"/>
        <w:spacing w:after="0" w:line="269" w:lineRule="auto"/>
        <w:tabs>
          <w:tab w:leader="none" w:pos="13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data platform</w:t>
      </w:r>
      <w:r>
        <w:rPr>
          <w:rFonts w:ascii="Arial" w:cs="Arial" w:eastAsia="Arial" w:hAnsi="Arial"/>
          <w:sz w:val="17"/>
          <w:szCs w:val="17"/>
          <w:color w:val="auto"/>
        </w:rPr>
        <w:t>. We were the first to combine the “three pillars of observability” - metrics, traces, and logs -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introduction of our log management solution in 2018. Today, our platform combines infrastructure monitoring, application performance monitoring, log management, user experience monitoring, and network performance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provide the ability to view metrics, traces and logs side-by-side and perform correlation analysis.</w:t>
      </w:r>
    </w:p>
    <w:p>
      <w:pPr>
        <w:spacing w:after="0" w:line="85" w:lineRule="exact"/>
        <w:rPr>
          <w:rFonts w:ascii="Arial" w:cs="Arial" w:eastAsia="Arial" w:hAnsi="Arial"/>
          <w:sz w:val="17"/>
          <w:szCs w:val="17"/>
          <w:color w:val="auto"/>
        </w:rPr>
      </w:pPr>
    </w:p>
    <w:p>
      <w:pPr>
        <w:ind w:left="1360" w:right="80" w:hanging="510"/>
        <w:spacing w:after="0" w:line="254"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collaboration</w:t>
      </w:r>
      <w:r>
        <w:rPr>
          <w:rFonts w:ascii="Arial" w:cs="Arial" w:eastAsia="Arial" w:hAnsi="Arial"/>
          <w:sz w:val="18"/>
          <w:szCs w:val="18"/>
          <w:color w:val="auto"/>
        </w:rPr>
        <w:t>. Our platform was built to break down the silos between developers and operations teams in order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w:t>
      </w:r>
    </w:p>
    <w:p>
      <w:pPr>
        <w:spacing w:after="0" w:line="95" w:lineRule="exact"/>
        <w:rPr>
          <w:rFonts w:ascii="Arial" w:cs="Arial" w:eastAsia="Arial" w:hAnsi="Arial"/>
          <w:sz w:val="18"/>
          <w:szCs w:val="18"/>
          <w:color w:val="auto"/>
        </w:rPr>
      </w:pPr>
    </w:p>
    <w:p>
      <w:pPr>
        <w:ind w:left="1360" w:right="100" w:hanging="510"/>
        <w:spacing w:after="0" w:line="335" w:lineRule="auto"/>
        <w:tabs>
          <w:tab w:leader="none" w:pos="13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Cloud agnostic</w:t>
      </w:r>
      <w:r>
        <w:rPr>
          <w:rFonts w:ascii="Arial" w:cs="Arial" w:eastAsia="Arial" w:hAnsi="Arial"/>
          <w:sz w:val="16"/>
          <w:szCs w:val="16"/>
          <w:color w:val="auto"/>
        </w:rPr>
        <w:t>. Our platform is designed to be deployable across all environments, including public cloud, private cloud, on-premise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multi-cloud hybrid environments, allowing organizations to diversify their infrastructure and reduce single vendor dependence.</w:t>
      </w:r>
    </w:p>
    <w:p>
      <w:pPr>
        <w:spacing w:after="0" w:line="34" w:lineRule="exact"/>
        <w:rPr>
          <w:rFonts w:ascii="Arial" w:cs="Arial" w:eastAsia="Arial" w:hAnsi="Arial"/>
          <w:sz w:val="16"/>
          <w:szCs w:val="16"/>
          <w:color w:val="auto"/>
        </w:rPr>
      </w:pPr>
    </w:p>
    <w:p>
      <w:pPr>
        <w:ind w:left="1360" w:right="440" w:hanging="510"/>
        <w:spacing w:after="0" w:line="272" w:lineRule="auto"/>
        <w:tabs>
          <w:tab w:leader="none" w:pos="13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Ubiquitous</w:t>
      </w:r>
      <w:r>
        <w:rPr>
          <w:rFonts w:ascii="Arial" w:cs="Arial" w:eastAsia="Arial" w:hAnsi="Arial"/>
          <w:sz w:val="17"/>
          <w:szCs w:val="17"/>
          <w:color w:val="auto"/>
        </w:rPr>
        <w:t>. Datadog is frequently deployed across a customer’s entire infrastructure, making it ubiquitous. Compared to legacy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systems that are often used only by a few users in an organization’s IT operations team, Datadog is a daily part of the lives of developers, operations engineers and business leaders. For example, a leading communications software technology provider has almost 800 Datadog users, about half of the company’s total employee count and greater than the total number of the company’s engineers. Further, a Fortune 500 financial services firm has over 3,000 Datadog users.</w:t>
      </w:r>
    </w:p>
    <w:p>
      <w:pPr>
        <w:spacing w:after="0" w:line="83" w:lineRule="exact"/>
        <w:rPr>
          <w:rFonts w:ascii="Arial" w:cs="Arial" w:eastAsia="Arial" w:hAnsi="Arial"/>
          <w:sz w:val="17"/>
          <w:szCs w:val="17"/>
          <w:color w:val="auto"/>
        </w:rPr>
      </w:pPr>
    </w:p>
    <w:p>
      <w:pPr>
        <w:ind w:left="1360" w:right="120" w:hanging="510"/>
        <w:spacing w:after="0" w:line="259" w:lineRule="auto"/>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Integrates with our customers’ complex environments</w:t>
      </w:r>
      <w:r>
        <w:rPr>
          <w:rFonts w:ascii="Arial" w:cs="Arial" w:eastAsia="Arial" w:hAnsi="Arial"/>
          <w:sz w:val="18"/>
          <w:szCs w:val="18"/>
          <w:color w:val="auto"/>
        </w:rPr>
        <w:t>. We enable development and operations teams to harness the full spectrum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SaaS and open source tools. We have over 350 out-of-the-box integrations with technologies to provide significant value to our customers without the need for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6"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501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7375" cy="55016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380" w:right="420"/>
        <w:spacing w:after="0" w:line="301" w:lineRule="auto"/>
        <w:rPr>
          <w:sz w:val="20"/>
          <w:szCs w:val="20"/>
          <w:color w:val="auto"/>
        </w:rPr>
      </w:pPr>
      <w:r>
        <w:rPr>
          <w:rFonts w:ascii="Arial" w:cs="Arial" w:eastAsia="Arial" w:hAnsi="Arial"/>
          <w:sz w:val="17"/>
          <w:szCs w:val="17"/>
          <w:color w:val="auto"/>
        </w:rPr>
        <w:t>professional services. Our integrations provide for comprehensive data point aggregation and consistent, up-to-date, high-quality customer experiences across heterogeneous IT environments as they are fully maintained by Datadog.</w:t>
      </w:r>
    </w:p>
    <w:p>
      <w:pPr>
        <w:spacing w:after="0" w:line="58" w:lineRule="exact"/>
        <w:rPr>
          <w:sz w:val="20"/>
          <w:szCs w:val="20"/>
          <w:color w:val="auto"/>
        </w:rPr>
      </w:pPr>
    </w:p>
    <w:p>
      <w:pPr>
        <w:ind w:left="1360" w:right="180" w:hanging="510"/>
        <w:spacing w:after="0" w:line="368" w:lineRule="auto"/>
        <w:tabs>
          <w:tab w:leader="none" w:pos="136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Powered by robust analytics and machine learning</w:t>
      </w:r>
      <w:r>
        <w:rPr>
          <w:rFonts w:ascii="Arial" w:cs="Arial" w:eastAsia="Arial" w:hAnsi="Arial"/>
          <w:sz w:val="14"/>
          <w:szCs w:val="14"/>
          <w:color w:val="auto"/>
        </w:rPr>
        <w:t>. Our platform ingests massive amounts of data into our unified data warehouse.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develop actionable insights using our advanced analytics capabilities. Our platform features machine learning that can cross-correlate metrics, traces and logs to identify outliers and notify users of potential anomalies before they impact the business.</w:t>
      </w:r>
    </w:p>
    <w:p>
      <w:pPr>
        <w:spacing w:after="0" w:line="22" w:lineRule="exact"/>
        <w:rPr>
          <w:rFonts w:ascii="Arial" w:cs="Arial" w:eastAsia="Arial" w:hAnsi="Arial"/>
          <w:sz w:val="14"/>
          <w:szCs w:val="14"/>
          <w:color w:val="auto"/>
        </w:rPr>
      </w:pPr>
    </w:p>
    <w:p>
      <w:pPr>
        <w:ind w:left="1360" w:right="180" w:hanging="510"/>
        <w:spacing w:after="0" w:line="255" w:lineRule="auto"/>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Scalable</w:t>
      </w:r>
      <w:r>
        <w:rPr>
          <w:rFonts w:ascii="Arial" w:cs="Arial" w:eastAsia="Arial" w:hAnsi="Arial"/>
          <w:sz w:val="18"/>
          <w:szCs w:val="18"/>
          <w:color w:val="auto"/>
        </w:rPr>
        <w:t>. Our SaaS platform is highly scalable and is delivered through the cloud. Our platform is massively scalable,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more than 10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Key Benefits to Our Customers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platform provides the following key benefits to our customers:</w:t>
      </w:r>
    </w:p>
    <w:p>
      <w:pPr>
        <w:spacing w:after="0" w:line="128" w:lineRule="exact"/>
        <w:rPr>
          <w:sz w:val="20"/>
          <w:szCs w:val="20"/>
          <w:color w:val="auto"/>
        </w:rPr>
      </w:pPr>
    </w:p>
    <w:p>
      <w:pPr>
        <w:ind w:left="1360" w:right="180" w:hanging="510"/>
        <w:spacing w:after="0" w:line="255"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digital transformation</w:t>
      </w:r>
      <w:r>
        <w:rPr>
          <w:rFonts w:ascii="Arial" w:cs="Arial" w:eastAsia="Arial" w:hAnsi="Arial"/>
          <w:sz w:val="18"/>
          <w:szCs w:val="18"/>
          <w:color w:val="auto"/>
        </w:rPr>
        <w:t>. We enable customers to take full advantage of the cloud to develop and maintain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97" w:lineRule="exact"/>
        <w:rPr>
          <w:rFonts w:ascii="Arial" w:cs="Arial" w:eastAsia="Arial" w:hAnsi="Arial"/>
          <w:sz w:val="18"/>
          <w:szCs w:val="18"/>
          <w:color w:val="auto"/>
        </w:rPr>
      </w:pPr>
    </w:p>
    <w:p>
      <w:pPr>
        <w:ind w:left="1360" w:right="60" w:hanging="510"/>
        <w:spacing w:after="0" w:line="270" w:lineRule="auto"/>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Reduce time to problem detection and resolution</w:t>
      </w:r>
      <w:r>
        <w:rPr>
          <w:rFonts w:ascii="Arial" w:cs="Arial" w:eastAsia="Arial" w:hAnsi="Arial"/>
          <w:sz w:val="17"/>
          <w:szCs w:val="17"/>
          <w:color w:val="auto"/>
        </w:rPr>
        <w:t>. Using infrastructure, application performance monitoring, or APM, and log data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unified platform, our customers are able to quickly isolate the root cause of application issues in one place where they otherwise would be required to spend hours trying to investigate using multiple tools. Additionally, our machine learning algorithms are trained on the enormous amount of data that our customers send us to detect anomalies and predict failures in customer systems in real-time, something that is impossible to do manually. The reduction in mean time to detection, or MTTD, and mean time to resolution, or MTTR, helps our customers avoid lost revenues and enhance customer experience.</w:t>
      </w:r>
    </w:p>
    <w:p>
      <w:pPr>
        <w:spacing w:after="0" w:line="85" w:lineRule="exact"/>
        <w:rPr>
          <w:rFonts w:ascii="Arial" w:cs="Arial" w:eastAsia="Arial" w:hAnsi="Arial"/>
          <w:sz w:val="17"/>
          <w:szCs w:val="17"/>
          <w:color w:val="auto"/>
        </w:rPr>
      </w:pPr>
    </w:p>
    <w:p>
      <w:pPr>
        <w:ind w:left="1360" w:hanging="510"/>
        <w:spacing w:after="0" w:line="270" w:lineRule="auto"/>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Improve agility of development, operations and business teams</w:t>
      </w:r>
      <w:r>
        <w:rPr>
          <w:rFonts w:ascii="Arial" w:cs="Arial" w:eastAsia="Arial" w:hAnsi="Arial"/>
          <w:sz w:val="17"/>
          <w:szCs w:val="17"/>
          <w:color w:val="auto"/>
        </w:rPr>
        <w:t>. We eliminate the historical silos of development and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teams and provide a platform that enables efficient and agile development through the adoption of DevOps. Our platform enables development and operations teams to collaborate closely with a shared understanding of data and analytics. This helps them develop a joint understanding of application performance and shared insights into the infrastructure supporting the applications. Additionally, for businesses, our customizable and easy-to-understand dashboards can be shared with business teams to provide them with real-time actionable insights into business performance.</w:t>
      </w:r>
    </w:p>
    <w:p>
      <w:pPr>
        <w:spacing w:after="0" w:line="85" w:lineRule="exact"/>
        <w:rPr>
          <w:rFonts w:ascii="Arial" w:cs="Arial" w:eastAsia="Arial" w:hAnsi="Arial"/>
          <w:sz w:val="17"/>
          <w:szCs w:val="17"/>
          <w:color w:val="auto"/>
        </w:rPr>
      </w:pPr>
    </w:p>
    <w:p>
      <w:pPr>
        <w:ind w:left="1360" w:right="220" w:hanging="510"/>
        <w:spacing w:after="0" w:line="290" w:lineRule="auto"/>
        <w:tabs>
          <w:tab w:leader="none" w:pos="13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Enable operational efficiency</w:t>
      </w:r>
      <w:r>
        <w:rPr>
          <w:rFonts w:ascii="Arial" w:cs="Arial" w:eastAsia="Arial" w:hAnsi="Arial"/>
          <w:sz w:val="16"/>
          <w:szCs w:val="16"/>
          <w:color w:val="auto"/>
        </w:rPr>
        <w:t>. Our solution is easy to install, which eliminates the need for heavy implementation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services. We have over 350 out-of-the-box integrations with key technologies, from which our customers can derive significant value, avoiding internal development costs and professional services required to create those integrations. Our customer-centric pricing model is tailored to customers’ desired usage needs. For example, our log management solution has differentiated pricing for logs indexed versus logs ingested. Our platform empowers customers to better understand the operational needs of their applications and IT environments, enabling greater efficiency in resource allocation and spend on cloud infrastructure.</w:t>
      </w:r>
    </w:p>
    <w:p>
      <w:pPr>
        <w:spacing w:after="0" w:line="200" w:lineRule="exact"/>
        <w:rPr>
          <w:sz w:val="20"/>
          <w:szCs w:val="20"/>
          <w:color w:val="auto"/>
        </w:rPr>
      </w:pPr>
    </w:p>
    <w:p>
      <w:pPr>
        <w:spacing w:after="0" w:line="39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240" w:top="456"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6139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7375" cy="61391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40" w:right="320" w:firstLine="422"/>
        <w:spacing w:after="0" w:line="271" w:lineRule="auto"/>
        <w:rPr>
          <w:sz w:val="20"/>
          <w:szCs w:val="20"/>
          <w:color w:val="auto"/>
        </w:rPr>
      </w:pPr>
      <w:r>
        <w:rPr>
          <w:rFonts w:ascii="Arial" w:cs="Arial" w:eastAsia="Arial" w:hAnsi="Arial"/>
          <w:sz w:val="18"/>
          <w:szCs w:val="18"/>
          <w:color w:val="auto"/>
        </w:rPr>
        <w:t>Our customers span a variety of industries and their deployments of our platform include a variety of use cases. Customer success stories include:</w:t>
      </w:r>
    </w:p>
    <w:p>
      <w:pPr>
        <w:spacing w:after="0" w:line="81" w:lineRule="exact"/>
        <w:rPr>
          <w:sz w:val="20"/>
          <w:szCs w:val="20"/>
          <w:color w:val="auto"/>
        </w:rPr>
      </w:pPr>
    </w:p>
    <w:p>
      <w:pPr>
        <w:ind w:left="1360" w:right="120" w:hanging="510"/>
        <w:spacing w:after="0" w:line="335"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large financial services institution consolidated numerous monitoring tools into a single platform, reducing operational complexity and overhead and offering executives a single source of truth about the health of their business and IT environment.</w:t>
      </w:r>
    </w:p>
    <w:p>
      <w:pPr>
        <w:spacing w:after="0" w:line="34" w:lineRule="exact"/>
        <w:rPr>
          <w:rFonts w:ascii="Arial" w:cs="Arial" w:eastAsia="Arial" w:hAnsi="Arial"/>
          <w:sz w:val="16"/>
          <w:szCs w:val="16"/>
          <w:color w:val="auto"/>
        </w:rPr>
      </w:pPr>
    </w:p>
    <w:p>
      <w:pPr>
        <w:ind w:left="1360" w:right="80" w:hanging="510"/>
        <w:spacing w:after="0" w:line="259"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Fortune 100 pharmaceutical company monitors across public cloud, containerized and on-premise environments, helping eliminate engineers’ alert fatigue from disparate tools, reducing mean time to resolution and improving compliance with service-level agreements.</w:t>
      </w:r>
    </w:p>
    <w:p>
      <w:pPr>
        <w:spacing w:after="0" w:line="92" w:lineRule="exact"/>
        <w:rPr>
          <w:rFonts w:ascii="Arial" w:cs="Arial" w:eastAsia="Arial" w:hAnsi="Arial"/>
          <w:sz w:val="18"/>
          <w:szCs w:val="18"/>
          <w:color w:val="auto"/>
        </w:rPr>
      </w:pPr>
    </w:p>
    <w:p>
      <w:pPr>
        <w:ind w:left="1360" w:right="60" w:hanging="510"/>
        <w:spacing w:after="0" w:line="271"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shipping and logistics company accelerates the delivery and development of applications, providing them the ability to drive efficiencies in their supply chain, such as fuel cost planning and tracking of shipments.</w:t>
      </w:r>
    </w:p>
    <w:p>
      <w:pPr>
        <w:spacing w:after="0" w:line="81" w:lineRule="exact"/>
        <w:rPr>
          <w:rFonts w:ascii="Arial" w:cs="Arial" w:eastAsia="Arial" w:hAnsi="Arial"/>
          <w:sz w:val="18"/>
          <w:szCs w:val="18"/>
          <w:color w:val="auto"/>
        </w:rPr>
      </w:pPr>
    </w:p>
    <w:p>
      <w:pPr>
        <w:ind w:left="1360" w:right="280" w:hanging="510"/>
        <w:spacing w:after="0" w:line="271"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large retailer and e-commerce company avoids website outages that cause lost revenue and enables flexible capacity planning to scale-up infrastructure during peak customer demand.</w:t>
      </w:r>
    </w:p>
    <w:p>
      <w:pPr>
        <w:spacing w:after="0" w:line="81" w:lineRule="exact"/>
        <w:rPr>
          <w:rFonts w:ascii="Arial" w:cs="Arial" w:eastAsia="Arial" w:hAnsi="Arial"/>
          <w:sz w:val="18"/>
          <w:szCs w:val="18"/>
          <w:color w:val="auto"/>
        </w:rPr>
      </w:pPr>
    </w:p>
    <w:p>
      <w:pPr>
        <w:ind w:left="1360" w:right="520" w:hanging="510"/>
        <w:spacing w:after="0" w:line="271" w:lineRule="auto"/>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large hospitality company improves development and operations teams collaboration and reduces mean time to resolution by visualizing service inter-dependencies, to ultimately improve customer satisfaction.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Growth Strategies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 intend to pursue the following growth strategies:</w:t>
      </w:r>
    </w:p>
    <w:p>
      <w:pPr>
        <w:spacing w:after="0" w:line="128" w:lineRule="exact"/>
        <w:rPr>
          <w:sz w:val="20"/>
          <w:szCs w:val="20"/>
          <w:color w:val="auto"/>
        </w:rPr>
      </w:pPr>
    </w:p>
    <w:p>
      <w:pPr>
        <w:jc w:val="both"/>
        <w:ind w:left="1360" w:right="20" w:hanging="510"/>
        <w:spacing w:after="0" w:line="259" w:lineRule="auto"/>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by acquiring new customers</w:t>
      </w:r>
      <w:r>
        <w:rPr>
          <w:rFonts w:ascii="Arial" w:cs="Arial" w:eastAsia="Arial" w:hAnsi="Arial"/>
          <w:sz w:val="18"/>
          <w:szCs w:val="18"/>
          <w:color w:val="auto"/>
        </w:rPr>
        <w:t>. Our market penetration is low. We believe there is a substantial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continue to grow our customer base. We intend to drive new customer additions by expanding our sales and marketing efforts in the markets we serve.</w:t>
      </w:r>
    </w:p>
    <w:p>
      <w:pPr>
        <w:spacing w:after="0" w:line="92" w:lineRule="exact"/>
        <w:rPr>
          <w:rFonts w:ascii="Arial" w:cs="Arial" w:eastAsia="Arial" w:hAnsi="Arial"/>
          <w:sz w:val="18"/>
          <w:szCs w:val="18"/>
          <w:color w:val="auto"/>
        </w:rPr>
      </w:pPr>
    </w:p>
    <w:p>
      <w:pPr>
        <w:ind w:left="1360" w:hanging="510"/>
        <w:spacing w:after="0" w:line="254" w:lineRule="auto"/>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existing customer base through broader deployments, new use cases and new product adoption</w:t>
      </w:r>
      <w:r>
        <w:rPr>
          <w:rFonts w:ascii="Arial" w:cs="Arial" w:eastAsia="Arial" w:hAnsi="Arial"/>
          <w:sz w:val="18"/>
          <w:szCs w:val="18"/>
          <w:color w:val="auto"/>
        </w:rPr>
        <w:t>.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8,800 customers represents a significant opportunity for further sales expansion. For example, for the six months ended June 30, 2019, over 35% of new ARR came from our newer platform products, APM and logs, up from over 10% in the same period a year earlier. We plan to continue to increase sales within our existing customer base through increased usage of our platform and the cross selling of additional products.</w:t>
      </w:r>
    </w:p>
    <w:p>
      <w:pPr>
        <w:spacing w:after="0" w:line="95" w:lineRule="exact"/>
        <w:rPr>
          <w:rFonts w:ascii="Arial" w:cs="Arial" w:eastAsia="Arial" w:hAnsi="Arial"/>
          <w:sz w:val="18"/>
          <w:szCs w:val="18"/>
          <w:color w:val="auto"/>
        </w:rPr>
      </w:pPr>
    </w:p>
    <w:p>
      <w:pPr>
        <w:ind w:left="1360" w:right="20" w:hanging="510"/>
        <w:spacing w:after="0" w:line="251" w:lineRule="auto"/>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technology leadership through continued investment and new products</w:t>
      </w:r>
      <w:r>
        <w:rPr>
          <w:rFonts w:ascii="Arial" w:cs="Arial" w:eastAsia="Arial" w:hAnsi="Arial"/>
          <w:sz w:val="18"/>
          <w:szCs w:val="18"/>
          <w:color w:val="auto"/>
        </w:rPr>
        <w:t>. Our goal is to expand our platform over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our current three pillars of observability. We intend to invest in expanding the functionality of our current platform and adding capabilities that address new market opportunities. We have a history of continued innovation. For example, in 2017 we launched APM, in 2018 we launched log management, and in 2019 we launched user experience monitoring as well as announced network performance monitoring. This innovation strategy will provide new avenues for growth and allow us to continue to deliver differentiated outcomes to our customers. We have also selectively pursued acquisitions and strategic investments in businesses and technologies to drive product and market expansion and will continue to evaluate strategic acquisitions and investments on a case-by-case basis.</w:t>
      </w:r>
    </w:p>
    <w:p>
      <w:pPr>
        <w:spacing w:after="0" w:line="101" w:lineRule="exact"/>
        <w:rPr>
          <w:rFonts w:ascii="Arial" w:cs="Arial" w:eastAsia="Arial" w:hAnsi="Arial"/>
          <w:sz w:val="18"/>
          <w:szCs w:val="18"/>
          <w:color w:val="auto"/>
        </w:rPr>
      </w:pPr>
    </w:p>
    <w:p>
      <w:pPr>
        <w:ind w:left="1360" w:right="80" w:hanging="510"/>
        <w:spacing w:after="0" w:line="272" w:lineRule="auto"/>
        <w:tabs>
          <w:tab w:leader="none" w:pos="13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customer base internationally</w:t>
      </w:r>
      <w:r>
        <w:rPr>
          <w:rFonts w:ascii="Arial" w:cs="Arial" w:eastAsia="Arial" w:hAnsi="Arial"/>
          <w:sz w:val="17"/>
          <w:szCs w:val="17"/>
          <w:color w:val="auto"/>
        </w:rPr>
        <w:t>. We believe there is a significant opportunity to expand usage of our platform outside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United States, as international markets have increased the shift of their IT spend to the cloud. We have made significant investments in expanding our presence in EMEA and APAC. As of December 31, 2018, approximately 24% of our ARR came from customers outside of North America. We intend to add international sales team members to take advantage of this market opportunity while refining our go-to-market approach based on local market dynamics.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824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7375" cy="58248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 Factors Summary</w:t>
      </w:r>
    </w:p>
    <w:p>
      <w:pPr>
        <w:spacing w:after="0" w:line="225" w:lineRule="exact"/>
        <w:rPr>
          <w:sz w:val="20"/>
          <w:szCs w:val="20"/>
          <w:color w:val="auto"/>
        </w:rPr>
      </w:pPr>
    </w:p>
    <w:p>
      <w:pPr>
        <w:ind w:left="440" w:firstLine="422"/>
        <w:spacing w:after="0" w:line="259" w:lineRule="auto"/>
        <w:rPr>
          <w:sz w:val="20"/>
          <w:szCs w:val="20"/>
          <w:color w:val="auto"/>
        </w:rPr>
      </w:pPr>
      <w:r>
        <w:rPr>
          <w:rFonts w:ascii="Arial" w:cs="Arial" w:eastAsia="Arial" w:hAnsi="Arial"/>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but are not limited to, the following:</w:t>
      </w:r>
    </w:p>
    <w:p>
      <w:pPr>
        <w:spacing w:after="0" w:line="93" w:lineRule="exact"/>
        <w:rPr>
          <w:sz w:val="20"/>
          <w:szCs w:val="20"/>
          <w:color w:val="auto"/>
        </w:rPr>
      </w:pPr>
    </w:p>
    <w:p>
      <w:pPr>
        <w:ind w:left="1360" w:right="300" w:hanging="510"/>
        <w:spacing w:after="0" w:line="271"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81" w:lineRule="exact"/>
        <w:rPr>
          <w:rFonts w:ascii="Arial" w:cs="Arial" w:eastAsia="Arial" w:hAnsi="Arial"/>
          <w:sz w:val="18"/>
          <w:szCs w:val="18"/>
          <w:color w:val="auto"/>
        </w:rPr>
      </w:pPr>
    </w:p>
    <w:p>
      <w:pPr>
        <w:ind w:left="1360" w:hanging="51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27" w:lineRule="exact"/>
        <w:rPr>
          <w:rFonts w:ascii="Arial" w:cs="Arial" w:eastAsia="Arial" w:hAnsi="Arial"/>
          <w:sz w:val="18"/>
          <w:szCs w:val="18"/>
          <w:color w:val="auto"/>
        </w:rPr>
      </w:pPr>
    </w:p>
    <w:p>
      <w:pPr>
        <w:ind w:left="1360" w:hanging="51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27" w:lineRule="exact"/>
        <w:rPr>
          <w:rFonts w:ascii="Arial" w:cs="Arial" w:eastAsia="Arial" w:hAnsi="Arial"/>
          <w:sz w:val="18"/>
          <w:szCs w:val="18"/>
          <w:color w:val="auto"/>
        </w:rPr>
      </w:pPr>
    </w:p>
    <w:p>
      <w:pPr>
        <w:ind w:left="1360" w:right="660" w:hanging="510"/>
        <w:spacing w:after="0" w:line="335" w:lineRule="auto"/>
        <w:tabs>
          <w:tab w:leader="none" w:pos="1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business depends on our existing customers purchasing additional subscriptions and products from us and renewing their subscriptions. Any decline in our customer expansions and renewals would harm our future operating results.</w:t>
      </w:r>
    </w:p>
    <w:p>
      <w:pPr>
        <w:spacing w:after="0" w:line="34" w:lineRule="exact"/>
        <w:rPr>
          <w:rFonts w:ascii="Arial" w:cs="Arial" w:eastAsia="Arial" w:hAnsi="Arial"/>
          <w:sz w:val="16"/>
          <w:szCs w:val="16"/>
          <w:color w:val="auto"/>
        </w:rPr>
      </w:pPr>
    </w:p>
    <w:p>
      <w:pPr>
        <w:ind w:left="1360" w:hanging="510"/>
        <w:spacing w:after="0"/>
        <w:tabs>
          <w:tab w:leader="none" w:pos="1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attract new customers, our business, financial condition and results of operations may be adversely affected.</w:t>
      </w:r>
    </w:p>
    <w:p>
      <w:pPr>
        <w:spacing w:after="0" w:line="150" w:lineRule="exact"/>
        <w:rPr>
          <w:rFonts w:ascii="Arial" w:cs="Arial" w:eastAsia="Arial" w:hAnsi="Arial"/>
          <w:sz w:val="16"/>
          <w:szCs w:val="16"/>
          <w:color w:val="auto"/>
        </w:rPr>
      </w:pPr>
    </w:p>
    <w:p>
      <w:pPr>
        <w:ind w:left="1360" w:right="240" w:hanging="510"/>
        <w:spacing w:after="0" w:line="271"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81" w:lineRule="exact"/>
        <w:rPr>
          <w:rFonts w:ascii="Arial" w:cs="Arial" w:eastAsia="Arial" w:hAnsi="Arial"/>
          <w:sz w:val="18"/>
          <w:szCs w:val="18"/>
          <w:color w:val="auto"/>
        </w:rPr>
      </w:pPr>
    </w:p>
    <w:p>
      <w:pPr>
        <w:ind w:left="1360" w:right="120" w:hanging="510"/>
        <w:spacing w:after="0" w:line="259"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92" w:lineRule="exact"/>
        <w:rPr>
          <w:rFonts w:ascii="Arial" w:cs="Arial" w:eastAsia="Arial" w:hAnsi="Arial"/>
          <w:sz w:val="18"/>
          <w:szCs w:val="18"/>
          <w:color w:val="auto"/>
        </w:rPr>
      </w:pPr>
    </w:p>
    <w:p>
      <w:pPr>
        <w:ind w:left="1360" w:right="440" w:hanging="510"/>
        <w:spacing w:after="0" w:line="271"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81" w:lineRule="exact"/>
        <w:rPr>
          <w:rFonts w:ascii="Arial" w:cs="Arial" w:eastAsia="Arial" w:hAnsi="Arial"/>
          <w:sz w:val="18"/>
          <w:szCs w:val="18"/>
          <w:color w:val="auto"/>
        </w:rPr>
      </w:pPr>
    </w:p>
    <w:p>
      <w:pPr>
        <w:ind w:left="1360" w:right="300" w:hanging="510"/>
        <w:spacing w:after="0" w:line="301" w:lineRule="auto"/>
        <w:tabs>
          <w:tab w:leader="none" w:pos="1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58" w:lineRule="exact"/>
        <w:rPr>
          <w:rFonts w:ascii="Arial" w:cs="Arial" w:eastAsia="Arial" w:hAnsi="Arial"/>
          <w:sz w:val="17"/>
          <w:szCs w:val="17"/>
          <w:color w:val="auto"/>
        </w:rPr>
      </w:pPr>
    </w:p>
    <w:p>
      <w:pPr>
        <w:ind w:left="1360" w:right="460" w:hanging="510"/>
        <w:spacing w:after="0" w:line="271"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81" w:lineRule="exact"/>
        <w:rPr>
          <w:rFonts w:ascii="Arial" w:cs="Arial" w:eastAsia="Arial" w:hAnsi="Arial"/>
          <w:sz w:val="18"/>
          <w:szCs w:val="18"/>
          <w:color w:val="auto"/>
        </w:rPr>
      </w:pPr>
    </w:p>
    <w:p>
      <w:pPr>
        <w:ind w:left="1360" w:right="260" w:hanging="510"/>
        <w:spacing w:after="0" w:line="271"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81" w:lineRule="exact"/>
        <w:rPr>
          <w:rFonts w:ascii="Arial" w:cs="Arial" w:eastAsia="Arial" w:hAnsi="Arial"/>
          <w:sz w:val="18"/>
          <w:szCs w:val="18"/>
          <w:color w:val="auto"/>
        </w:rPr>
      </w:pPr>
    </w:p>
    <w:p>
      <w:pPr>
        <w:ind w:left="1360" w:hanging="510"/>
        <w:spacing w:after="0" w:line="271"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Corporate Information</w:t>
      </w:r>
    </w:p>
    <w:p>
      <w:pPr>
        <w:spacing w:after="0" w:line="225" w:lineRule="exact"/>
        <w:rPr>
          <w:sz w:val="20"/>
          <w:szCs w:val="20"/>
          <w:color w:val="auto"/>
        </w:rPr>
      </w:pPr>
    </w:p>
    <w:p>
      <w:pPr>
        <w:ind w:left="440" w:right="120" w:firstLine="422"/>
        <w:spacing w:after="0" w:line="255" w:lineRule="auto"/>
        <w:rPr>
          <w:sz w:val="20"/>
          <w:szCs w:val="20"/>
          <w:color w:val="auto"/>
        </w:rPr>
      </w:pPr>
      <w:r>
        <w:rPr>
          <w:rFonts w:ascii="Arial" w:cs="Arial" w:eastAsia="Arial" w:hAnsi="Arial"/>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240" w:top="456"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2324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7375" cy="23241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440" w:right="440" w:firstLine="422"/>
        <w:spacing w:after="0" w:line="259" w:lineRule="auto"/>
        <w:rPr>
          <w:sz w:val="20"/>
          <w:szCs w:val="20"/>
          <w:color w:val="auto"/>
        </w:rPr>
      </w:pPr>
      <w:r>
        <w:rPr>
          <w:rFonts w:ascii="Arial" w:cs="Arial" w:eastAsia="Arial" w:hAnsi="Arial"/>
          <w:sz w:val="18"/>
          <w:szCs w:val="18"/>
          <w:color w:val="auto"/>
        </w:rPr>
        <w:t>The Datadog logo, “Datadog” and our other registered and common law trade names, trademarks and service marks are the property of Datadog, Inc. or our subsidiaries. Other trade names, trademarks and service marks used in this prospectus are the property of their respective owners.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5" w:lineRule="exact"/>
        <w:rPr>
          <w:sz w:val="20"/>
          <w:szCs w:val="20"/>
          <w:color w:val="auto"/>
        </w:rPr>
      </w:pPr>
    </w:p>
    <w:p>
      <w:pPr>
        <w:ind w:left="440" w:firstLine="422"/>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00" w:lineRule="exact"/>
        <w:rPr>
          <w:sz w:val="20"/>
          <w:szCs w:val="20"/>
          <w:color w:val="auto"/>
        </w:rPr>
      </w:pPr>
    </w:p>
    <w:p>
      <w:pPr>
        <w:spacing w:after="0" w:line="39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240" w:top="456" w:right="6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229870</wp:posOffset>
            </wp:positionV>
            <wp:extent cx="6937375" cy="6189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7375" cy="6189980"/>
                    </a:xfrm>
                    <a:prstGeom prst="rect">
                      <a:avLst/>
                    </a:prstGeom>
                    <a:noFill/>
                  </pic:spPr>
                </pic:pic>
              </a:graphicData>
            </a:graphic>
          </wp:anchor>
        </w:drawing>
      </w:r>
    </w:p>
    <w:p>
      <w:pPr>
        <w:sectPr>
          <w:pgSz w:w="11900" w:h="16838" w:orient="portrait"/>
          <w:cols w:equalWidth="0" w:num="1">
            <w:col w:w="10980"/>
          </w:cols>
          <w:pgMar w:left="240" w:top="456"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offered by us</w:t>
      </w:r>
    </w:p>
    <w:p>
      <w:pPr>
        <w:spacing w:after="0" w:line="261" w:lineRule="exact"/>
        <w:rPr>
          <w:sz w:val="20"/>
          <w:szCs w:val="20"/>
          <w:color w:val="auto"/>
        </w:rPr>
      </w:pPr>
    </w:p>
    <w:p>
      <w:pPr>
        <w:ind w:left="520" w:right="40" w:hanging="77"/>
        <w:spacing w:after="0" w:line="271" w:lineRule="auto"/>
        <w:rPr>
          <w:sz w:val="20"/>
          <w:szCs w:val="20"/>
          <w:color w:val="auto"/>
        </w:rPr>
      </w:pPr>
      <w:r>
        <w:rPr>
          <w:rFonts w:ascii="Arial" w:cs="Arial" w:eastAsia="Arial" w:hAnsi="Arial"/>
          <w:sz w:val="18"/>
          <w:szCs w:val="18"/>
          <w:color w:val="auto"/>
        </w:rPr>
        <w:t>Class A common stock to be outstanding after this offering</w:t>
      </w:r>
    </w:p>
    <w:p>
      <w:pPr>
        <w:spacing w:after="0" w:line="215" w:lineRule="exact"/>
        <w:rPr>
          <w:sz w:val="20"/>
          <w:szCs w:val="20"/>
          <w:color w:val="auto"/>
        </w:rPr>
      </w:pPr>
    </w:p>
    <w:p>
      <w:pPr>
        <w:ind w:left="520" w:right="40" w:hanging="77"/>
        <w:spacing w:after="0" w:line="271" w:lineRule="auto"/>
        <w:rPr>
          <w:sz w:val="20"/>
          <w:szCs w:val="20"/>
          <w:color w:val="auto"/>
        </w:rPr>
      </w:pPr>
      <w:r>
        <w:rPr>
          <w:rFonts w:ascii="Arial" w:cs="Arial" w:eastAsia="Arial" w:hAnsi="Arial"/>
          <w:sz w:val="18"/>
          <w:szCs w:val="18"/>
          <w:color w:val="auto"/>
        </w:rPr>
        <w:t>Class B common stock to be outstanding after this offering</w:t>
      </w:r>
    </w:p>
    <w:p>
      <w:pPr>
        <w:spacing w:after="0" w:line="215" w:lineRule="exact"/>
        <w:rPr>
          <w:sz w:val="20"/>
          <w:szCs w:val="20"/>
          <w:color w:val="auto"/>
        </w:rPr>
      </w:pPr>
    </w:p>
    <w:p>
      <w:pPr>
        <w:ind w:left="520" w:hanging="77"/>
        <w:spacing w:after="0" w:line="335" w:lineRule="auto"/>
        <w:rPr>
          <w:sz w:val="20"/>
          <w:szCs w:val="20"/>
          <w:color w:val="auto"/>
        </w:rPr>
      </w:pPr>
      <w:r>
        <w:rPr>
          <w:rFonts w:ascii="Arial" w:cs="Arial" w:eastAsia="Arial" w:hAnsi="Arial"/>
          <w:sz w:val="16"/>
          <w:szCs w:val="16"/>
          <w:color w:val="auto"/>
        </w:rPr>
        <w:t>Total Class A common stock and Class B common stock to be outstanding after this offering</w:t>
      </w:r>
    </w:p>
    <w:p>
      <w:pPr>
        <w:spacing w:after="0" w:line="169" w:lineRule="exact"/>
        <w:rPr>
          <w:sz w:val="20"/>
          <w:szCs w:val="20"/>
          <w:color w:val="auto"/>
        </w:rPr>
      </w:pPr>
    </w:p>
    <w:p>
      <w:pPr>
        <w:ind w:left="520" w:right="240" w:hanging="77"/>
        <w:spacing w:after="0" w:line="271" w:lineRule="auto"/>
        <w:rPr>
          <w:sz w:val="20"/>
          <w:szCs w:val="20"/>
          <w:color w:val="auto"/>
        </w:rPr>
      </w:pPr>
      <w:r>
        <w:rPr>
          <w:rFonts w:ascii="Arial" w:cs="Arial" w:eastAsia="Arial" w:hAnsi="Arial"/>
          <w:sz w:val="18"/>
          <w:szCs w:val="18"/>
          <w:color w:val="auto"/>
        </w:rPr>
        <w:t>Option to purchase additional shares of Class A common stock offered by us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24,000,000 shares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24,000,000 shares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265,834,665 shares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289,834,665 shares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3,600,000 shares</w:t>
      </w:r>
    </w:p>
    <w:p>
      <w:pPr>
        <w:spacing w:after="0" w:line="200" w:lineRule="exact"/>
        <w:rPr>
          <w:sz w:val="20"/>
          <w:szCs w:val="20"/>
          <w:color w:val="auto"/>
        </w:rPr>
      </w:pPr>
    </w:p>
    <w:p>
      <w:pPr>
        <w:spacing w:after="0" w:line="2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estimate that our net proceeds from the sale of our Class A common stock that we are offering will be approximately $566.0 million (or approximately $651.5 million if the underwriters’ option to purchase additional shares of our Class A common stock from us is exercised in full), assuming an initial public offering price of $25.00 per share, the midpoint of the estimated price range set forth on the cover page of this prospectus, and after deducting estimated underwriting discounts and commissions and estimated offering expenses.</w:t>
      </w: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Class A common stock.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However, we do not have agreements or commitments to enter into any acquisitions at this time. See the section titled “Use of Proceeds” for additional information.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have two classes of common stock: Class A common stock and Class B common stock. Class A common stock is entitled to one vote per share and Class B common stock is entitled to ten votes per share.</w:t>
      </w:r>
    </w:p>
    <w:p>
      <w:pPr>
        <w:spacing w:after="0" w:line="213"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or our amended and restated certificate of incorporation that will be in effect immediately prior to the completion of this offering. The holders of our outstanding Class B common stock will hold</w:t>
      </w:r>
    </w:p>
    <w:p>
      <w:pPr>
        <w:spacing w:after="0" w:line="200" w:lineRule="exact"/>
        <w:rPr>
          <w:sz w:val="20"/>
          <w:szCs w:val="20"/>
          <w:color w:val="auto"/>
        </w:rPr>
      </w:pPr>
    </w:p>
    <w:p>
      <w:pPr>
        <w:sectPr>
          <w:pgSz w:w="11900" w:h="16838" w:orient="portrait"/>
          <w:cols w:equalWidth="0" w:num="2">
            <w:col w:w="4060" w:space="380"/>
            <w:col w:w="6540"/>
          </w:cols>
          <w:pgMar w:left="240" w:top="456" w:right="679" w:bottom="1440" w:gutter="0" w:footer="0" w:header="0"/>
          <w:type w:val="continuous"/>
        </w:sectPr>
      </w:pPr>
    </w:p>
    <w:p>
      <w:pPr>
        <w:spacing w:after="0" w:line="38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80"/>
          </w:cols>
          <w:pgMar w:left="240" w:top="456" w:right="6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960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7375" cy="59607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440" w:right="160"/>
        <w:spacing w:after="0" w:line="254" w:lineRule="auto"/>
        <w:rPr>
          <w:sz w:val="20"/>
          <w:szCs w:val="20"/>
          <w:color w:val="auto"/>
        </w:rPr>
      </w:pPr>
      <w:r>
        <w:rPr>
          <w:rFonts w:ascii="Arial" w:cs="Arial" w:eastAsia="Arial" w:hAnsi="Arial"/>
          <w:sz w:val="18"/>
          <w:szCs w:val="18"/>
          <w:color w:val="auto"/>
        </w:rPr>
        <w:t>approximately 99% of the voting power of our outstanding shares following this offering and will have the ability to control the outcome of matters submitted to our stockholders for approval, including the election of our directors and the approval of any change in control transaction. See the sections titled “Principal Stockholders” and “Description of Capital Stock” for additional information.</w:t>
      </w:r>
    </w:p>
    <w:p>
      <w:pPr>
        <w:sectPr>
          <w:pgSz w:w="11900" w:h="16838" w:orient="portrait"/>
          <w:cols w:equalWidth="0" w:num="1">
            <w:col w:w="10940"/>
          </w:cols>
          <w:pgMar w:left="240" w:top="456" w:right="719" w:bottom="1440" w:gutter="0" w:footer="0" w:header="0"/>
        </w:sect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Concentration of ownership</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Once this offering is completed, based on the number of shares outstanding as of July 31, 2019, the holders of our outstanding Class B common stock will beneficially own approximately 92% of our outstanding shares and control approximately 99% of the voting power of our outstanding shares and our executive officers, directors and stockholders holding more than 5% of our outstanding shares, together with their affiliates, will beneficially own, in the aggregate, approximately 74% of our outstanding shares and control approximately 85% of the voting power of our outstanding shares, without giving effect to any purchases that these holders may make through our directed share program or otherwise in this offering.</w:t>
      </w:r>
    </w:p>
    <w:p>
      <w:pPr>
        <w:spacing w:after="0" w:line="200" w:lineRule="exact"/>
        <w:rPr>
          <w:sz w:val="20"/>
          <w:szCs w:val="20"/>
          <w:color w:val="auto"/>
        </w:rPr>
      </w:pPr>
    </w:p>
    <w:p>
      <w:pPr>
        <w:sectPr>
          <w:pgSz w:w="11900" w:h="16838" w:orient="portrait"/>
          <w:cols w:equalWidth="0" w:num="2">
            <w:col w:w="3720" w:space="720"/>
            <w:col w:w="6500"/>
          </w:cols>
          <w:pgMar w:left="240" w:top="456" w:right="719" w:bottom="1440" w:gutter="0" w:footer="0" w:header="0"/>
          <w:type w:val="continuous"/>
        </w:sectPr>
      </w:pPr>
    </w:p>
    <w:p>
      <w:pPr>
        <w:spacing w:after="0" w:line="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Directed share program</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Arial" w:cs="Arial" w:eastAsia="Arial" w:hAnsi="Arial"/>
          <w:sz w:val="17"/>
          <w:szCs w:val="17"/>
          <w:color w:val="auto"/>
        </w:rPr>
        <w:t>At our request, the underwriters have reserved for sale at the initial public offering price per share up to 5% of the shares of Class A common stock offered by this prospectus, to certain individuals through a directed share program, including our directors, employees and certain other early supporters of Datadog identified by management. If purchased by these persons, these shares will not be subject to a lock-up restriction, except in the case of shares purchased by any director or executive officer. The number of shares of Class A common stock available for sale to the general public will be reduced by the number of reserved shares sold to these individuals. Any reserved shares not purchased by these individuals will be offered by the underwriters to the general public on the same basis as the other shares of Class A common stock offered under this prospectus. See the section titled “Underwriting.”</w:t>
      </w:r>
    </w:p>
    <w:p>
      <w:pPr>
        <w:spacing w:after="0" w:line="200" w:lineRule="exact"/>
        <w:rPr>
          <w:sz w:val="20"/>
          <w:szCs w:val="20"/>
          <w:color w:val="auto"/>
        </w:rPr>
      </w:pPr>
    </w:p>
    <w:p>
      <w:pPr>
        <w:sectPr>
          <w:pgSz w:w="11900" w:h="16838" w:orient="portrait"/>
          <w:cols w:equalWidth="0" w:num="2">
            <w:col w:w="3720" w:space="720"/>
            <w:col w:w="6500"/>
          </w:cols>
          <w:pgMar w:left="240" w:top="456" w:right="719"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See the section titled “Risk Factors” and the other information included in this prospectus for a discussion of factors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720" w:space="720"/>
            <w:col w:w="6500"/>
          </w:cols>
          <w:pgMar w:left="240" w:top="456" w:right="719"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Proposed Nasdaq Global Select Market trading symbol “DDOG”</w:t>
      </w:r>
    </w:p>
    <w:p>
      <w:pPr>
        <w:spacing w:after="0" w:line="235" w:lineRule="exact"/>
        <w:rPr>
          <w:sz w:val="20"/>
          <w:szCs w:val="20"/>
          <w:color w:val="auto"/>
        </w:rPr>
      </w:pPr>
    </w:p>
    <w:p>
      <w:pPr>
        <w:ind w:left="440" w:right="100" w:firstLine="422"/>
        <w:spacing w:after="0" w:line="301" w:lineRule="auto"/>
        <w:rPr>
          <w:sz w:val="20"/>
          <w:szCs w:val="20"/>
          <w:color w:val="auto"/>
        </w:rPr>
      </w:pPr>
      <w:r>
        <w:rPr>
          <w:rFonts w:ascii="Arial" w:cs="Arial" w:eastAsia="Arial" w:hAnsi="Arial"/>
          <w:sz w:val="17"/>
          <w:szCs w:val="17"/>
          <w:color w:val="auto"/>
        </w:rPr>
        <w:t>The number of shares of Class A common stock and Class B common stock that will be outstanding after this offering is based on no shares of Class A common stock and 265,834,665 shares of Class B common stock outstanding as of June 30, 2019, and excludes:</w:t>
      </w:r>
    </w:p>
    <w:p>
      <w:pPr>
        <w:spacing w:after="0" w:line="58" w:lineRule="exact"/>
        <w:rPr>
          <w:sz w:val="20"/>
          <w:szCs w:val="20"/>
          <w:color w:val="auto"/>
        </w:rPr>
      </w:pPr>
    </w:p>
    <w:p>
      <w:pPr>
        <w:ind w:left="1360" w:right="60" w:hanging="510"/>
        <w:spacing w:after="0" w:line="271"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34,618,503 shares of Class B common stock issuable on the exercise of stock options outstanding as of June 30, 2019 under our 2012 Equity Incentive Plan, or 2012 Plan, with a weighted-average exercise price of $1.53 per share;</w:t>
      </w:r>
    </w:p>
    <w:p>
      <w:pPr>
        <w:spacing w:after="0" w:line="81" w:lineRule="exact"/>
        <w:rPr>
          <w:rFonts w:ascii="Arial" w:cs="Arial" w:eastAsia="Arial" w:hAnsi="Arial"/>
          <w:sz w:val="18"/>
          <w:szCs w:val="18"/>
          <w:color w:val="auto"/>
        </w:rPr>
      </w:pPr>
    </w:p>
    <w:p>
      <w:pPr>
        <w:ind w:left="1360" w:right="140" w:hanging="510"/>
        <w:spacing w:after="0" w:line="271"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30,250,000 shares of Class A common stock reserved for future issuance under our 2019 Equity Incentive Plan, or 2019 Plan, plus a number of shares of Class A common stock not to exceed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240" w:top="456" w:right="7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36150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7375" cy="36150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380"/>
        <w:spacing w:after="0" w:line="297" w:lineRule="auto"/>
        <w:rPr>
          <w:sz w:val="20"/>
          <w:szCs w:val="20"/>
          <w:color w:val="auto"/>
        </w:rPr>
      </w:pPr>
      <w:r>
        <w:rPr>
          <w:rFonts w:ascii="Arial" w:cs="Arial" w:eastAsia="Arial" w:hAnsi="Arial"/>
          <w:sz w:val="16"/>
          <w:szCs w:val="16"/>
          <w:color w:val="auto"/>
        </w:rPr>
        <w:t>40,046,733 (consisting of the number of shares that remain available under the 2012 Plan as of immediately prior to the effective date of the 2019 Plan and any shares underlying options outstanding under the 2012 Plan that expire or otherwise terminate prior to exercise after the effective date of the 2019 Plan), as well as any future increases, including annual automatic evergreen increases, in the number of shares of Class A common stock reserved for issuance under our 2019 Plan; and</w:t>
      </w:r>
    </w:p>
    <w:p>
      <w:pPr>
        <w:spacing w:after="0" w:line="66" w:lineRule="exact"/>
        <w:rPr>
          <w:sz w:val="20"/>
          <w:szCs w:val="20"/>
          <w:color w:val="auto"/>
        </w:rPr>
      </w:pPr>
    </w:p>
    <w:p>
      <w:pPr>
        <w:jc w:val="both"/>
        <w:ind w:left="1360" w:right="80" w:hanging="510"/>
        <w:spacing w:after="0" w:line="259"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6,725,000 shares of Class A common stock reserved for issuance under our 2019 Employee Stock Purchase Plan, or ESPP, as well as any future increases, including annual automatic evergreen increases, in the number of shares of Class A common stock reserved for future issuance under our ESPP.</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128" w:lineRule="exact"/>
        <w:rPr>
          <w:sz w:val="20"/>
          <w:szCs w:val="20"/>
          <w:color w:val="auto"/>
        </w:rPr>
      </w:pPr>
    </w:p>
    <w:p>
      <w:pPr>
        <w:ind w:left="1360" w:hanging="51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3-for-1 stock split of our common stock effected on September 6, 2019;</w:t>
      </w:r>
    </w:p>
    <w:p>
      <w:pPr>
        <w:spacing w:after="0" w:line="127" w:lineRule="exact"/>
        <w:rPr>
          <w:rFonts w:ascii="Arial" w:cs="Arial" w:eastAsia="Arial" w:hAnsi="Arial"/>
          <w:sz w:val="18"/>
          <w:szCs w:val="18"/>
          <w:color w:val="auto"/>
        </w:rPr>
      </w:pPr>
    </w:p>
    <w:p>
      <w:pPr>
        <w:ind w:left="1360" w:hanging="51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4-for-1 stock split of our common stock effected on January 2, 2018;</w:t>
      </w:r>
    </w:p>
    <w:p>
      <w:pPr>
        <w:spacing w:after="0" w:line="127" w:lineRule="exact"/>
        <w:rPr>
          <w:rFonts w:ascii="Arial" w:cs="Arial" w:eastAsia="Arial" w:hAnsi="Arial"/>
          <w:sz w:val="18"/>
          <w:szCs w:val="18"/>
          <w:color w:val="auto"/>
        </w:rPr>
      </w:pPr>
    </w:p>
    <w:p>
      <w:pPr>
        <w:ind w:left="1360" w:right="140" w:hanging="510"/>
        <w:spacing w:after="0" w:line="271"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each of which will occur immediately prior to the completion of this offering;</w:t>
      </w:r>
    </w:p>
    <w:p>
      <w:pPr>
        <w:spacing w:after="0" w:line="81" w:lineRule="exact"/>
        <w:rPr>
          <w:rFonts w:ascii="Arial" w:cs="Arial" w:eastAsia="Arial" w:hAnsi="Arial"/>
          <w:sz w:val="18"/>
          <w:szCs w:val="18"/>
          <w:color w:val="auto"/>
        </w:rPr>
      </w:pPr>
    </w:p>
    <w:p>
      <w:pPr>
        <w:ind w:left="1360" w:right="820" w:hanging="510"/>
        <w:spacing w:after="0" w:line="335" w:lineRule="auto"/>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reclassification of our outstanding common stock into an equal number of shares of our Class B common stock and the authorization of our Class A common stock, which will occur immediately prior to the completion of this offering;</w:t>
      </w:r>
    </w:p>
    <w:p>
      <w:pPr>
        <w:spacing w:after="0" w:line="34" w:lineRule="exact"/>
        <w:rPr>
          <w:rFonts w:ascii="Arial" w:cs="Arial" w:eastAsia="Arial" w:hAnsi="Arial"/>
          <w:sz w:val="16"/>
          <w:szCs w:val="16"/>
          <w:color w:val="auto"/>
        </w:rPr>
      </w:pPr>
    </w:p>
    <w:p>
      <w:pPr>
        <w:ind w:left="1360" w:right="160" w:hanging="510"/>
        <w:spacing w:after="0" w:line="271"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convertible preferred stock into an aggregate of 179,011,431 shares of Class B common stock, which will occur immediately prior to the completion of this offering;</w:t>
      </w:r>
    </w:p>
    <w:p>
      <w:pPr>
        <w:spacing w:after="0" w:line="81" w:lineRule="exact"/>
        <w:rPr>
          <w:rFonts w:ascii="Arial" w:cs="Arial" w:eastAsia="Arial" w:hAnsi="Arial"/>
          <w:sz w:val="18"/>
          <w:szCs w:val="18"/>
          <w:color w:val="auto"/>
        </w:rPr>
      </w:pPr>
    </w:p>
    <w:p>
      <w:pPr>
        <w:ind w:left="1360" w:right="340" w:hanging="510"/>
        <w:spacing w:after="0" w:line="271"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up to an additional 3,600,000 shares of Class A common stock from us in this offering; and</w:t>
      </w:r>
    </w:p>
    <w:p>
      <w:pPr>
        <w:spacing w:after="0" w:line="81" w:lineRule="exact"/>
        <w:rPr>
          <w:rFonts w:ascii="Arial" w:cs="Arial" w:eastAsia="Arial" w:hAnsi="Arial"/>
          <w:sz w:val="18"/>
          <w:szCs w:val="18"/>
          <w:color w:val="auto"/>
        </w:rPr>
      </w:pPr>
    </w:p>
    <w:p>
      <w:pPr>
        <w:ind w:left="1360" w:hanging="51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stock options described above.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240" w:top="456" w:right="7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892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7375" cy="58928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5" w:lineRule="exact"/>
        <w:rPr>
          <w:sz w:val="20"/>
          <w:szCs w:val="20"/>
          <w:color w:val="auto"/>
        </w:rPr>
      </w:pPr>
    </w:p>
    <w:p>
      <w:pPr>
        <w:ind w:left="440" w:right="200" w:firstLine="422"/>
        <w:spacing w:after="0" w:line="332" w:lineRule="auto"/>
        <w:rPr>
          <w:sz w:val="20"/>
          <w:szCs w:val="20"/>
          <w:color w:val="auto"/>
        </w:rPr>
      </w:pPr>
      <w:r>
        <w:rPr>
          <w:rFonts w:ascii="Arial" w:cs="Arial" w:eastAsia="Arial" w:hAnsi="Arial"/>
          <w:sz w:val="14"/>
          <w:szCs w:val="14"/>
          <w:color w:val="auto"/>
        </w:rPr>
        <w:t>The summary consolidated statement of operations data for the years ended December 31, 2017 and 2018 have been derived from our audited consolidated financial statements included elsewhere in this prospectus. The summary consolidated statements of operations data for the six months ended June 30, 2018 and 2019 and the summary consolidated balance sheet data as of June 30, 2019 have been derived from our unaudited interim condensed consolidated financial statements included elsewhere in this prospectus. The unaudited condensed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36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vMerge w:val="restart"/>
          </w:tcPr>
          <w:p>
            <w:pPr>
              <w:jc w:val="right"/>
              <w:ind w:right="471"/>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14"/>
                <w:szCs w:val="14"/>
                <w:color w:val="auto"/>
              </w:rPr>
            </w:pPr>
          </w:p>
        </w:tc>
        <w:tc>
          <w:tcPr>
            <w:tcW w:w="20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7"/>
          </w:tcPr>
          <w:p>
            <w:pPr>
              <w:jc w:val="right"/>
              <w:ind w:right="220"/>
              <w:spacing w:after="0" w:line="141" w:lineRule="exact"/>
              <w:rPr>
                <w:sz w:val="20"/>
                <w:szCs w:val="20"/>
                <w:color w:val="auto"/>
              </w:rPr>
            </w:pPr>
            <w:r>
              <w:rPr>
                <w:rFonts w:ascii="Arial" w:cs="Arial" w:eastAsia="Arial" w:hAnsi="Arial"/>
                <w:sz w:val="14"/>
                <w:szCs w:val="14"/>
                <w:b w:val="1"/>
                <w:bCs w:val="1"/>
                <w:color w:val="auto"/>
                <w:w w:val="93"/>
              </w:rPr>
              <w:t>(in thousands, except per share data)</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w w:val="92"/>
              </w:rPr>
              <w:t>100,761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91"/>
              <w:spacing w:after="0"/>
              <w:rPr>
                <w:sz w:val="20"/>
                <w:szCs w:val="20"/>
                <w:color w:val="auto"/>
              </w:rPr>
            </w:pPr>
            <w:r>
              <w:rPr>
                <w:rFonts w:ascii="Arial" w:cs="Arial" w:eastAsia="Arial" w:hAnsi="Arial"/>
                <w:sz w:val="18"/>
                <w:szCs w:val="18"/>
                <w:color w:val="auto"/>
                <w:w w:val="95"/>
              </w:rPr>
              <w:t>198,077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85,393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w w:val="92"/>
              </w:rPr>
              <w:t>153,272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23,414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46,529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18,592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39,928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151,548</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66,801</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24,734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91"/>
              <w:spacing w:after="0"/>
              <w:rPr>
                <w:sz w:val="20"/>
                <w:szCs w:val="20"/>
                <w:color w:val="auto"/>
              </w:rPr>
            </w:pPr>
            <w:r>
              <w:rPr>
                <w:rFonts w:ascii="Arial" w:cs="Arial" w:eastAsia="Arial" w:hAnsi="Arial"/>
                <w:sz w:val="18"/>
                <w:szCs w:val="18"/>
                <w:color w:val="auto"/>
              </w:rPr>
              <w:t>55,176</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23,297</w:t>
            </w:r>
          </w:p>
        </w:tc>
        <w:tc>
          <w:tcPr>
            <w:tcW w:w="160" w:type="dxa"/>
            <w:vAlign w:val="bottom"/>
          </w:tcPr>
          <w:p>
            <w:pPr>
              <w:spacing w:after="0"/>
              <w:rPr>
                <w:sz w:val="18"/>
                <w:szCs w:val="18"/>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46,847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44,213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88,849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34,617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66,225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11,356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91"/>
              <w:spacing w:after="0"/>
              <w:rPr>
                <w:sz w:val="20"/>
                <w:szCs w:val="20"/>
                <w:color w:val="auto"/>
              </w:rPr>
            </w:pPr>
            <w:r>
              <w:rPr>
                <w:rFonts w:ascii="Arial" w:cs="Arial" w:eastAsia="Arial" w:hAnsi="Arial"/>
                <w:sz w:val="18"/>
                <w:szCs w:val="18"/>
                <w:color w:val="auto"/>
              </w:rPr>
              <w:t>18,556</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8,611</w:t>
            </w:r>
          </w:p>
        </w:tc>
        <w:tc>
          <w:tcPr>
            <w:tcW w:w="160" w:type="dxa"/>
            <w:vAlign w:val="bottom"/>
          </w:tcPr>
          <w:p>
            <w:pPr>
              <w:spacing w:after="0"/>
              <w:rPr>
                <w:sz w:val="18"/>
                <w:szCs w:val="18"/>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13,928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5"/>
                <w:szCs w:val="15"/>
                <w:color w:val="auto"/>
              </w:rPr>
              <w:t>(3)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80,303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w w:val="95"/>
              </w:rPr>
              <w:t>162,581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2"/>
              </w:rPr>
              <w:t>127,000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(11,033)</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(10,240)</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60" w:type="dxa"/>
            <w:vAlign w:val="bottom"/>
          </w:tcPr>
          <w:p>
            <w:pPr>
              <w:jc w:val="right"/>
              <w:ind w:right="22"/>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(10,762</w:t>
            </w:r>
          </w:p>
        </w:tc>
        <w:tc>
          <w:tcPr>
            <w:tcW w:w="40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61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(loss) income per share attributable to common stockholders, basic and</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80" w:type="dxa"/>
            <w:vAlign w:val="bottom"/>
            <w:vMerge w:val="restart"/>
          </w:tcPr>
          <w:p>
            <w:pPr>
              <w:spacing w:after="0"/>
              <w:rPr>
                <w:sz w:val="20"/>
                <w:szCs w:val="20"/>
                <w:color w:val="auto"/>
              </w:rPr>
            </w:pPr>
            <w:r>
              <w:rPr>
                <w:rFonts w:ascii="Arial" w:cs="Arial" w:eastAsia="Arial" w:hAnsi="Arial"/>
                <w:sz w:val="18"/>
                <w:szCs w:val="18"/>
                <w:color w:val="auto"/>
                <w:w w:val="93"/>
              </w:rPr>
              <w:t>Weighted-average shares used to compute net (loss) income per share attributable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6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to common stockholders, basic</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rPr>
              <w:t>61,321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91"/>
              <w:spacing w:after="0"/>
              <w:rPr>
                <w:sz w:val="20"/>
                <w:szCs w:val="20"/>
                <w:color w:val="auto"/>
              </w:rPr>
            </w:pPr>
            <w:r>
              <w:rPr>
                <w:rFonts w:ascii="Arial" w:cs="Arial" w:eastAsia="Arial" w:hAnsi="Arial"/>
                <w:sz w:val="18"/>
                <w:szCs w:val="18"/>
                <w:color w:val="auto"/>
              </w:rPr>
              <w:t>70,951</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67,856</w:t>
            </w:r>
          </w:p>
        </w:tc>
        <w:tc>
          <w:tcPr>
            <w:tcW w:w="160" w:type="dxa"/>
            <w:vAlign w:val="bottom"/>
          </w:tcPr>
          <w:p>
            <w:pPr>
              <w:spacing w:after="0"/>
              <w:rPr>
                <w:sz w:val="19"/>
                <w:szCs w:val="19"/>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79,566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61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3"/>
              </w:rPr>
              <w:t>Weighted-average shares used to compute net (loss) income per share attributable</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common stockholders, diluted</w:t>
            </w:r>
            <w:r>
              <w:rPr>
                <w:rFonts w:ascii="Arial" w:cs="Arial" w:eastAsia="Arial" w:hAnsi="Arial"/>
                <w:sz w:val="15"/>
                <w:szCs w:val="15"/>
                <w:color w:val="auto"/>
              </w:rPr>
              <w:t>(4)</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61,321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70,951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81,528</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79,566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8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6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31"/>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 w:type="dxa"/>
            <w:vAlign w:val="bottom"/>
          </w:tcPr>
          <w:p>
            <w:pPr>
              <w:spacing w:after="0"/>
              <w:rPr>
                <w:sz w:val="16"/>
                <w:szCs w:val="16"/>
                <w:color w:val="auto"/>
              </w:rPr>
            </w:pPr>
          </w:p>
        </w:tc>
        <w:tc>
          <w:tcPr>
            <w:tcW w:w="61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2"/>
              </w:rPr>
              <w:t>Weighted-average shares used to compute pro forma net loss per share attributable</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w w:val="95"/>
              </w:rPr>
              <w:t>250,766</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2"/>
              </w:rPr>
              <w:t>259,141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8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6360" w:type="dxa"/>
            <w:vAlign w:val="bottom"/>
            <w:gridSpan w:val="2"/>
          </w:tcPr>
          <w:p>
            <w:pPr>
              <w:jc w:val="right"/>
              <w:ind w:right="73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200660</wp:posOffset>
            </wp:positionV>
            <wp:extent cx="6937375" cy="5934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7375" cy="593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60" w:hanging="425"/>
        <w:spacing w:after="0"/>
        <w:tabs>
          <w:tab w:leader="none" w:pos="8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9"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Six Months Ended</w:t>
            </w:r>
          </w:p>
        </w:tc>
      </w:tr>
      <w:tr>
        <w:trPr>
          <w:trHeight w:val="170"/>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96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1"/>
        </w:trPr>
        <w:tc>
          <w:tcPr>
            <w:tcW w:w="5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9"/>
              <w:spacing w:after="0" w:line="141"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9"/>
              <w:spacing w:after="0" w:line="141"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9"/>
              <w:spacing w:after="0" w:line="141"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9"/>
              <w:spacing w:after="0" w:line="141"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41"/>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right"/>
              <w:ind w:right="680"/>
              <w:spacing w:after="0" w:line="141"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56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Cost of revenue</w:t>
            </w: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80"/>
              <w:spacing w:after="0" w:line="147" w:lineRule="exact"/>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211</w:t>
            </w:r>
          </w:p>
        </w:tc>
      </w:tr>
      <w:tr>
        <w:trPr>
          <w:trHeight w:val="147"/>
        </w:trPr>
        <w:tc>
          <w:tcPr>
            <w:tcW w:w="5660" w:type="dxa"/>
            <w:vAlign w:val="bottom"/>
          </w:tcPr>
          <w:p>
            <w:pPr>
              <w:ind w:left="20"/>
              <w:spacing w:after="0" w:line="147" w:lineRule="exact"/>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2"/>
                <w:szCs w:val="12"/>
                <w:color w:val="auto"/>
              </w:rPr>
            </w:pPr>
          </w:p>
        </w:tc>
        <w:tc>
          <w:tcPr>
            <w:tcW w:w="7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1,160</w:t>
            </w:r>
          </w:p>
        </w:tc>
        <w:tc>
          <w:tcPr>
            <w:tcW w:w="100" w:type="dxa"/>
            <w:vAlign w:val="bottom"/>
          </w:tcPr>
          <w:p>
            <w:pPr>
              <w:spacing w:after="0"/>
              <w:rPr>
                <w:sz w:val="12"/>
                <w:szCs w:val="12"/>
                <w:color w:val="auto"/>
              </w:rPr>
            </w:pPr>
          </w:p>
        </w:tc>
        <w:tc>
          <w:tcPr>
            <w:tcW w:w="8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1,641</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544</w:t>
            </w: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1,775</w:t>
            </w:r>
          </w:p>
        </w:tc>
      </w:tr>
      <w:tr>
        <w:trPr>
          <w:trHeight w:val="147"/>
        </w:trPr>
        <w:tc>
          <w:tcPr>
            <w:tcW w:w="56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7" w:lineRule="exact"/>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1,736</w:t>
            </w:r>
          </w:p>
        </w:tc>
      </w:tr>
      <w:tr>
        <w:trPr>
          <w:trHeight w:val="147"/>
        </w:trPr>
        <w:tc>
          <w:tcPr>
            <w:tcW w:w="5660" w:type="dxa"/>
            <w:vAlign w:val="bottom"/>
          </w:tcPr>
          <w:p>
            <w:pPr>
              <w:ind w:left="20"/>
              <w:spacing w:after="0" w:line="147"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Arial" w:cs="Arial" w:eastAsia="Arial" w:hAnsi="Arial"/>
                <w:sz w:val="14"/>
                <w:szCs w:val="14"/>
                <w:color w:val="auto"/>
              </w:rPr>
              <w:t>819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line="147" w:lineRule="exact"/>
              <w:rPr>
                <w:sz w:val="20"/>
                <w:szCs w:val="20"/>
                <w:color w:val="auto"/>
              </w:rPr>
            </w:pPr>
            <w:r>
              <w:rPr>
                <w:rFonts w:ascii="Arial" w:cs="Arial" w:eastAsia="Arial" w:hAnsi="Arial"/>
                <w:sz w:val="14"/>
                <w:szCs w:val="14"/>
                <w:color w:val="auto"/>
              </w:rPr>
              <w:t>1,406</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372</w:t>
            </w:r>
          </w:p>
        </w:tc>
        <w:tc>
          <w:tcPr>
            <w:tcW w:w="100" w:type="dxa"/>
            <w:vAlign w:val="bottom"/>
          </w:tcPr>
          <w:p>
            <w:pPr>
              <w:spacing w:after="0"/>
              <w:rPr>
                <w:sz w:val="12"/>
                <w:szCs w:val="12"/>
                <w:color w:val="auto"/>
              </w:rPr>
            </w:pPr>
          </w:p>
        </w:tc>
        <w:tc>
          <w:tcPr>
            <w:tcW w:w="4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1,617</w:t>
            </w:r>
          </w:p>
        </w:tc>
      </w:tr>
      <w:tr>
        <w:trPr>
          <w:trHeight w:val="27"/>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7"/>
        </w:trPr>
        <w:tc>
          <w:tcPr>
            <w:tcW w:w="566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Total stock-based compensation expense</w:t>
            </w: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3,068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80"/>
              <w:spacing w:after="0" w:line="147" w:lineRule="exact"/>
              <w:rPr>
                <w:sz w:val="20"/>
                <w:szCs w:val="20"/>
                <w:color w:val="auto"/>
              </w:rPr>
            </w:pPr>
            <w:r>
              <w:rPr>
                <w:rFonts w:ascii="Arial" w:cs="Arial" w:eastAsia="Arial" w:hAnsi="Arial"/>
                <w:sz w:val="14"/>
                <w:szCs w:val="14"/>
                <w:color w:val="auto"/>
              </w:rPr>
              <w:t>5,244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1,743</w:t>
            </w: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5,339</w:t>
            </w:r>
          </w:p>
        </w:tc>
      </w:tr>
      <w:tr>
        <w:trPr>
          <w:trHeight w:val="20"/>
        </w:trPr>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6" w:lineRule="exact"/>
        <w:rPr>
          <w:sz w:val="20"/>
          <w:szCs w:val="20"/>
          <w:color w:val="auto"/>
        </w:rPr>
      </w:pPr>
    </w:p>
    <w:p>
      <w:pPr>
        <w:ind w:left="860" w:hanging="425"/>
        <w:spacing w:after="0"/>
        <w:tabs>
          <w:tab w:leader="none" w:pos="8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09"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5980" w:type="dxa"/>
            <w:vAlign w:val="bottom"/>
          </w:tcPr>
          <w:p>
            <w:pPr>
              <w:spacing w:after="0"/>
              <w:rPr>
                <w:sz w:val="14"/>
                <w:szCs w:val="14"/>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left="329"/>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1"/>
        </w:trPr>
        <w:tc>
          <w:tcPr>
            <w:tcW w:w="59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89"/>
              <w:spacing w:after="0" w:line="141"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jc w:val="right"/>
              <w:ind w:right="29"/>
              <w:spacing w:after="0" w:line="141"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9"/>
              <w:spacing w:after="0" w:line="141"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9"/>
              <w:spacing w:after="0" w:line="141" w:lineRule="exact"/>
              <w:rPr>
                <w:sz w:val="20"/>
                <w:szCs w:val="20"/>
                <w:color w:val="auto"/>
              </w:rPr>
            </w:pPr>
            <w:r>
              <w:rPr>
                <w:rFonts w:ascii="Arial" w:cs="Arial" w:eastAsia="Arial" w:hAnsi="Arial"/>
                <w:sz w:val="14"/>
                <w:szCs w:val="14"/>
                <w:b w:val="1"/>
                <w:bCs w:val="1"/>
                <w:color w:val="auto"/>
                <w:w w:val="83"/>
              </w:rPr>
              <w:t>2019</w:t>
            </w:r>
          </w:p>
        </w:tc>
        <w:tc>
          <w:tcPr>
            <w:tcW w:w="40" w:type="dxa"/>
            <w:vAlign w:val="bottom"/>
          </w:tcPr>
          <w:p>
            <w:pPr>
              <w:spacing w:after="0"/>
              <w:rPr>
                <w:sz w:val="12"/>
                <w:szCs w:val="12"/>
                <w:color w:val="auto"/>
              </w:rPr>
            </w:pPr>
          </w:p>
        </w:tc>
      </w:tr>
      <w:tr>
        <w:trPr>
          <w:trHeight w:val="141"/>
        </w:trPr>
        <w:tc>
          <w:tcPr>
            <w:tcW w:w="5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3"/>
          </w:tcPr>
          <w:p>
            <w:pPr>
              <w:ind w:left="380"/>
              <w:spacing w:after="0" w:line="141"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59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Cost of revenue</w:t>
            </w:r>
          </w:p>
        </w:tc>
        <w:tc>
          <w:tcPr>
            <w:tcW w:w="660" w:type="dxa"/>
            <w:vAlign w:val="bottom"/>
            <w:shd w:val="clear" w:color="auto" w:fill="CCEEFF"/>
          </w:tcPr>
          <w:p>
            <w:pPr>
              <w:jc w:val="right"/>
              <w:ind w:right="89"/>
              <w:spacing w:after="0" w:line="147" w:lineRule="exact"/>
              <w:rPr>
                <w:sz w:val="20"/>
                <w:szCs w:val="20"/>
                <w:color w:val="auto"/>
              </w:rPr>
            </w:pPr>
            <w:r>
              <w:rPr>
                <w:rFonts w:ascii="Arial" w:cs="Arial" w:eastAsia="Arial" w:hAnsi="Arial"/>
                <w:sz w:val="14"/>
                <w:szCs w:val="14"/>
                <w:color w:val="auto"/>
              </w:rPr>
              <w:t>$   484</w:t>
            </w: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   511</w:t>
            </w:r>
          </w:p>
        </w:tc>
        <w:tc>
          <w:tcPr>
            <w:tcW w:w="680" w:type="dxa"/>
            <w:vAlign w:val="bottom"/>
            <w:shd w:val="clear" w:color="auto" w:fill="CCEEFF"/>
          </w:tcPr>
          <w:p>
            <w:pPr>
              <w:jc w:val="right"/>
              <w:ind w:right="89"/>
              <w:spacing w:after="0" w:line="147" w:lineRule="exact"/>
              <w:rPr>
                <w:sz w:val="20"/>
                <w:szCs w:val="20"/>
                <w:color w:val="auto"/>
              </w:rPr>
            </w:pPr>
            <w:r>
              <w:rPr>
                <w:rFonts w:ascii="Arial" w:cs="Arial" w:eastAsia="Arial" w:hAnsi="Arial"/>
                <w:sz w:val="14"/>
                <w:szCs w:val="14"/>
                <w:color w:val="auto"/>
              </w:rPr>
              <w:t>$   220</w:t>
            </w:r>
          </w:p>
        </w:tc>
        <w:tc>
          <w:tcPr>
            <w:tcW w:w="2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352</w:t>
            </w:r>
          </w:p>
        </w:tc>
      </w:tr>
    </w:tbl>
    <w:p>
      <w:pPr>
        <w:spacing w:after="0" w:line="222" w:lineRule="exact"/>
        <w:rPr>
          <w:sz w:val="20"/>
          <w:szCs w:val="20"/>
          <w:color w:val="auto"/>
        </w:rPr>
      </w:pPr>
    </w:p>
    <w:p>
      <w:pPr>
        <w:ind w:left="860" w:right="240" w:hanging="425"/>
        <w:spacing w:after="0" w:line="225" w:lineRule="auto"/>
        <w:tabs>
          <w:tab w:leader="none" w:pos="8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six months ended June 30, 2019. See Note 7 to our consolidated financial statements included elsewhere in this prospectus for further discussion.</w:t>
      </w:r>
    </w:p>
    <w:p>
      <w:pPr>
        <w:ind w:left="860" w:right="140" w:hanging="425"/>
        <w:spacing w:after="0" w:line="230" w:lineRule="auto"/>
        <w:tabs>
          <w:tab w:leader="none" w:pos="8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12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June 30, 2019</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vMerge w:val="restart"/>
          </w:tcPr>
          <w:p>
            <w:pPr>
              <w:jc w:val="center"/>
              <w:ind w:right="496"/>
              <w:spacing w:after="0"/>
              <w:rPr>
                <w:sz w:val="20"/>
                <w:szCs w:val="20"/>
                <w:color w:val="auto"/>
              </w:rPr>
            </w:pPr>
            <w:r>
              <w:rPr>
                <w:rFonts w:ascii="Arial" w:cs="Arial" w:eastAsia="Arial" w:hAnsi="Arial"/>
                <w:sz w:val="14"/>
                <w:szCs w:val="14"/>
                <w:b w:val="1"/>
                <w:bCs w:val="1"/>
                <w:color w:val="auto"/>
                <w:w w:val="94"/>
              </w:rPr>
              <w:t>Pro</w:t>
            </w:r>
          </w:p>
        </w:tc>
        <w:tc>
          <w:tcPr>
            <w:tcW w:w="440" w:type="dxa"/>
            <w:vAlign w:val="bottom"/>
          </w:tcPr>
          <w:p>
            <w:pPr>
              <w:spacing w:after="0"/>
              <w:rPr>
                <w:sz w:val="10"/>
                <w:szCs w:val="10"/>
                <w:color w:val="auto"/>
              </w:rPr>
            </w:pPr>
          </w:p>
        </w:tc>
        <w:tc>
          <w:tcPr>
            <w:tcW w:w="860" w:type="dxa"/>
            <w:vAlign w:val="bottom"/>
          </w:tcPr>
          <w:p>
            <w:pPr>
              <w:ind w:left="40"/>
              <w:spacing w:after="0" w:line="118"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Actual</w:t>
            </w:r>
          </w:p>
        </w:tc>
        <w:tc>
          <w:tcPr>
            <w:tcW w:w="5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60" w:type="dxa"/>
            <w:vAlign w:val="bottom"/>
            <w:gridSpan w:val="3"/>
          </w:tcPr>
          <w:p>
            <w:pPr>
              <w:ind w:left="380"/>
              <w:spacing w:after="0" w:line="143" w:lineRule="exact"/>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(2)</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96"/>
              <w:spacing w:after="0"/>
              <w:rPr>
                <w:sz w:val="20"/>
                <w:szCs w:val="20"/>
                <w:color w:val="auto"/>
              </w:rPr>
            </w:pPr>
            <w:r>
              <w:rPr>
                <w:rFonts w:ascii="Arial" w:cs="Arial" w:eastAsia="Arial" w:hAnsi="Arial"/>
                <w:sz w:val="14"/>
                <w:szCs w:val="14"/>
                <w:b w:val="1"/>
                <w:bCs w:val="1"/>
                <w:color w:val="auto"/>
                <w:w w:val="93"/>
              </w:rPr>
              <w:t>Forma</w:t>
            </w:r>
            <w:r>
              <w:rPr>
                <w:rFonts w:ascii="Arial" w:cs="Arial" w:eastAsia="Arial" w:hAnsi="Arial"/>
                <w:sz w:val="12"/>
                <w:szCs w:val="12"/>
                <w:b w:val="1"/>
                <w:bCs w:val="1"/>
                <w:color w:val="auto"/>
                <w:w w:val="93"/>
              </w:rPr>
              <w:t>(1)</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274"/>
              <w:spacing w:after="0"/>
              <w:rPr>
                <w:sz w:val="20"/>
                <w:szCs w:val="20"/>
                <w:color w:val="auto"/>
              </w:rPr>
            </w:pPr>
            <w:r>
              <w:rPr>
                <w:rFonts w:ascii="Arial" w:cs="Arial" w:eastAsia="Arial" w:hAnsi="Arial"/>
                <w:sz w:val="18"/>
                <w:szCs w:val="18"/>
                <w:color w:val="auto"/>
              </w:rPr>
              <w:t>52,286</w:t>
            </w:r>
          </w:p>
        </w:tc>
        <w:tc>
          <w:tcPr>
            <w:tcW w:w="54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6"/>
              <w:spacing w:after="0"/>
              <w:rPr>
                <w:sz w:val="20"/>
                <w:szCs w:val="20"/>
                <w:color w:val="auto"/>
              </w:rPr>
            </w:pPr>
            <w:r>
              <w:rPr>
                <w:rFonts w:ascii="Arial" w:cs="Arial" w:eastAsia="Arial" w:hAnsi="Arial"/>
                <w:sz w:val="18"/>
                <w:szCs w:val="18"/>
                <w:color w:val="auto"/>
              </w:rPr>
              <w:t>52,286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w w:val="92"/>
              </w:rPr>
              <w:t>618,286</w:t>
            </w: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261,759</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261,759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2"/>
              </w:rPr>
              <w:t>827,759</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200" w:type="dxa"/>
            <w:vAlign w:val="bottom"/>
          </w:tcPr>
          <w:p>
            <w:pPr>
              <w:spacing w:after="0"/>
              <w:rPr>
                <w:sz w:val="18"/>
                <w:szCs w:val="18"/>
                <w:color w:val="auto"/>
              </w:rPr>
            </w:pP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(10,764)</w:t>
            </w:r>
          </w:p>
        </w:tc>
        <w:tc>
          <w:tcPr>
            <w:tcW w:w="540" w:type="dxa"/>
            <w:vAlign w:val="bottom"/>
          </w:tcPr>
          <w:p>
            <w:pPr>
              <w:spacing w:after="0"/>
              <w:rPr>
                <w:sz w:val="18"/>
                <w:szCs w:val="18"/>
                <w:color w:val="auto"/>
              </w:rPr>
            </w:pPr>
          </w:p>
        </w:tc>
        <w:tc>
          <w:tcPr>
            <w:tcW w:w="1240" w:type="dxa"/>
            <w:vAlign w:val="bottom"/>
          </w:tcPr>
          <w:p>
            <w:pPr>
              <w:jc w:val="right"/>
              <w:ind w:right="276"/>
              <w:spacing w:after="0"/>
              <w:rPr>
                <w:sz w:val="20"/>
                <w:szCs w:val="20"/>
                <w:color w:val="auto"/>
              </w:rPr>
            </w:pPr>
            <w:r>
              <w:rPr>
                <w:rFonts w:ascii="Arial" w:cs="Arial" w:eastAsia="Arial" w:hAnsi="Arial"/>
                <w:sz w:val="18"/>
                <w:szCs w:val="18"/>
                <w:color w:val="auto"/>
              </w:rPr>
              <w:t>(10,764)</w:t>
            </w:r>
          </w:p>
        </w:tc>
        <w:tc>
          <w:tcPr>
            <w:tcW w:w="44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w w:val="92"/>
              </w:rPr>
              <w:t>555,236</w:t>
            </w: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140,752</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20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Arial" w:cs="Arial" w:eastAsia="Arial" w:hAnsi="Arial"/>
                <w:sz w:val="18"/>
                <w:szCs w:val="18"/>
                <w:color w:val="auto"/>
              </w:rPr>
              <w:t>(79,223)</w:t>
            </w:r>
          </w:p>
        </w:tc>
        <w:tc>
          <w:tcPr>
            <w:tcW w:w="540" w:type="dxa"/>
            <w:vAlign w:val="bottom"/>
          </w:tcPr>
          <w:p>
            <w:pPr>
              <w:spacing w:after="0"/>
              <w:rPr>
                <w:sz w:val="19"/>
                <w:szCs w:val="19"/>
                <w:color w:val="auto"/>
              </w:rPr>
            </w:pPr>
          </w:p>
        </w:tc>
        <w:tc>
          <w:tcPr>
            <w:tcW w:w="1240" w:type="dxa"/>
            <w:vAlign w:val="bottom"/>
          </w:tcPr>
          <w:p>
            <w:pPr>
              <w:jc w:val="right"/>
              <w:ind w:right="336"/>
              <w:spacing w:after="0"/>
              <w:rPr>
                <w:sz w:val="20"/>
                <w:szCs w:val="20"/>
                <w:color w:val="auto"/>
              </w:rPr>
            </w:pPr>
            <w:r>
              <w:rPr>
                <w:rFonts w:ascii="Arial" w:cs="Arial" w:eastAsia="Arial" w:hAnsi="Arial"/>
                <w:sz w:val="18"/>
                <w:szCs w:val="18"/>
                <w:color w:val="auto"/>
              </w:rPr>
              <w:t>61,529</w:t>
            </w:r>
          </w:p>
        </w:tc>
        <w:tc>
          <w:tcPr>
            <w:tcW w:w="44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w w:val="92"/>
              </w:rPr>
              <w:t>627,529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860" w:right="40" w:hanging="425"/>
        <w:spacing w:after="0" w:line="225" w:lineRule="auto"/>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(a) the reclassification of our outstanding common stock into Class B common stock, (b) the automatic conversion of all of our outstanding shares of convertible preferred stock into 179,011,431 shares of Class B common stock, and (c) the filing and effectiveness of our amended and restated certificate of incorporation, each of which will occur immediately prior to the completion of this offering.</w:t>
      </w:r>
    </w:p>
    <w:p>
      <w:pPr>
        <w:jc w:val="both"/>
        <w:ind w:left="860" w:right="260" w:hanging="425"/>
        <w:spacing w:after="0" w:line="236" w:lineRule="auto"/>
        <w:tabs>
          <w:tab w:leader="none" w:pos="8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pro forma as adjusted consolidated balance sheet data reflects (a) the items described in footnote (1) above and (b) our receipt of estimated net proceeds from the sale of shares of Class A common stock that we are offering at an assumed initial public offering price of $25.00 per share, the midpoint of the estimated price range set forth on the cover page of this prospectus, after deducting the estimated underwriting discounts and commissions and estimated offering expenses.</w:t>
      </w:r>
    </w:p>
    <w:p>
      <w:pPr>
        <w:ind w:left="860" w:right="40" w:hanging="425"/>
        <w:spacing w:after="0" w:line="255" w:lineRule="auto"/>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 $1.00 increase or decrease in the assumed initial public offering price of $25.00 per share, the midpoint of the estimated price range set forth on the cover page of this prospectus, would increase or decrease, respectively, each of cash, total assets, working capital and total stockholders’ (deficit) equity by $22.8 million or $24.0 million, respectively, assuming that the number of shares offered by us, as set forth on the cover page of this prospectus, remains the same, and after deducting the estimated underwriting discounts and commissions. Similarly, each increase or decrease of 1,000,000 shares in the number of shares of Class A common stock offered by us would increase or decrease, respectively, each of cash, total assets, working capital and total stockholders’ (deficit) equity by $23.8 million or $25.0 million, respectively, assuming the assumed initial public offering price of $25.00 per share of Class A common stock remains the same, and after deducting the estimated underwriting discounts and commissions.</w:t>
      </w:r>
    </w:p>
    <w:p>
      <w:pPr>
        <w:spacing w:after="0" w:line="3" w:lineRule="exact"/>
        <w:rPr>
          <w:rFonts w:ascii="Arial" w:cs="Arial" w:eastAsia="Arial" w:hAnsi="Arial"/>
          <w:sz w:val="12"/>
          <w:szCs w:val="12"/>
          <w:color w:val="auto"/>
        </w:rPr>
      </w:pPr>
    </w:p>
    <w:p>
      <w:pPr>
        <w:ind w:left="860" w:hanging="425"/>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240" w:top="456" w:right="6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260" w:right="160" w:firstLine="437"/>
        <w:spacing w:after="0" w:line="270"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260" w:right="260"/>
        <w:spacing w:after="0" w:line="271"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5" w:lineRule="exact"/>
        <w:rPr>
          <w:sz w:val="20"/>
          <w:szCs w:val="20"/>
          <w:color w:val="auto"/>
        </w:rPr>
      </w:pPr>
    </w:p>
    <w:p>
      <w:pPr>
        <w:ind w:left="260" w:right="140" w:firstLine="437"/>
        <w:spacing w:after="0" w:line="297" w:lineRule="auto"/>
        <w:rPr>
          <w:sz w:val="20"/>
          <w:szCs w:val="20"/>
          <w:color w:val="auto"/>
        </w:rPr>
      </w:pPr>
      <w:r>
        <w:rPr>
          <w:rFonts w:ascii="Arial" w:cs="Arial" w:eastAsia="Arial" w:hAnsi="Arial"/>
          <w:sz w:val="16"/>
          <w:szCs w:val="16"/>
          <w:color w:val="auto"/>
        </w:rPr>
        <w:t>Our revenue was $100.8 million, $198.1 million, $85.4 million and $153.3 million for the years ended December 31, 2017 and 2018 and the six months ended June 30, 2018 and 2019,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66" w:lineRule="exact"/>
        <w:rPr>
          <w:sz w:val="20"/>
          <w:szCs w:val="20"/>
          <w:color w:val="auto"/>
        </w:rPr>
      </w:pPr>
    </w:p>
    <w:p>
      <w:pPr>
        <w:ind w:left="1220" w:hanging="5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27" w:lineRule="exact"/>
        <w:rPr>
          <w:rFonts w:ascii="Arial" w:cs="Arial" w:eastAsia="Arial" w:hAnsi="Arial"/>
          <w:sz w:val="18"/>
          <w:szCs w:val="18"/>
          <w:color w:val="auto"/>
        </w:rPr>
      </w:pPr>
    </w:p>
    <w:p>
      <w:pPr>
        <w:ind w:left="1220" w:right="580" w:hanging="537"/>
        <w:spacing w:after="0" w:line="271"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1" w:lineRule="exact"/>
        <w:rPr>
          <w:sz w:val="20"/>
          <w:szCs w:val="20"/>
          <w:color w:val="auto"/>
        </w:rPr>
      </w:pPr>
    </w:p>
    <w:p>
      <w:pPr>
        <w:ind w:left="260" w:right="140" w:firstLine="437"/>
        <w:spacing w:after="0" w:line="297" w:lineRule="auto"/>
        <w:rPr>
          <w:sz w:val="20"/>
          <w:szCs w:val="20"/>
          <w:color w:val="auto"/>
        </w:rPr>
      </w:pPr>
      <w:r>
        <w:rPr>
          <w:rFonts w:ascii="Arial" w:cs="Arial" w:eastAsia="Arial" w:hAnsi="Arial"/>
          <w:sz w:val="16"/>
          <w:szCs w:val="16"/>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28" w:lineRule="exact"/>
        <w:rPr>
          <w:sz w:val="20"/>
          <w:szCs w:val="20"/>
          <w:color w:val="auto"/>
        </w:rPr>
      </w:pPr>
    </w:p>
    <w:p>
      <w:pPr>
        <w:ind w:left="1220" w:hanging="537"/>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27" w:lineRule="exact"/>
        <w:rPr>
          <w:rFonts w:ascii="Arial" w:cs="Arial" w:eastAsia="Arial" w:hAnsi="Arial"/>
          <w:sz w:val="18"/>
          <w:szCs w:val="18"/>
          <w:color w:val="auto"/>
        </w:rPr>
      </w:pPr>
    </w:p>
    <w:p>
      <w:pPr>
        <w:ind w:left="1220" w:hanging="537"/>
        <w:spacing w:after="0" w:line="271"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81" w:lineRule="exact"/>
        <w:rPr>
          <w:rFonts w:ascii="Arial" w:cs="Arial" w:eastAsia="Arial" w:hAnsi="Arial"/>
          <w:sz w:val="18"/>
          <w:szCs w:val="18"/>
          <w:color w:val="auto"/>
        </w:rPr>
      </w:pPr>
    </w:p>
    <w:p>
      <w:pPr>
        <w:ind w:left="1220" w:right="40" w:hanging="537"/>
        <w:spacing w:after="0" w:line="271" w:lineRule="auto"/>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24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hanging="537"/>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1" w:lineRule="exact"/>
        <w:rPr>
          <w:sz w:val="20"/>
          <w:szCs w:val="20"/>
          <w:color w:val="auto"/>
        </w:rPr>
      </w:pPr>
    </w:p>
    <w:p>
      <w:pPr>
        <w:ind w:left="260" w:firstLine="437"/>
        <w:spacing w:after="0" w:line="293" w:lineRule="auto"/>
        <w:rPr>
          <w:sz w:val="20"/>
          <w:szCs w:val="20"/>
          <w:color w:val="auto"/>
        </w:rPr>
      </w:pPr>
      <w:r>
        <w:rPr>
          <w:rFonts w:ascii="Arial" w:cs="Arial" w:eastAsia="Arial" w:hAnsi="Arial"/>
          <w:sz w:val="16"/>
          <w:szCs w:val="16"/>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1" w:lineRule="exact"/>
        <w:rPr>
          <w:sz w:val="20"/>
          <w:szCs w:val="20"/>
          <w:color w:val="auto"/>
        </w:rPr>
      </w:pPr>
    </w:p>
    <w:p>
      <w:pPr>
        <w:ind w:left="260" w:firstLine="437"/>
        <w:spacing w:after="0" w:line="284" w:lineRule="auto"/>
        <w:rPr>
          <w:sz w:val="20"/>
          <w:szCs w:val="20"/>
          <w:color w:val="auto"/>
        </w:rPr>
      </w:pPr>
      <w:r>
        <w:rPr>
          <w:rFonts w:ascii="Arial" w:cs="Arial" w:eastAsia="Arial" w:hAnsi="Arial"/>
          <w:sz w:val="16"/>
          <w:szCs w:val="16"/>
          <w:color w:val="auto"/>
        </w:rPr>
        <w:t>We have experienced net losses in each period since inception. We generated net (loss) income of $(2.6) million, $(10.8) million, $0.5 million and $(13.4) million for the years ended December 31, 2017 and 2018 and the six months ended June 30, 2018 and 2019, respectively. As of June 30, 2019, we had an accumulated deficit of $120.3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1" w:lineRule="exact"/>
        <w:rPr>
          <w:sz w:val="20"/>
          <w:szCs w:val="20"/>
          <w:color w:val="auto"/>
        </w:rPr>
      </w:pPr>
    </w:p>
    <w:p>
      <w:pPr>
        <w:ind w:left="260" w:right="40" w:firstLine="437"/>
        <w:spacing w:after="0" w:line="287" w:lineRule="auto"/>
        <w:rPr>
          <w:sz w:val="20"/>
          <w:szCs w:val="20"/>
          <w:color w:val="auto"/>
        </w:rPr>
      </w:pPr>
      <w:r>
        <w:rPr>
          <w:rFonts w:ascii="Arial" w:cs="Arial" w:eastAsia="Arial" w:hAnsi="Arial"/>
          <w:sz w:val="16"/>
          <w:szCs w:val="16"/>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in this prospectus.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67" w:lineRule="exact"/>
        <w:rPr>
          <w:sz w:val="20"/>
          <w:szCs w:val="20"/>
          <w:color w:val="auto"/>
        </w:rPr>
      </w:pPr>
    </w:p>
    <w:p>
      <w:pPr>
        <w:ind w:left="260" w:right="200"/>
        <w:spacing w:after="0" w:line="271"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Any decline in our dollar-based net retention rate would harm our future operating results.</w:t>
      </w:r>
    </w:p>
    <w:p>
      <w:pPr>
        <w:spacing w:after="0" w:line="175" w:lineRule="exact"/>
        <w:rPr>
          <w:sz w:val="20"/>
          <w:szCs w:val="20"/>
          <w:color w:val="auto"/>
        </w:rPr>
      </w:pPr>
    </w:p>
    <w:p>
      <w:pPr>
        <w:ind w:left="260" w:right="560" w:firstLine="437"/>
        <w:spacing w:after="0" w:line="271" w:lineRule="auto"/>
        <w:rPr>
          <w:sz w:val="20"/>
          <w:szCs w:val="20"/>
          <w:color w:val="auto"/>
        </w:rPr>
      </w:pPr>
      <w:r>
        <w:rPr>
          <w:rFonts w:ascii="Arial" w:cs="Arial" w:eastAsia="Arial" w:hAnsi="Arial"/>
          <w:sz w:val="18"/>
          <w:szCs w:val="18"/>
          <w:color w:val="auto"/>
        </w:rPr>
        <w:t>Our future success depends in part on our ability to sell additional subscriptions and products to our existing customers, and our customers renewing their subscriptions when the contract term expires. The terms of our</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456"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spacing w:after="0" w:line="284" w:lineRule="auto"/>
        <w:rPr>
          <w:sz w:val="20"/>
          <w:szCs w:val="20"/>
          <w:color w:val="auto"/>
        </w:rPr>
      </w:pPr>
      <w:r>
        <w:rPr>
          <w:rFonts w:ascii="Arial" w:cs="Arial" w:eastAsia="Arial" w:hAnsi="Arial"/>
          <w:sz w:val="16"/>
          <w:szCs w:val="16"/>
          <w:color w:val="auto"/>
        </w:rPr>
        <w:t>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We cannot accurately predict our dollar-based net retention rate given the diversity of our customer base, in terms of size, industry and geography. Our dollar-based net retention rate may decline or fluctuate as a result of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or reductions in our customers’ spending on IT solutions or their spending levels generally.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are unable to attract new customers, our business, financial condition and results of operations will be adversely affected.</w:t>
      </w:r>
    </w:p>
    <w:p>
      <w:pPr>
        <w:spacing w:after="0" w:line="233" w:lineRule="exact"/>
        <w:rPr>
          <w:sz w:val="20"/>
          <w:szCs w:val="20"/>
          <w:color w:val="auto"/>
        </w:rPr>
      </w:pPr>
    </w:p>
    <w:p>
      <w:pPr>
        <w:ind w:left="260" w:firstLine="437"/>
        <w:spacing w:after="0" w:line="285" w:lineRule="auto"/>
        <w:rPr>
          <w:sz w:val="20"/>
          <w:szCs w:val="20"/>
          <w:color w:val="auto"/>
        </w:rPr>
      </w:pPr>
      <w:r>
        <w:rPr>
          <w:rFonts w:ascii="Arial" w:cs="Arial" w:eastAsia="Arial" w:hAnsi="Arial"/>
          <w:sz w:val="16"/>
          <w:szCs w:val="16"/>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0" w:lineRule="exact"/>
        <w:rPr>
          <w:sz w:val="20"/>
          <w:szCs w:val="20"/>
          <w:color w:val="auto"/>
        </w:rPr>
      </w:pPr>
    </w:p>
    <w:p>
      <w:pPr>
        <w:ind w:left="260" w:right="340"/>
        <w:spacing w:after="0" w:line="271"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5" w:lineRule="exact"/>
        <w:rPr>
          <w:sz w:val="20"/>
          <w:szCs w:val="20"/>
          <w:color w:val="auto"/>
        </w:rPr>
      </w:pPr>
    </w:p>
    <w:p>
      <w:pPr>
        <w:ind w:left="260" w:right="20" w:firstLine="437"/>
        <w:spacing w:after="0" w:line="268"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60"/>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86" w:lineRule="exact"/>
        <w:rPr>
          <w:sz w:val="20"/>
          <w:szCs w:val="20"/>
          <w:color w:val="auto"/>
        </w:rPr>
      </w:pPr>
    </w:p>
    <w:p>
      <w:pPr>
        <w:ind w:left="260" w:right="40" w:firstLine="437"/>
        <w:spacing w:after="0" w:line="283" w:lineRule="auto"/>
        <w:rPr>
          <w:sz w:val="20"/>
          <w:szCs w:val="20"/>
          <w:color w:val="auto"/>
        </w:rPr>
      </w:pPr>
      <w:r>
        <w:rPr>
          <w:rFonts w:ascii="Arial" w:cs="Arial" w:eastAsia="Arial" w:hAnsi="Arial"/>
          <w:sz w:val="16"/>
          <w:szCs w:val="16"/>
          <w:color w:val="auto"/>
        </w:rPr>
        <w:t>Our platform and products involve the storage and transmission of data, including personally identifiable information, and security breaches or unauthorized access to our platform and products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we reset customer passwords and instructed customers to revoke credentials that had been shared with us.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personally identifiable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71" w:lineRule="exact"/>
        <w:rPr>
          <w:sz w:val="20"/>
          <w:szCs w:val="20"/>
          <w:color w:val="auto"/>
        </w:rPr>
      </w:pPr>
    </w:p>
    <w:p>
      <w:pPr>
        <w:ind w:left="260" w:firstLine="437"/>
        <w:spacing w:after="0" w:line="272" w:lineRule="auto"/>
        <w:rPr>
          <w:sz w:val="20"/>
          <w:szCs w:val="20"/>
          <w:color w:val="auto"/>
        </w:rPr>
      </w:pPr>
      <w:r>
        <w:rPr>
          <w:rFonts w:ascii="Arial" w:cs="Arial" w:eastAsia="Arial" w:hAnsi="Arial"/>
          <w:sz w:val="17"/>
          <w:szCs w:val="17"/>
          <w:color w:val="auto"/>
        </w:rPr>
        <w:t>We also process, store and transmit our own data as part of our business and operations. This data may include personally identifiable, confidential or proprietary information. 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77" w:lineRule="exact"/>
        <w:rPr>
          <w:sz w:val="20"/>
          <w:szCs w:val="20"/>
          <w:color w:val="auto"/>
        </w:rPr>
      </w:pPr>
    </w:p>
    <w:p>
      <w:pPr>
        <w:ind w:left="260" w:right="60" w:firstLine="437"/>
        <w:spacing w:after="0" w:line="251" w:lineRule="auto"/>
        <w:rPr>
          <w:sz w:val="20"/>
          <w:szCs w:val="20"/>
          <w:color w:val="auto"/>
        </w:rPr>
      </w:pPr>
      <w:r>
        <w:rPr>
          <w:rFonts w:ascii="Arial" w:cs="Arial" w:eastAsia="Arial" w:hAnsi="Arial"/>
          <w:sz w:val="18"/>
          <w:szCs w:val="18"/>
          <w:color w:val="auto"/>
        </w:rPr>
        <w:t>Because there are many different security breach techniques and such techniques continue to evolve, we may be unable to anticipate attempted security breaches, react in a timely manner or implement adequate preventative measures. 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95" w:lineRule="exact"/>
        <w:rPr>
          <w:sz w:val="20"/>
          <w:szCs w:val="20"/>
          <w:color w:val="auto"/>
        </w:rPr>
      </w:pPr>
    </w:p>
    <w:p>
      <w:pPr>
        <w:ind w:left="260" w:right="100" w:firstLine="437"/>
        <w:spacing w:after="0" w:line="275" w:lineRule="auto"/>
        <w:rPr>
          <w:sz w:val="20"/>
          <w:szCs w:val="20"/>
          <w:color w:val="auto"/>
        </w:rPr>
      </w:pPr>
      <w:r>
        <w:rPr>
          <w:rFonts w:ascii="Arial" w:cs="Arial" w:eastAsia="Arial" w:hAnsi="Arial"/>
          <w:sz w:val="17"/>
          <w:szCs w:val="17"/>
          <w:color w:val="auto"/>
        </w:rPr>
        <w:t>We use third-party technology and systems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300" w:firstLine="437"/>
        <w:spacing w:after="0" w:line="272" w:lineRule="auto"/>
        <w:rPr>
          <w:sz w:val="20"/>
          <w:szCs w:val="20"/>
          <w:color w:val="auto"/>
        </w:rPr>
      </w:pPr>
      <w:r>
        <w:rPr>
          <w:rFonts w:ascii="Arial" w:cs="Arial" w:eastAsia="Arial" w:hAnsi="Arial"/>
          <w:sz w:val="17"/>
          <w:szCs w:val="17"/>
          <w:color w:val="auto"/>
        </w:rPr>
        <w:t>Additionally,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77" w:lineRule="exact"/>
        <w:rPr>
          <w:sz w:val="20"/>
          <w:szCs w:val="20"/>
          <w:color w:val="auto"/>
        </w:rPr>
      </w:pPr>
    </w:p>
    <w:p>
      <w:pPr>
        <w:ind w:left="260"/>
        <w:spacing w:after="0" w:line="271"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5" w:lineRule="exact"/>
        <w:rPr>
          <w:sz w:val="20"/>
          <w:szCs w:val="20"/>
          <w:color w:val="auto"/>
        </w:rPr>
      </w:pPr>
    </w:p>
    <w:p>
      <w:pPr>
        <w:ind w:left="260" w:right="40" w:firstLine="437"/>
        <w:spacing w:after="0" w:line="254"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9" w:lineRule="exact"/>
        <w:rPr>
          <w:sz w:val="20"/>
          <w:szCs w:val="20"/>
          <w:color w:val="auto"/>
        </w:rPr>
      </w:pPr>
    </w:p>
    <w:p>
      <w:pPr>
        <w:ind w:left="260" w:right="120" w:firstLine="437"/>
        <w:spacing w:after="0" w:line="269" w:lineRule="auto"/>
        <w:rPr>
          <w:sz w:val="20"/>
          <w:szCs w:val="20"/>
          <w:color w:val="auto"/>
        </w:rPr>
      </w:pPr>
      <w:r>
        <w:rPr>
          <w:rFonts w:ascii="Arial" w:cs="Arial" w:eastAsia="Arial" w:hAnsi="Arial"/>
          <w:sz w:val="17"/>
          <w:szCs w:val="17"/>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79" w:lineRule="exact"/>
        <w:rPr>
          <w:sz w:val="20"/>
          <w:szCs w:val="20"/>
          <w:color w:val="auto"/>
        </w:rPr>
      </w:pPr>
    </w:p>
    <w:p>
      <w:pPr>
        <w:ind w:left="260" w:right="620"/>
        <w:spacing w:after="0" w:line="301" w:lineRule="auto"/>
        <w:rPr>
          <w:sz w:val="20"/>
          <w:szCs w:val="20"/>
          <w:color w:val="auto"/>
        </w:rPr>
      </w:pPr>
      <w:r>
        <w:rPr>
          <w:rFonts w:ascii="Arial" w:cs="Arial" w:eastAsia="Arial" w:hAnsi="Arial"/>
          <w:sz w:val="17"/>
          <w:szCs w:val="17"/>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2" w:lineRule="exact"/>
        <w:rPr>
          <w:sz w:val="20"/>
          <w:szCs w:val="20"/>
          <w:color w:val="auto"/>
        </w:rPr>
      </w:pPr>
    </w:p>
    <w:p>
      <w:pPr>
        <w:ind w:left="260" w:right="140" w:firstLine="437"/>
        <w:spacing w:after="0" w:line="288" w:lineRule="auto"/>
        <w:rPr>
          <w:sz w:val="20"/>
          <w:szCs w:val="20"/>
          <w:color w:val="auto"/>
        </w:rPr>
      </w:pPr>
      <w:r>
        <w:rPr>
          <w:rFonts w:ascii="Arial" w:cs="Arial" w:eastAsia="Arial" w:hAnsi="Arial"/>
          <w:sz w:val="16"/>
          <w:szCs w:val="16"/>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67" w:lineRule="exact"/>
        <w:rPr>
          <w:sz w:val="20"/>
          <w:szCs w:val="20"/>
          <w:color w:val="auto"/>
        </w:rPr>
      </w:pPr>
    </w:p>
    <w:p>
      <w:pPr>
        <w:ind w:left="260" w:right="20" w:firstLine="437"/>
        <w:spacing w:after="0" w:line="287" w:lineRule="auto"/>
        <w:rPr>
          <w:sz w:val="20"/>
          <w:szCs w:val="20"/>
          <w:color w:val="auto"/>
        </w:rPr>
      </w:pPr>
      <w:r>
        <w:rPr>
          <w:rFonts w:ascii="Arial" w:cs="Arial" w:eastAsia="Arial" w:hAnsi="Arial"/>
          <w:sz w:val="16"/>
          <w:szCs w:val="16"/>
          <w:color w:val="auto"/>
        </w:rPr>
        <w:t>The success of our platform depends, in part, on its ability to be deployed in a self-service installation process. We currently offer more than 350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spacing w:after="0" w:line="271"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5" w:lineRule="exact"/>
        <w:rPr>
          <w:sz w:val="20"/>
          <w:szCs w:val="20"/>
          <w:color w:val="auto"/>
        </w:rPr>
      </w:pPr>
    </w:p>
    <w:p>
      <w:pPr>
        <w:ind w:left="260" w:right="20" w:firstLine="437"/>
        <w:spacing w:after="0" w:line="286" w:lineRule="auto"/>
        <w:rPr>
          <w:sz w:val="20"/>
          <w:szCs w:val="20"/>
          <w:color w:val="auto"/>
        </w:rPr>
      </w:pPr>
      <w:r>
        <w:rPr>
          <w:rFonts w:ascii="Arial" w:cs="Arial" w:eastAsia="Arial" w:hAnsi="Arial"/>
          <w:sz w:val="16"/>
          <w:szCs w:val="16"/>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Cisco Systems, Inc., New Relic, Inc. and Dynatrace Software Inc. With respect to log management, we compete with Splunk Inc. and Elastic N.V. With respect to cloud monitoring, we compete with native solutions from cloud providers such as Amazon.com, Inc. (Amazon Web Services, or AWS), Alphabet Inc. (Google Cloud Platform, or GCP) and Microsoft Corporation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68" w:lineRule="exact"/>
        <w:rPr>
          <w:sz w:val="20"/>
          <w:szCs w:val="20"/>
          <w:color w:val="auto"/>
        </w:rPr>
      </w:pPr>
    </w:p>
    <w:p>
      <w:pPr>
        <w:ind w:left="260" w:firstLine="437"/>
        <w:spacing w:after="0" w:line="290" w:lineRule="auto"/>
        <w:rPr>
          <w:sz w:val="20"/>
          <w:szCs w:val="20"/>
          <w:color w:val="auto"/>
        </w:rPr>
      </w:pPr>
      <w:r>
        <w:rPr>
          <w:rFonts w:ascii="Arial" w:cs="Arial" w:eastAsia="Arial" w:hAnsi="Arial"/>
          <w:sz w:val="16"/>
          <w:szCs w:val="16"/>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28" w:lineRule="exact"/>
        <w:rPr>
          <w:sz w:val="20"/>
          <w:szCs w:val="20"/>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1" w:lineRule="exact"/>
        <w:rPr>
          <w:sz w:val="20"/>
          <w:szCs w:val="20"/>
          <w:color w:val="auto"/>
        </w:rPr>
      </w:pPr>
    </w:p>
    <w:p>
      <w:pPr>
        <w:ind w:left="260" w:right="20" w:firstLine="437"/>
        <w:spacing w:after="0" w:line="275" w:lineRule="auto"/>
        <w:rPr>
          <w:sz w:val="20"/>
          <w:szCs w:val="20"/>
          <w:color w:val="auto"/>
        </w:rPr>
      </w:pPr>
      <w:r>
        <w:rPr>
          <w:rFonts w:ascii="Arial" w:cs="Arial" w:eastAsia="Arial" w:hAnsi="Arial"/>
          <w:sz w:val="17"/>
          <w:szCs w:val="17"/>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24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spacing w:after="0" w:line="272" w:lineRule="auto"/>
        <w:rPr>
          <w:sz w:val="20"/>
          <w:szCs w:val="20"/>
          <w:color w:val="auto"/>
        </w:rPr>
      </w:pPr>
      <w:r>
        <w:rPr>
          <w:rFonts w:ascii="Arial" w:cs="Arial" w:eastAsia="Arial" w:hAnsi="Arial"/>
          <w:sz w:val="17"/>
          <w:szCs w:val="17"/>
          <w:color w:val="auto"/>
        </w:rPr>
        <w:t>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77" w:lineRule="exact"/>
        <w:rPr>
          <w:sz w:val="20"/>
          <w:szCs w:val="20"/>
          <w:color w:val="auto"/>
        </w:rPr>
      </w:pPr>
    </w:p>
    <w:p>
      <w:pPr>
        <w:ind w:left="260" w:firstLine="437"/>
        <w:spacing w:after="0" w:line="259"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6" w:lineRule="exact"/>
        <w:rPr>
          <w:sz w:val="20"/>
          <w:szCs w:val="20"/>
          <w:color w:val="auto"/>
        </w:rPr>
      </w:pPr>
    </w:p>
    <w:p>
      <w:pPr>
        <w:ind w:left="260" w:right="240"/>
        <w:spacing w:after="0" w:line="271"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5" w:lineRule="exact"/>
        <w:rPr>
          <w:sz w:val="20"/>
          <w:szCs w:val="20"/>
          <w:color w:val="auto"/>
        </w:rPr>
      </w:pPr>
    </w:p>
    <w:p>
      <w:pPr>
        <w:ind w:left="260" w:right="80" w:firstLine="437"/>
        <w:spacing w:after="0" w:line="267" w:lineRule="auto"/>
        <w:rPr>
          <w:sz w:val="20"/>
          <w:szCs w:val="20"/>
          <w:color w:val="auto"/>
        </w:rPr>
      </w:pPr>
      <w:r>
        <w:rPr>
          <w:rFonts w:ascii="Arial" w:cs="Arial" w:eastAsia="Arial" w:hAnsi="Arial"/>
          <w:sz w:val="17"/>
          <w:szCs w:val="17"/>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0" w:lineRule="exact"/>
        <w:rPr>
          <w:sz w:val="20"/>
          <w:szCs w:val="20"/>
          <w:color w:val="auto"/>
        </w:rPr>
      </w:pPr>
    </w:p>
    <w:p>
      <w:pPr>
        <w:ind w:left="260" w:right="320"/>
        <w:spacing w:after="0" w:line="417" w:lineRule="auto"/>
        <w:rPr>
          <w:sz w:val="20"/>
          <w:szCs w:val="20"/>
          <w:color w:val="auto"/>
        </w:rPr>
      </w:pPr>
      <w:r>
        <w:rPr>
          <w:rFonts w:ascii="Arial" w:cs="Arial" w:eastAsia="Arial" w:hAnsi="Arial"/>
          <w:sz w:val="14"/>
          <w:szCs w:val="14"/>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83" w:lineRule="exact"/>
        <w:rPr>
          <w:sz w:val="20"/>
          <w:szCs w:val="20"/>
          <w:color w:val="auto"/>
        </w:rPr>
      </w:pPr>
    </w:p>
    <w:p>
      <w:pPr>
        <w:ind w:left="260" w:right="20" w:firstLine="437"/>
        <w:spacing w:after="0" w:line="284" w:lineRule="auto"/>
        <w:rPr>
          <w:sz w:val="20"/>
          <w:szCs w:val="20"/>
          <w:color w:val="auto"/>
        </w:rPr>
      </w:pPr>
      <w:r>
        <w:rPr>
          <w:rFonts w:ascii="Arial" w:cs="Arial" w:eastAsia="Arial" w:hAnsi="Arial"/>
          <w:sz w:val="16"/>
          <w:szCs w:val="16"/>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71" w:lineRule="exact"/>
        <w:rPr>
          <w:sz w:val="20"/>
          <w:szCs w:val="20"/>
          <w:color w:val="auto"/>
        </w:rPr>
      </w:pPr>
    </w:p>
    <w:p>
      <w:pPr>
        <w:ind w:left="260" w:right="80" w:firstLine="437"/>
        <w:spacing w:after="0" w:line="271"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w:t>
      </w:r>
    </w:p>
    <w:p>
      <w:pPr>
        <w:spacing w:after="0" w:line="1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240" w:top="456"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80"/>
        <w:spacing w:after="0" w:line="259" w:lineRule="auto"/>
        <w:rPr>
          <w:sz w:val="20"/>
          <w:szCs w:val="20"/>
          <w:color w:val="auto"/>
        </w:rPr>
      </w:pPr>
      <w:r>
        <w:rPr>
          <w:rFonts w:ascii="Arial" w:cs="Arial" w:eastAsia="Arial" w:hAnsi="Arial"/>
          <w:sz w:val="18"/>
          <w:szCs w:val="18"/>
          <w:color w:val="auto"/>
        </w:rPr>
        <w:t>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86" w:lineRule="exact"/>
        <w:rPr>
          <w:sz w:val="20"/>
          <w:szCs w:val="20"/>
          <w:color w:val="auto"/>
        </w:rPr>
      </w:pPr>
    </w:p>
    <w:p>
      <w:pPr>
        <w:ind w:left="260" w:right="640"/>
        <w:spacing w:after="0" w:line="417" w:lineRule="auto"/>
        <w:rPr>
          <w:sz w:val="20"/>
          <w:szCs w:val="20"/>
          <w:color w:val="auto"/>
        </w:rPr>
      </w:pPr>
      <w:r>
        <w:rPr>
          <w:rFonts w:ascii="Arial" w:cs="Arial" w:eastAsia="Arial" w:hAnsi="Arial"/>
          <w:sz w:val="14"/>
          <w:szCs w:val="14"/>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83" w:lineRule="exact"/>
        <w:rPr>
          <w:sz w:val="20"/>
          <w:szCs w:val="20"/>
          <w:color w:val="auto"/>
        </w:rPr>
      </w:pPr>
    </w:p>
    <w:p>
      <w:pPr>
        <w:ind w:left="260" w:firstLine="437"/>
        <w:spacing w:after="0" w:line="297"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60" w:lineRule="exact"/>
        <w:rPr>
          <w:sz w:val="20"/>
          <w:szCs w:val="20"/>
          <w:color w:val="auto"/>
        </w:rPr>
      </w:pPr>
    </w:p>
    <w:p>
      <w:pPr>
        <w:ind w:left="260" w:right="540"/>
        <w:spacing w:after="0" w:line="417" w:lineRule="auto"/>
        <w:rPr>
          <w:sz w:val="20"/>
          <w:szCs w:val="20"/>
          <w:color w:val="auto"/>
        </w:rPr>
      </w:pPr>
      <w:r>
        <w:rPr>
          <w:rFonts w:ascii="Arial" w:cs="Arial" w:eastAsia="Arial" w:hAnsi="Arial"/>
          <w:sz w:val="14"/>
          <w:szCs w:val="14"/>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83" w:lineRule="exact"/>
        <w:rPr>
          <w:sz w:val="20"/>
          <w:szCs w:val="20"/>
          <w:color w:val="auto"/>
        </w:rPr>
      </w:pPr>
    </w:p>
    <w:p>
      <w:pPr>
        <w:jc w:val="both"/>
        <w:ind w:left="260" w:right="480" w:firstLine="437"/>
        <w:spacing w:after="0" w:line="259"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93" w:lineRule="exact"/>
        <w:rPr>
          <w:sz w:val="20"/>
          <w:szCs w:val="20"/>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27" w:lineRule="exact"/>
        <w:rPr>
          <w:rFonts w:ascii="Arial" w:cs="Arial" w:eastAsia="Arial" w:hAnsi="Arial"/>
          <w:sz w:val="18"/>
          <w:szCs w:val="18"/>
          <w:color w:val="auto"/>
        </w:rPr>
      </w:pPr>
    </w:p>
    <w:p>
      <w:pPr>
        <w:ind w:left="1220" w:right="500" w:hanging="537"/>
        <w:spacing w:after="0" w:line="271"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81" w:lineRule="exact"/>
        <w:rPr>
          <w:rFonts w:ascii="Arial" w:cs="Arial" w:eastAsia="Arial" w:hAnsi="Arial"/>
          <w:sz w:val="18"/>
          <w:szCs w:val="18"/>
          <w:color w:val="auto"/>
        </w:rPr>
      </w:pPr>
    </w:p>
    <w:p>
      <w:pPr>
        <w:ind w:left="5620" w:right="380" w:hanging="4937"/>
        <w:spacing w:after="0" w:line="442" w:lineRule="auto"/>
        <w:tabs>
          <w:tab w:leader="none" w:pos="12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 21</w:t>
      </w:r>
    </w:p>
    <w:p>
      <w:pPr>
        <w:sectPr>
          <w:pgSz w:w="11900" w:h="16838" w:orient="portrait"/>
          <w:cols w:equalWidth="0" w:num="1">
            <w:col w:w="11160"/>
          </w:cols>
          <w:pgMar w:left="24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right="200" w:hanging="537"/>
        <w:spacing w:after="0" w:line="271"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27" w:lineRule="exact"/>
        <w:rPr>
          <w:rFonts w:ascii="Arial" w:cs="Arial" w:eastAsia="Arial" w:hAnsi="Arial"/>
          <w:sz w:val="18"/>
          <w:szCs w:val="18"/>
          <w:color w:val="auto"/>
        </w:rPr>
      </w:pPr>
    </w:p>
    <w:p>
      <w:pPr>
        <w:ind w:left="1220" w:right="340" w:hanging="537"/>
        <w:spacing w:after="0" w:line="271"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regulatory or legal environments that may cause us to incur, among other elements, expenses associated with compliance;</w:t>
      </w:r>
    </w:p>
    <w:p>
      <w:pPr>
        <w:spacing w:after="0" w:line="150" w:lineRule="exact"/>
        <w:rPr>
          <w:rFonts w:ascii="Arial" w:cs="Arial" w:eastAsia="Arial" w:hAnsi="Arial"/>
          <w:sz w:val="16"/>
          <w:szCs w:val="16"/>
          <w:color w:val="auto"/>
        </w:rPr>
      </w:pPr>
    </w:p>
    <w:p>
      <w:pPr>
        <w:ind w:left="1220" w:hanging="537"/>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27" w:lineRule="exact"/>
        <w:rPr>
          <w:rFonts w:ascii="Arial" w:cs="Arial" w:eastAsia="Arial" w:hAnsi="Arial"/>
          <w:sz w:val="18"/>
          <w:szCs w:val="18"/>
          <w:color w:val="auto"/>
        </w:rPr>
      </w:pPr>
    </w:p>
    <w:p>
      <w:pPr>
        <w:ind w:left="1220" w:right="780" w:hanging="537"/>
        <w:spacing w:after="0" w:line="271"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products and platform capabilities.</w:t>
      </w:r>
    </w:p>
    <w:p>
      <w:pPr>
        <w:spacing w:after="0" w:line="175" w:lineRule="exact"/>
        <w:rPr>
          <w:sz w:val="20"/>
          <w:szCs w:val="20"/>
          <w:color w:val="auto"/>
        </w:rPr>
      </w:pPr>
    </w:p>
    <w:p>
      <w:pPr>
        <w:jc w:val="both"/>
        <w:ind w:left="260" w:right="180" w:firstLine="437"/>
        <w:spacing w:after="0" w:line="282" w:lineRule="auto"/>
        <w:rPr>
          <w:sz w:val="20"/>
          <w:szCs w:val="20"/>
          <w:color w:val="auto"/>
        </w:rPr>
      </w:pPr>
      <w:r>
        <w:rPr>
          <w:rFonts w:ascii="Arial" w:cs="Arial" w:eastAsia="Arial" w:hAnsi="Arial"/>
          <w:sz w:val="17"/>
          <w:szCs w:val="17"/>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1" w:lineRule="exact"/>
        <w:rPr>
          <w:sz w:val="20"/>
          <w:szCs w:val="20"/>
          <w:color w:val="auto"/>
        </w:rPr>
      </w:pPr>
    </w:p>
    <w:p>
      <w:pPr>
        <w:ind w:left="260" w:firstLine="437"/>
        <w:spacing w:after="0" w:line="254" w:lineRule="auto"/>
        <w:rPr>
          <w:sz w:val="20"/>
          <w:szCs w:val="20"/>
          <w:color w:val="auto"/>
        </w:rPr>
      </w:pPr>
      <w:r>
        <w:rPr>
          <w:rFonts w:ascii="Arial" w:cs="Arial" w:eastAsia="Arial" w:hAnsi="Arial"/>
          <w:sz w:val="18"/>
          <w:szCs w:val="18"/>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1" w:lineRule="exact"/>
        <w:rPr>
          <w:sz w:val="20"/>
          <w:szCs w:val="20"/>
          <w:color w:val="auto"/>
        </w:rPr>
      </w:pPr>
    </w:p>
    <w:p>
      <w:pPr>
        <w:ind w:left="260" w:right="80" w:firstLine="437"/>
        <w:spacing w:after="0" w:line="290" w:lineRule="auto"/>
        <w:rPr>
          <w:sz w:val="20"/>
          <w:szCs w:val="20"/>
          <w:color w:val="auto"/>
        </w:rPr>
      </w:pPr>
      <w:r>
        <w:rPr>
          <w:rFonts w:ascii="Arial" w:cs="Arial" w:eastAsia="Arial" w:hAnsi="Arial"/>
          <w:sz w:val="16"/>
          <w:szCs w:val="16"/>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65" w:lineRule="exact"/>
        <w:rPr>
          <w:sz w:val="20"/>
          <w:szCs w:val="20"/>
          <w:color w:val="auto"/>
        </w:rPr>
      </w:pPr>
    </w:p>
    <w:p>
      <w:pPr>
        <w:ind w:left="260" w:right="120"/>
        <w:spacing w:after="0" w:line="271"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5" w:lineRule="exact"/>
        <w:rPr>
          <w:sz w:val="20"/>
          <w:szCs w:val="20"/>
          <w:color w:val="auto"/>
        </w:rPr>
      </w:pPr>
    </w:p>
    <w:p>
      <w:pPr>
        <w:ind w:left="260" w:right="20" w:firstLine="437"/>
        <w:spacing w:after="0" w:line="252" w:lineRule="auto"/>
        <w:rPr>
          <w:sz w:val="20"/>
          <w:szCs w:val="20"/>
          <w:color w:val="auto"/>
        </w:rPr>
      </w:pPr>
      <w:r>
        <w:rPr>
          <w:rFonts w:ascii="Arial" w:cs="Arial" w:eastAsia="Arial" w:hAnsi="Arial"/>
          <w:sz w:val="18"/>
          <w:szCs w:val="18"/>
          <w:color w:val="auto"/>
        </w:rPr>
        <w:t>We have a field sales team that targets enterprise customers. As of June 30, 2019, we had approximately 590 customers with an ARR of $100,000 or more, and 42 customers with an ARR of $1.0 million or more. See the section titled “Management’s Discussion and Analysis of Financial Condition and Results of Operations” for a description of ARR.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w:t>
      </w:r>
    </w:p>
    <w:p>
      <w:pPr>
        <w:spacing w:after="0" w:line="1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240" w:top="456"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20"/>
        <w:spacing w:after="0" w:line="269" w:lineRule="auto"/>
        <w:rPr>
          <w:sz w:val="20"/>
          <w:szCs w:val="20"/>
          <w:color w:val="auto"/>
        </w:rPr>
      </w:pPr>
      <w:r>
        <w:rPr>
          <w:rFonts w:ascii="Arial" w:cs="Arial" w:eastAsia="Arial" w:hAnsi="Arial"/>
          <w:sz w:val="17"/>
          <w:szCs w:val="17"/>
          <w:color w:val="auto"/>
        </w:rPr>
        <w:t>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79" w:lineRule="exact"/>
        <w:rPr>
          <w:sz w:val="20"/>
          <w:szCs w:val="20"/>
          <w:color w:val="auto"/>
        </w:rPr>
      </w:pPr>
    </w:p>
    <w:p>
      <w:pPr>
        <w:ind w:left="260" w:right="580"/>
        <w:spacing w:after="0" w:line="271"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5" w:lineRule="exact"/>
        <w:rPr>
          <w:sz w:val="20"/>
          <w:szCs w:val="20"/>
          <w:color w:val="auto"/>
        </w:rPr>
      </w:pPr>
    </w:p>
    <w:p>
      <w:pPr>
        <w:ind w:left="260" w:right="20" w:firstLine="437"/>
        <w:spacing w:after="0" w:line="251"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95" w:lineRule="exact"/>
        <w:rPr>
          <w:sz w:val="20"/>
          <w:szCs w:val="20"/>
          <w:color w:val="auto"/>
        </w:rPr>
      </w:pPr>
    </w:p>
    <w:p>
      <w:pPr>
        <w:ind w:left="260" w:right="60" w:firstLine="437"/>
        <w:spacing w:after="0" w:line="266"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86" w:lineRule="exact"/>
        <w:rPr>
          <w:sz w:val="20"/>
          <w:szCs w:val="20"/>
          <w:color w:val="auto"/>
        </w:rPr>
      </w:pPr>
    </w:p>
    <w:p>
      <w:pPr>
        <w:ind w:left="260" w:right="240"/>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5" w:lineRule="exact"/>
        <w:rPr>
          <w:sz w:val="20"/>
          <w:szCs w:val="20"/>
          <w:color w:val="auto"/>
        </w:rPr>
      </w:pPr>
    </w:p>
    <w:p>
      <w:pPr>
        <w:ind w:left="260" w:firstLine="437"/>
        <w:spacing w:after="0" w:line="269"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w:t>
      </w:r>
    </w:p>
    <w:p>
      <w:pPr>
        <w:spacing w:after="0" w:line="1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brand. If we fail to successfully promote and maintain our brand, our business, financial condition and results of operations may suffer.</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cannot maintain our company culture as we grow, our success and our business and competitive position may be harmed.</w:t>
      </w:r>
    </w:p>
    <w:p>
      <w:pPr>
        <w:spacing w:after="0" w:line="233" w:lineRule="exact"/>
        <w:rPr>
          <w:sz w:val="20"/>
          <w:szCs w:val="20"/>
          <w:color w:val="auto"/>
        </w:rPr>
      </w:pPr>
    </w:p>
    <w:p>
      <w:pPr>
        <w:ind w:left="260" w:right="40" w:firstLine="437"/>
        <w:spacing w:after="0" w:line="254"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1" w:lineRule="exact"/>
        <w:rPr>
          <w:sz w:val="20"/>
          <w:szCs w:val="20"/>
          <w:color w:val="auto"/>
        </w:rPr>
      </w:pPr>
    </w:p>
    <w:p>
      <w:pPr>
        <w:ind w:left="260" w:firstLine="437"/>
        <w:spacing w:after="0" w:line="266" w:lineRule="auto"/>
        <w:rPr>
          <w:sz w:val="20"/>
          <w:szCs w:val="20"/>
          <w:color w:val="auto"/>
        </w:rPr>
      </w:pPr>
      <w:r>
        <w:rPr>
          <w:rFonts w:ascii="Arial" w:cs="Arial" w:eastAsia="Arial" w:hAnsi="Arial"/>
          <w:sz w:val="17"/>
          <w:szCs w:val="17"/>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86" w:lineRule="exact"/>
        <w:rPr>
          <w:sz w:val="20"/>
          <w:szCs w:val="20"/>
          <w:color w:val="auto"/>
        </w:rPr>
      </w:pPr>
    </w:p>
    <w:p>
      <w:pPr>
        <w:ind w:left="260" w:right="120"/>
        <w:spacing w:after="0" w:line="301"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52" w:lineRule="exact"/>
        <w:rPr>
          <w:sz w:val="20"/>
          <w:szCs w:val="20"/>
          <w:color w:val="auto"/>
        </w:rPr>
      </w:pPr>
    </w:p>
    <w:p>
      <w:pPr>
        <w:ind w:left="260" w:right="180" w:firstLine="437"/>
        <w:spacing w:after="0" w:line="275" w:lineRule="auto"/>
        <w:rPr>
          <w:sz w:val="20"/>
          <w:szCs w:val="20"/>
          <w:color w:val="auto"/>
        </w:rPr>
      </w:pPr>
      <w:r>
        <w:rPr>
          <w:rFonts w:ascii="Arial" w:cs="Arial" w:eastAsia="Arial" w:hAnsi="Arial"/>
          <w:sz w:val="17"/>
          <w:szCs w:val="17"/>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Even if the market in which we compete achieves the forecasted growth, our business could fail to grow at similar rates, if at all.</w:t>
      </w:r>
    </w:p>
    <w:p>
      <w:pPr>
        <w:spacing w:after="0" w:line="175" w:lineRule="exact"/>
        <w:rPr>
          <w:sz w:val="20"/>
          <w:szCs w:val="20"/>
          <w:color w:val="auto"/>
        </w:rPr>
      </w:pPr>
    </w:p>
    <w:p>
      <w:pPr>
        <w:ind w:left="260" w:right="120" w:firstLine="437"/>
        <w:spacing w:after="0" w:line="269" w:lineRule="auto"/>
        <w:rPr>
          <w:sz w:val="20"/>
          <w:szCs w:val="20"/>
          <w:color w:val="auto"/>
        </w:rPr>
      </w:pPr>
      <w:r>
        <w:rPr>
          <w:rFonts w:ascii="Arial" w:cs="Arial" w:eastAsia="Arial" w:hAnsi="Arial"/>
          <w:sz w:val="17"/>
          <w:szCs w:val="17"/>
          <w:color w:val="auto"/>
        </w:rPr>
        <w:t>The variables that go into the calculation of our market opportunity are subject to change over time, and there is no guarantee that any particular number or percentage of addressable users or companies covered by our market opportunity estimates will purchase our products at all or generate any particular level of revenue for us. Any expansion in our market depends on a number of factors, including the cost, performance, and perceived value associated with our platform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24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59"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6" w:lineRule="exact"/>
        <w:rPr>
          <w:sz w:val="20"/>
          <w:szCs w:val="20"/>
          <w:color w:val="auto"/>
        </w:rPr>
      </w:pPr>
    </w:p>
    <w:p>
      <w:pPr>
        <w:ind w:left="260" w:right="60" w:firstLine="437"/>
        <w:spacing w:after="0" w:line="252" w:lineRule="auto"/>
        <w:rPr>
          <w:sz w:val="20"/>
          <w:szCs w:val="20"/>
          <w:color w:val="auto"/>
        </w:rPr>
      </w:pPr>
      <w:r>
        <w:rPr>
          <w:rFonts w:ascii="Arial" w:cs="Arial" w:eastAsia="Arial" w:hAnsi="Arial"/>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95" w:lineRule="exact"/>
        <w:rPr>
          <w:sz w:val="20"/>
          <w:szCs w:val="20"/>
          <w:color w:val="auto"/>
        </w:rPr>
      </w:pPr>
    </w:p>
    <w:p>
      <w:pPr>
        <w:ind w:left="260"/>
        <w:spacing w:after="0" w:line="271"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5" w:lineRule="exact"/>
        <w:rPr>
          <w:sz w:val="20"/>
          <w:szCs w:val="20"/>
          <w:color w:val="auto"/>
        </w:rPr>
      </w:pPr>
    </w:p>
    <w:p>
      <w:pPr>
        <w:ind w:left="260" w:right="180" w:firstLine="437"/>
        <w:spacing w:after="0" w:line="266" w:lineRule="auto"/>
        <w:rPr>
          <w:sz w:val="20"/>
          <w:szCs w:val="20"/>
          <w:color w:val="auto"/>
        </w:rPr>
      </w:pPr>
      <w:r>
        <w:rPr>
          <w:rFonts w:ascii="Arial" w:cs="Arial" w:eastAsia="Arial" w:hAnsi="Arial"/>
          <w:sz w:val="17"/>
          <w:szCs w:val="17"/>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1" w:lineRule="exact"/>
        <w:rPr>
          <w:sz w:val="20"/>
          <w:szCs w:val="20"/>
          <w:color w:val="auto"/>
        </w:rPr>
      </w:pPr>
    </w:p>
    <w:p>
      <w:pPr>
        <w:ind w:left="260" w:right="200" w:firstLine="437"/>
        <w:spacing w:after="0" w:line="254" w:lineRule="auto"/>
        <w:rPr>
          <w:sz w:val="20"/>
          <w:szCs w:val="20"/>
          <w:color w:val="auto"/>
        </w:rPr>
      </w:pPr>
      <w:r>
        <w:rPr>
          <w:rFonts w:ascii="Arial" w:cs="Arial" w:eastAsia="Arial" w:hAnsi="Arial"/>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89" w:lineRule="exact"/>
        <w:rPr>
          <w:sz w:val="20"/>
          <w:szCs w:val="20"/>
          <w:color w:val="auto"/>
        </w:rPr>
      </w:pPr>
    </w:p>
    <w:p>
      <w:pPr>
        <w:jc w:val="both"/>
        <w:ind w:left="260" w:right="540"/>
        <w:spacing w:after="0" w:line="417" w:lineRule="auto"/>
        <w:rPr>
          <w:sz w:val="20"/>
          <w:szCs w:val="20"/>
          <w:color w:val="auto"/>
        </w:rPr>
      </w:pPr>
      <w:r>
        <w:rPr>
          <w:rFonts w:ascii="Arial" w:cs="Arial" w:eastAsia="Arial" w:hAnsi="Arial"/>
          <w:sz w:val="14"/>
          <w:szCs w:val="14"/>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83" w:lineRule="exact"/>
        <w:rPr>
          <w:sz w:val="20"/>
          <w:szCs w:val="20"/>
          <w:color w:val="auto"/>
        </w:rPr>
      </w:pPr>
    </w:p>
    <w:p>
      <w:pPr>
        <w:ind w:left="260" w:right="140" w:firstLine="437"/>
        <w:spacing w:after="0" w:line="275" w:lineRule="auto"/>
        <w:rPr>
          <w:sz w:val="20"/>
          <w:szCs w:val="20"/>
          <w:color w:val="auto"/>
        </w:rPr>
      </w:pPr>
      <w:r>
        <w:rPr>
          <w:rFonts w:ascii="Arial" w:cs="Arial" w:eastAsia="Arial" w:hAnsi="Arial"/>
          <w:sz w:val="17"/>
          <w:szCs w:val="17"/>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Further, our anticipated proceeds from this offering increase the likelihood that we will devote resources to exploring larger and more complex acquisitions and investments than we have previously attempted. Any such acquisition or investment</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240" w:top="456"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spacing w:after="0" w:line="266" w:lineRule="auto"/>
        <w:rPr>
          <w:sz w:val="20"/>
          <w:szCs w:val="20"/>
          <w:color w:val="auto"/>
        </w:rPr>
      </w:pPr>
      <w:r>
        <w:rPr>
          <w:rFonts w:ascii="Arial" w:cs="Arial" w:eastAsia="Arial" w:hAnsi="Arial"/>
          <w:sz w:val="17"/>
          <w:szCs w:val="17"/>
          <w:color w:val="auto"/>
        </w:rPr>
        <w:t>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83" w:lineRule="exact"/>
        <w:rPr>
          <w:sz w:val="20"/>
          <w:szCs w:val="20"/>
          <w:color w:val="auto"/>
        </w:rPr>
      </w:pPr>
    </w:p>
    <w:p>
      <w:pPr>
        <w:ind w:left="260" w:right="140"/>
        <w:spacing w:after="0" w:line="335" w:lineRule="auto"/>
        <w:rPr>
          <w:sz w:val="20"/>
          <w:szCs w:val="20"/>
          <w:color w:val="auto"/>
        </w:rPr>
      </w:pPr>
      <w:r>
        <w:rPr>
          <w:rFonts w:ascii="Arial" w:cs="Arial" w:eastAsia="Arial" w:hAnsi="Arial"/>
          <w:sz w:val="16"/>
          <w:szCs w:val="16"/>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harm our business.</w:t>
      </w:r>
    </w:p>
    <w:p>
      <w:pPr>
        <w:spacing w:after="0" w:line="129" w:lineRule="exact"/>
        <w:rPr>
          <w:sz w:val="20"/>
          <w:szCs w:val="20"/>
          <w:color w:val="auto"/>
        </w:rPr>
      </w:pPr>
    </w:p>
    <w:p>
      <w:pPr>
        <w:ind w:left="260" w:right="60" w:firstLine="437"/>
        <w:spacing w:after="0" w:line="283" w:lineRule="auto"/>
        <w:rPr>
          <w:sz w:val="20"/>
          <w:szCs w:val="20"/>
          <w:color w:val="auto"/>
        </w:rPr>
      </w:pPr>
      <w:r>
        <w:rPr>
          <w:rFonts w:ascii="Arial" w:cs="Arial" w:eastAsia="Arial" w:hAnsi="Arial"/>
          <w:sz w:val="16"/>
          <w:szCs w:val="16"/>
          <w:color w:val="auto"/>
        </w:rPr>
        <w:t>We have legal and contractual obligations regarding the protection of confidentiality and appropriate use of personally identifiable information. We are subject to a variety of federal, state, local and international laws, directives and regulations relating to the collection, use, retention, security, disclosure, transfer and other processing of personally identifiable information. The regulatory framework for privacy and security issues worldwide is rapidly evolving and as a result implementation standards and enforcement practices are likely to remain uncertain for the foreseeable future. We publicly post documentation regarding our practices concerning the collection, processing, use and disclosure of data. Although we endeavor to comply with our published policies and documentation, we may at times fail to do so or be alleged to have failed to do so. The publication of our privacy policy and other documentation that provide promises and assurances about privacy and security can subject us to potential state and federal action if they are found to be deceptive, unfair, or misrepresentative of our actual practices. Any failure by us, our suppliers or other parties with whom we do business to comply with this documentation or with federal, state, local or international regulations could result in proceedings against us by governmental entities or others. 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with which we must legally comply or that contractually apply to us. If we fail to follow these security standards even if no customer information is compromised, we may incur significant fines or experience a significant increase in costs.</w:t>
      </w:r>
    </w:p>
    <w:p>
      <w:pPr>
        <w:spacing w:after="0" w:line="174"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European Union, or EU. The EU’s data protection landscape is currently unstable, resulting in possible significant operational costs for internal compliance and risk to our business. The EU has adopted the General Data Protection Regulation, or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United States. While we have taken steps to mitigate the impact on us with respect to transfers of data, such as implementing standard contractual clauses and self-certifying under the EU-US Privacy Shield, the efficacy and longevity of these transfer mechanisms remains</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20"/>
        <w:spacing w:after="0" w:line="270" w:lineRule="auto"/>
        <w:rPr>
          <w:sz w:val="20"/>
          <w:szCs w:val="20"/>
          <w:color w:val="auto"/>
        </w:rPr>
      </w:pPr>
      <w:r>
        <w:rPr>
          <w:rFonts w:ascii="Arial" w:cs="Arial" w:eastAsia="Arial" w:hAnsi="Arial"/>
          <w:sz w:val="17"/>
          <w:szCs w:val="17"/>
          <w:color w:val="auto"/>
        </w:rPr>
        <w:t>uncertain.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euros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79" w:lineRule="exact"/>
        <w:rPr>
          <w:sz w:val="20"/>
          <w:szCs w:val="20"/>
          <w:color w:val="auto"/>
        </w:rPr>
      </w:pPr>
    </w:p>
    <w:p>
      <w:pPr>
        <w:ind w:left="260" w:firstLine="437"/>
        <w:spacing w:after="0" w:line="287" w:lineRule="auto"/>
        <w:rPr>
          <w:sz w:val="20"/>
          <w:szCs w:val="20"/>
          <w:color w:val="auto"/>
        </w:rPr>
      </w:pPr>
      <w:r>
        <w:rPr>
          <w:rFonts w:ascii="Arial" w:cs="Arial" w:eastAsia="Arial" w:hAnsi="Arial"/>
          <w:sz w:val="16"/>
          <w:szCs w:val="16"/>
          <w:color w:val="auto"/>
        </w:rPr>
        <w:t>In addition to the GDPR, the European Commission has another draft regulation in the approval process that focuses on a person’s right to conduct a private life (in contrast to the GDPR, which focuses on protection of personal data). The proposed legislation, known as the Regulation on Privacy and Electronic Communications, or ePrivacy Regulation, would replace the current ePrivacy Directive. Originally planned to be adopted and implemented at the same time as the GDPR, the ePrivacy Regulation will likely be enacted sometime in 2019.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customers.</w:t>
      </w:r>
    </w:p>
    <w:p>
      <w:pPr>
        <w:spacing w:after="0" w:line="167" w:lineRule="exact"/>
        <w:rPr>
          <w:sz w:val="20"/>
          <w:szCs w:val="20"/>
          <w:color w:val="auto"/>
        </w:rPr>
      </w:pPr>
    </w:p>
    <w:p>
      <w:pPr>
        <w:ind w:left="260" w:right="60" w:firstLine="437"/>
        <w:spacing w:after="0" w:line="267" w:lineRule="auto"/>
        <w:rPr>
          <w:sz w:val="20"/>
          <w:szCs w:val="20"/>
          <w:color w:val="auto"/>
        </w:rPr>
      </w:pPr>
      <w:r>
        <w:rPr>
          <w:rFonts w:ascii="Arial" w:cs="Arial" w:eastAsia="Arial" w:hAnsi="Arial"/>
          <w:sz w:val="17"/>
          <w:szCs w:val="17"/>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European Economic Area to maintain certain customer data (which may include personal data) originating from the EU in the European Economic Area, we may find it necessary to establish additional systems and processes to maintain such data in the European Economic Area, which may involve substantial expense and distraction from other aspects of our business.</w:t>
      </w:r>
    </w:p>
    <w:p>
      <w:pPr>
        <w:spacing w:after="0" w:line="180" w:lineRule="exact"/>
        <w:rPr>
          <w:sz w:val="20"/>
          <w:szCs w:val="20"/>
          <w:color w:val="auto"/>
        </w:rPr>
      </w:pPr>
    </w:p>
    <w:p>
      <w:pPr>
        <w:ind w:left="260" w:right="20" w:firstLine="437"/>
        <w:spacing w:after="0" w:line="285" w:lineRule="auto"/>
        <w:rPr>
          <w:sz w:val="20"/>
          <w:szCs w:val="20"/>
          <w:color w:val="auto"/>
        </w:rPr>
      </w:pPr>
      <w:r>
        <w:rPr>
          <w:rFonts w:ascii="Arial" w:cs="Arial" w:eastAsia="Arial" w:hAnsi="Arial"/>
          <w:sz w:val="16"/>
          <w:szCs w:val="16"/>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is expected to take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70" w:lineRule="exact"/>
        <w:rPr>
          <w:sz w:val="20"/>
          <w:szCs w:val="20"/>
          <w:color w:val="auto"/>
        </w:rPr>
      </w:pPr>
    </w:p>
    <w:p>
      <w:pPr>
        <w:ind w:left="260" w:right="260" w:firstLine="437"/>
        <w:spacing w:after="0" w:line="259" w:lineRule="auto"/>
        <w:rPr>
          <w:sz w:val="20"/>
          <w:szCs w:val="20"/>
          <w:color w:val="auto"/>
        </w:rPr>
      </w:pPr>
      <w:r>
        <w:rPr>
          <w:rFonts w:ascii="Arial" w:cs="Arial" w:eastAsia="Arial" w:hAnsi="Arial"/>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6"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may be harmed.</w:t>
      </w:r>
    </w:p>
    <w:p>
      <w:pPr>
        <w:spacing w:after="0" w:line="184" w:lineRule="exact"/>
        <w:rPr>
          <w:sz w:val="20"/>
          <w:szCs w:val="20"/>
          <w:color w:val="auto"/>
        </w:rPr>
      </w:pPr>
    </w:p>
    <w:p>
      <w:pPr>
        <w:ind w:left="260" w:right="46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5" w:lineRule="exact"/>
        <w:rPr>
          <w:sz w:val="20"/>
          <w:szCs w:val="20"/>
          <w:color w:val="auto"/>
        </w:rPr>
      </w:pPr>
    </w:p>
    <w:p>
      <w:pPr>
        <w:ind w:left="260" w:firstLine="437"/>
        <w:spacing w:after="0" w:line="287"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7" w:lineRule="exact"/>
        <w:rPr>
          <w:sz w:val="20"/>
          <w:szCs w:val="20"/>
          <w:color w:val="auto"/>
        </w:rPr>
      </w:pPr>
    </w:p>
    <w:p>
      <w:pPr>
        <w:jc w:val="both"/>
        <w:ind w:left="260" w:right="100" w:firstLine="437"/>
        <w:spacing w:after="0" w:line="259"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6" w:lineRule="exact"/>
        <w:rPr>
          <w:sz w:val="20"/>
          <w:szCs w:val="20"/>
          <w:color w:val="auto"/>
        </w:rPr>
      </w:pPr>
    </w:p>
    <w:p>
      <w:pPr>
        <w:ind w:left="260" w:firstLine="437"/>
        <w:spacing w:after="0" w:line="288"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1" w:lineRule="exact"/>
        <w:rPr>
          <w:sz w:val="20"/>
          <w:szCs w:val="20"/>
          <w:color w:val="auto"/>
        </w:rPr>
      </w:pPr>
    </w:p>
    <w:p>
      <w:pPr>
        <w:ind w:left="260" w:right="20" w:firstLine="437"/>
        <w:spacing w:after="0" w:line="259" w:lineRule="auto"/>
        <w:rPr>
          <w:sz w:val="20"/>
          <w:szCs w:val="20"/>
          <w:color w:val="auto"/>
        </w:rPr>
      </w:pPr>
      <w:r>
        <w:rPr>
          <w:rFonts w:ascii="Arial" w:cs="Arial" w:eastAsia="Arial" w:hAnsi="Arial"/>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24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60"/>
        <w:spacing w:after="0" w:line="275" w:lineRule="auto"/>
        <w:rPr>
          <w:sz w:val="20"/>
          <w:szCs w:val="20"/>
          <w:color w:val="auto"/>
        </w:rPr>
      </w:pPr>
      <w:r>
        <w:rPr>
          <w:rFonts w:ascii="Arial" w:cs="Arial" w:eastAsia="Arial" w:hAnsi="Arial"/>
          <w:sz w:val="17"/>
          <w:szCs w:val="17"/>
          <w:color w:val="auto"/>
        </w:rPr>
        <w:t>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5" w:lineRule="exact"/>
        <w:rPr>
          <w:sz w:val="20"/>
          <w:szCs w:val="20"/>
          <w:color w:val="auto"/>
        </w:rPr>
      </w:pPr>
    </w:p>
    <w:p>
      <w:pPr>
        <w:ind w:left="260" w:right="100" w:firstLine="437"/>
        <w:spacing w:after="0" w:line="255"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91" w:lineRule="exact"/>
        <w:rPr>
          <w:sz w:val="20"/>
          <w:szCs w:val="20"/>
          <w:color w:val="auto"/>
        </w:rPr>
      </w:pPr>
    </w:p>
    <w:p>
      <w:pPr>
        <w:ind w:left="260" w:right="60"/>
        <w:spacing w:after="0" w:line="27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5" w:lineRule="exact"/>
        <w:rPr>
          <w:sz w:val="20"/>
          <w:szCs w:val="20"/>
          <w:color w:val="auto"/>
        </w:rPr>
      </w:pPr>
    </w:p>
    <w:p>
      <w:pPr>
        <w:ind w:left="260" w:right="60" w:firstLine="437"/>
        <w:spacing w:after="0" w:line="255"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91" w:lineRule="exact"/>
        <w:rPr>
          <w:sz w:val="20"/>
          <w:szCs w:val="20"/>
          <w:color w:val="auto"/>
        </w:rPr>
      </w:pPr>
    </w:p>
    <w:p>
      <w:pPr>
        <w:ind w:left="260" w:right="40" w:firstLine="437"/>
        <w:spacing w:after="0" w:line="252"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Additionally, the Trump administration has been critical of existing trade agreements and may impose more stringent export controls.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95" w:lineRule="exact"/>
        <w:rPr>
          <w:sz w:val="20"/>
          <w:szCs w:val="20"/>
          <w:color w:val="auto"/>
        </w:rPr>
      </w:pPr>
    </w:p>
    <w:p>
      <w:pPr>
        <w:ind w:left="260" w:right="520" w:firstLine="437"/>
        <w:spacing w:after="0" w:line="271"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5"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0" w:lineRule="exact"/>
        <w:rPr>
          <w:sz w:val="20"/>
          <w:szCs w:val="20"/>
          <w:color w:val="auto"/>
        </w:rPr>
      </w:pPr>
    </w:p>
    <w:p>
      <w:pPr>
        <w:ind w:left="260" w:right="60"/>
        <w:spacing w:after="0" w:line="271"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5" w:lineRule="exact"/>
        <w:rPr>
          <w:sz w:val="20"/>
          <w:szCs w:val="20"/>
          <w:color w:val="auto"/>
        </w:rPr>
      </w:pPr>
    </w:p>
    <w:p>
      <w:pPr>
        <w:ind w:left="260" w:right="240" w:firstLine="437"/>
        <w:spacing w:after="0" w:line="271" w:lineRule="auto"/>
        <w:rPr>
          <w:sz w:val="20"/>
          <w:szCs w:val="20"/>
          <w:color w:val="auto"/>
        </w:rPr>
      </w:pPr>
      <w:r>
        <w:rPr>
          <w:rFonts w:ascii="Arial" w:cs="Arial" w:eastAsia="Arial" w:hAnsi="Arial"/>
          <w:sz w:val="18"/>
          <w:szCs w:val="18"/>
          <w:color w:val="auto"/>
        </w:rPr>
        <w:t>Our success depends to a significant degree on our ability to obtain, maintain, protect and enforce our intellectual property rights, including our proprietary technology, know-how and our brand. We rely on a</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81" w:lineRule="auto"/>
        <w:rPr>
          <w:sz w:val="20"/>
          <w:szCs w:val="20"/>
          <w:color w:val="auto"/>
        </w:rPr>
      </w:pPr>
      <w:r>
        <w:rPr>
          <w:rFonts w:ascii="Arial" w:cs="Arial" w:eastAsia="Arial" w:hAnsi="Arial"/>
          <w:sz w:val="16"/>
          <w:szCs w:val="16"/>
          <w:color w:val="auto"/>
        </w:rPr>
        <w:t xml:space="preserve">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387"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superior to our products and platform capabilities. These agreements may be breached, and we may not have adequate remedies for any such breach.</w:t>
      </w:r>
    </w:p>
    <w:p>
      <w:pPr>
        <w:spacing w:after="0" w:line="244" w:lineRule="exact"/>
        <w:rPr>
          <w:sz w:val="20"/>
          <w:szCs w:val="20"/>
          <w:color w:val="auto"/>
        </w:rPr>
      </w:pPr>
    </w:p>
    <w:p>
      <w:pPr>
        <w:ind w:left="260" w:firstLine="437"/>
        <w:spacing w:after="0" w:line="286"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68" w:lineRule="exact"/>
        <w:rPr>
          <w:sz w:val="20"/>
          <w:szCs w:val="20"/>
          <w:color w:val="auto"/>
        </w:rPr>
      </w:pPr>
    </w:p>
    <w:p>
      <w:pPr>
        <w:ind w:left="260" w:right="340"/>
        <w:spacing w:after="0" w:line="27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5" w:lineRule="exact"/>
        <w:rPr>
          <w:sz w:val="20"/>
          <w:szCs w:val="20"/>
          <w:color w:val="auto"/>
        </w:rPr>
      </w:pPr>
    </w:p>
    <w:p>
      <w:pPr>
        <w:ind w:left="260" w:firstLine="437"/>
        <w:spacing w:after="0" w:line="282" w:lineRule="auto"/>
        <w:rPr>
          <w:sz w:val="20"/>
          <w:szCs w:val="20"/>
          <w:color w:val="auto"/>
        </w:rPr>
      </w:pPr>
      <w:r>
        <w:rPr>
          <w:rFonts w:ascii="Arial" w:cs="Arial" w:eastAsia="Arial" w:hAnsi="Arial"/>
          <w:sz w:val="16"/>
          <w:szCs w:val="16"/>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1" w:lineRule="exact"/>
        <w:rPr>
          <w:sz w:val="20"/>
          <w:szCs w:val="20"/>
          <w:color w:val="auto"/>
        </w:rPr>
      </w:pPr>
    </w:p>
    <w:p>
      <w:pPr>
        <w:ind w:left="1220" w:right="320" w:hanging="537"/>
        <w:spacing w:after="0" w:line="271"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27" w:lineRule="exact"/>
        <w:rPr>
          <w:rFonts w:ascii="Arial" w:cs="Arial" w:eastAsia="Arial" w:hAnsi="Arial"/>
          <w:sz w:val="18"/>
          <w:szCs w:val="18"/>
          <w:color w:val="auto"/>
        </w:rPr>
      </w:pPr>
    </w:p>
    <w:p>
      <w:pPr>
        <w:ind w:left="1220" w:right="100" w:hanging="537"/>
        <w:spacing w:after="0" w:line="271"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240" w:top="456"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40" w:firstLine="437"/>
        <w:spacing w:after="0" w:line="252"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1" w:lineRule="exact"/>
        <w:rPr>
          <w:sz w:val="20"/>
          <w:szCs w:val="20"/>
          <w:color w:val="auto"/>
        </w:rPr>
      </w:pPr>
    </w:p>
    <w:p>
      <w:pPr>
        <w:ind w:left="260" w:right="120" w:firstLine="437"/>
        <w:spacing w:after="0" w:line="270" w:lineRule="auto"/>
        <w:rPr>
          <w:sz w:val="20"/>
          <w:szCs w:val="20"/>
          <w:color w:val="auto"/>
        </w:rPr>
      </w:pPr>
      <w:r>
        <w:rPr>
          <w:rFonts w:ascii="Arial" w:cs="Arial" w:eastAsia="Arial" w:hAnsi="Arial"/>
          <w:sz w:val="17"/>
          <w:szCs w:val="17"/>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use open source software in our products, which could negatively affect our ability to sell our services or subject us to litigation or other actions.</w:t>
      </w:r>
    </w:p>
    <w:p>
      <w:pPr>
        <w:spacing w:after="0" w:line="267" w:lineRule="exact"/>
        <w:rPr>
          <w:sz w:val="20"/>
          <w:szCs w:val="20"/>
          <w:color w:val="auto"/>
        </w:rPr>
      </w:pPr>
    </w:p>
    <w:p>
      <w:pPr>
        <w:ind w:left="260" w:firstLine="437"/>
        <w:spacing w:after="0" w:line="282"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40"/>
        <w:spacing w:after="0" w:line="271"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5" w:lineRule="exact"/>
        <w:rPr>
          <w:sz w:val="20"/>
          <w:szCs w:val="20"/>
          <w:color w:val="auto"/>
        </w:rPr>
      </w:pPr>
    </w:p>
    <w:p>
      <w:pPr>
        <w:ind w:left="260" w:right="40" w:firstLine="437"/>
        <w:spacing w:after="0" w:line="287"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international trade relations, political turmoil, natural catastrophes, warfare and terrorist attacks on the United States, Europe, the Asia Pacific region, Japan or elsewhere, could cause a decrease in business investments, including spending on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products and solutions. We cannot predict the timing, strength, or duration of any economic slowdown, instability, or recovery, generally or within any particular industry.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current operations are international in scope, and we plan further geographic expansion, creating a variety of operational challenges.</w:t>
      </w:r>
    </w:p>
    <w:p>
      <w:pPr>
        <w:spacing w:after="0" w:line="244" w:lineRule="exact"/>
        <w:rPr>
          <w:sz w:val="20"/>
          <w:szCs w:val="20"/>
          <w:color w:val="auto"/>
        </w:rPr>
      </w:pPr>
    </w:p>
    <w:p>
      <w:pPr>
        <w:ind w:left="260" w:firstLine="437"/>
        <w:spacing w:after="0" w:line="287" w:lineRule="auto"/>
        <w:rPr>
          <w:sz w:val="20"/>
          <w:szCs w:val="20"/>
          <w:color w:val="auto"/>
        </w:rPr>
      </w:pPr>
      <w:r>
        <w:rPr>
          <w:rFonts w:ascii="Arial" w:cs="Arial" w:eastAsia="Arial" w:hAnsi="Arial"/>
          <w:sz w:val="16"/>
          <w:szCs w:val="16"/>
          <w:color w:val="auto"/>
        </w:rPr>
        <w:t>A component of our growth strategy involves the further expansion of our operations and customer base internationally. Customers outside North America generated 24% of ARR as of December 31, 2018. Beyond North America, we now have sales presence internationally, including in Dublin, Paris, London, Singapore, Tokyo, Seoul and Sydney.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June 30, 2019, approximately 31% of our full-time employees were located outside of the United States, 50%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28" w:lineRule="exact"/>
        <w:rPr>
          <w:sz w:val="20"/>
          <w:szCs w:val="20"/>
          <w:color w:val="auto"/>
        </w:rPr>
      </w:pPr>
    </w:p>
    <w:p>
      <w:pPr>
        <w:ind w:left="1220" w:hanging="537"/>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27" w:lineRule="exact"/>
        <w:rPr>
          <w:rFonts w:ascii="Arial" w:cs="Arial" w:eastAsia="Arial" w:hAnsi="Arial"/>
          <w:sz w:val="18"/>
          <w:szCs w:val="18"/>
          <w:color w:val="auto"/>
        </w:rPr>
      </w:pPr>
    </w:p>
    <w:p>
      <w:pPr>
        <w:ind w:left="1220" w:right="400" w:hanging="537"/>
        <w:spacing w:after="0" w:line="271"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in the United Kingdom as a result of the United Kingdom exiting the European Union, or Brexit;</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27" w:lineRule="exact"/>
        <w:rPr>
          <w:rFonts w:ascii="Arial" w:cs="Arial" w:eastAsia="Arial" w:hAnsi="Arial"/>
          <w:sz w:val="18"/>
          <w:szCs w:val="18"/>
          <w:color w:val="auto"/>
        </w:rPr>
      </w:pPr>
    </w:p>
    <w:p>
      <w:pPr>
        <w:ind w:left="1220" w:right="640" w:hanging="537"/>
        <w:spacing w:after="0" w:line="271"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81" w:lineRule="exact"/>
        <w:rPr>
          <w:rFonts w:ascii="Arial" w:cs="Arial" w:eastAsia="Arial" w:hAnsi="Arial"/>
          <w:sz w:val="18"/>
          <w:szCs w:val="18"/>
          <w:color w:val="auto"/>
        </w:rPr>
      </w:pPr>
    </w:p>
    <w:p>
      <w:pPr>
        <w:ind w:left="1220" w:right="520" w:hanging="537"/>
        <w:spacing w:after="0" w:line="335" w:lineRule="auto"/>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4" w:lineRule="exact"/>
        <w:rPr>
          <w:rFonts w:ascii="Arial" w:cs="Arial" w:eastAsia="Arial" w:hAnsi="Arial"/>
          <w:sz w:val="16"/>
          <w:szCs w:val="16"/>
          <w:color w:val="auto"/>
        </w:rPr>
      </w:pPr>
    </w:p>
    <w:p>
      <w:pPr>
        <w:ind w:left="1220" w:hanging="537"/>
        <w:spacing w:after="0" w:line="259"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hanging="537"/>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27" w:lineRule="exact"/>
        <w:rPr>
          <w:rFonts w:ascii="Arial" w:cs="Arial" w:eastAsia="Arial" w:hAnsi="Arial"/>
          <w:sz w:val="18"/>
          <w:szCs w:val="18"/>
          <w:color w:val="auto"/>
        </w:rPr>
      </w:pPr>
    </w:p>
    <w:p>
      <w:pPr>
        <w:ind w:left="1220" w:right="220" w:hanging="537"/>
        <w:spacing w:after="0" w:line="271"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27" w:lineRule="exact"/>
        <w:rPr>
          <w:rFonts w:ascii="Arial" w:cs="Arial" w:eastAsia="Arial" w:hAnsi="Arial"/>
          <w:sz w:val="18"/>
          <w:szCs w:val="18"/>
          <w:color w:val="auto"/>
        </w:rPr>
      </w:pPr>
    </w:p>
    <w:p>
      <w:pPr>
        <w:ind w:left="1220" w:right="300" w:hanging="537"/>
        <w:spacing w:after="0" w:line="271"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50" w:lineRule="exact"/>
        <w:rPr>
          <w:rFonts w:ascii="Arial" w:cs="Arial" w:eastAsia="Arial" w:hAnsi="Arial"/>
          <w:sz w:val="16"/>
          <w:szCs w:val="16"/>
          <w:color w:val="auto"/>
        </w:rPr>
      </w:pPr>
    </w:p>
    <w:p>
      <w:pPr>
        <w:ind w:left="1220" w:hanging="537"/>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27" w:lineRule="exact"/>
        <w:rPr>
          <w:rFonts w:ascii="Arial" w:cs="Arial" w:eastAsia="Arial" w:hAnsi="Arial"/>
          <w:sz w:val="18"/>
          <w:szCs w:val="18"/>
          <w:color w:val="auto"/>
        </w:rPr>
      </w:pPr>
    </w:p>
    <w:p>
      <w:pPr>
        <w:ind w:left="1220" w:right="620" w:hanging="537"/>
        <w:spacing w:after="0" w:line="271"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27" w:lineRule="exact"/>
        <w:rPr>
          <w:rFonts w:ascii="Arial" w:cs="Arial" w:eastAsia="Arial" w:hAnsi="Arial"/>
          <w:sz w:val="18"/>
          <w:szCs w:val="18"/>
          <w:color w:val="auto"/>
        </w:rPr>
      </w:pPr>
    </w:p>
    <w:p>
      <w:pPr>
        <w:ind w:left="1220" w:right="120" w:hanging="537"/>
        <w:spacing w:after="0" w:line="271"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1" w:lineRule="exact"/>
        <w:rPr>
          <w:sz w:val="20"/>
          <w:szCs w:val="20"/>
          <w:color w:val="auto"/>
        </w:rPr>
      </w:pPr>
    </w:p>
    <w:p>
      <w:pPr>
        <w:ind w:left="260" w:right="440" w:firstLine="437"/>
        <w:spacing w:after="0" w:line="271"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5" w:lineRule="exact"/>
        <w:rPr>
          <w:sz w:val="20"/>
          <w:szCs w:val="20"/>
          <w:color w:val="auto"/>
        </w:rPr>
      </w:pPr>
    </w:p>
    <w:p>
      <w:pPr>
        <w:ind w:left="260" w:right="200"/>
        <w:spacing w:after="0" w:line="259" w:lineRule="auto"/>
        <w:rPr>
          <w:sz w:val="20"/>
          <w:szCs w:val="20"/>
          <w:color w:val="auto"/>
        </w:rPr>
      </w:pPr>
      <w:r>
        <w:rPr>
          <w:rFonts w:ascii="Arial" w:cs="Arial" w:eastAsia="Arial" w:hAnsi="Arial"/>
          <w:sz w:val="18"/>
          <w:szCs w:val="18"/>
          <w:b w:val="1"/>
          <w:bCs w:val="1"/>
          <w:i w:val="1"/>
          <w:iCs w:val="1"/>
          <w:color w:val="auto"/>
        </w:rPr>
        <w:t>Legal, political and economic uncertainty surrounding the planned exit of the United Kingdom from the EU may be a source of instability in international markets, create significant currency fluctuations, adversely affect our operations in the United Kingdom and pose additional risks to our business, financial condition and results of operations.</w:t>
      </w:r>
    </w:p>
    <w:p>
      <w:pPr>
        <w:spacing w:after="0" w:line="186" w:lineRule="exact"/>
        <w:rPr>
          <w:sz w:val="20"/>
          <w:szCs w:val="20"/>
          <w:color w:val="auto"/>
        </w:rPr>
      </w:pPr>
    </w:p>
    <w:p>
      <w:pPr>
        <w:ind w:left="260" w:right="20" w:firstLine="437"/>
        <w:spacing w:after="0" w:line="267" w:lineRule="auto"/>
        <w:rPr>
          <w:sz w:val="20"/>
          <w:szCs w:val="20"/>
          <w:color w:val="auto"/>
        </w:rPr>
      </w:pPr>
      <w:r>
        <w:rPr>
          <w:rFonts w:ascii="Arial" w:cs="Arial" w:eastAsia="Arial" w:hAnsi="Arial"/>
          <w:sz w:val="17"/>
          <w:szCs w:val="17"/>
          <w:color w:val="auto"/>
        </w:rPr>
        <w:t>On March 29, 2017, the United Kingdom formally notified the European Council of its intention to leave the EU Pursuant to Article 50 of the Treaty on European Union. The United Kingdom will cease to be an EU Member State either on the effective date of a withdrawal agreement or, failing that, two years following such notification of its intention to leave the EU, or the Brexit Date, unless the European Council (together with the United Kingdom) unanimously decides to extend the two year period. It is unclear how long it will take to negotiate a withdrawal agreement, but it appears likely that Brexit will continue to involve a process of lengthy negotiations between the United Kingdom and EU member states to determine the future terms of the United Kingdom’s relationship with the EU To date, no formal withdrawal arrangements have been agreed, and there have been several extensions to the Brexit Date. On April 11, 2019, the Brexit Date was further extended to October 31, 2019. The purpose of this extension is to allow for the ratification of a withdrawal agreement by the U.K. House of Commons. If the withdrawal agreement is ratified, the United Kingdom will leave the EU earlier than October 31, 2019.</w:t>
      </w:r>
    </w:p>
    <w:p>
      <w:pPr>
        <w:spacing w:after="0" w:line="184" w:lineRule="exact"/>
        <w:rPr>
          <w:sz w:val="20"/>
          <w:szCs w:val="20"/>
          <w:color w:val="auto"/>
        </w:rPr>
      </w:pPr>
    </w:p>
    <w:p>
      <w:pPr>
        <w:ind w:left="260" w:firstLine="437"/>
        <w:spacing w:after="0" w:line="288" w:lineRule="auto"/>
        <w:rPr>
          <w:sz w:val="20"/>
          <w:szCs w:val="20"/>
          <w:color w:val="auto"/>
        </w:rPr>
      </w:pPr>
      <w:r>
        <w:rPr>
          <w:rFonts w:ascii="Arial" w:cs="Arial" w:eastAsia="Arial" w:hAnsi="Arial"/>
          <w:sz w:val="16"/>
          <w:szCs w:val="16"/>
          <w:color w:val="auto"/>
        </w:rPr>
        <w:t>Lack of clarity about future U.K. laws and regulations as the United Kingdom determines which EU rules and regulations to replace or replicate in the event of a withdrawal, including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access to capital. In addition, depending on the terms of the United Kingdom’s withdrawal from the EU, the United Kingdom could lose the benefits of global trade agreements negotiated by the EU on behalf of its members. The long-term effects of Brexit will depend on any agreements (or lack thereof) between the United Kingdom and the EU and, in particular, any arrangements for the United Kingdom to retain access to EU markets either during a transitional period or more permanently.</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80" w:firstLine="437"/>
        <w:spacing w:after="0" w:line="254" w:lineRule="auto"/>
        <w:rPr>
          <w:sz w:val="20"/>
          <w:szCs w:val="20"/>
          <w:color w:val="auto"/>
        </w:rPr>
      </w:pPr>
      <w:r>
        <w:rPr>
          <w:rFonts w:ascii="Arial" w:cs="Arial" w:eastAsia="Arial" w:hAnsi="Arial"/>
          <w:sz w:val="18"/>
          <w:szCs w:val="18"/>
          <w:color w:val="auto"/>
        </w:rPr>
        <w:t>Such a withdrawal from the EU is unprecedented, and it is unclear how the United Kingdom’s access to the European single market for goods, capital, services and labor within the EU, or the European single market, and the wider commercial, legal and regulatory environment, will impact our U.K. operations, including our customers in the United Kingdom. We may also face new regulatory costs and challenges that could have an adverse effect on our operations. The announcement of Brexit has already created economic uncertainty, and its consequences could adversely impact our business, financial condition and results of operations.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1" w:lineRule="exact"/>
        <w:rPr>
          <w:sz w:val="20"/>
          <w:szCs w:val="20"/>
          <w:color w:val="auto"/>
        </w:rPr>
      </w:pPr>
    </w:p>
    <w:p>
      <w:pPr>
        <w:ind w:left="260" w:firstLine="437"/>
        <w:spacing w:after="0" w:line="293"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1" w:lineRule="exact"/>
        <w:rPr>
          <w:sz w:val="20"/>
          <w:szCs w:val="20"/>
          <w:color w:val="auto"/>
        </w:rPr>
      </w:pPr>
    </w:p>
    <w:p>
      <w:pPr>
        <w:ind w:left="260" w:right="60" w:firstLine="437"/>
        <w:spacing w:after="0" w:line="285" w:lineRule="auto"/>
        <w:rPr>
          <w:sz w:val="20"/>
          <w:szCs w:val="20"/>
          <w:color w:val="auto"/>
        </w:rPr>
      </w:pPr>
      <w:r>
        <w:rPr>
          <w:rFonts w:ascii="Arial" w:cs="Arial" w:eastAsia="Arial" w:hAnsi="Arial"/>
          <w:sz w:val="16"/>
          <w:szCs w:val="16"/>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70" w:lineRule="exact"/>
        <w:rPr>
          <w:sz w:val="20"/>
          <w:szCs w:val="20"/>
          <w:color w:val="auto"/>
        </w:rPr>
      </w:pPr>
    </w:p>
    <w:p>
      <w:pPr>
        <w:ind w:left="260" w:right="20" w:firstLine="437"/>
        <w:spacing w:after="0" w:line="254"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 We completed our accounting with respect to the Tax Act in 2018, and did not make any measurement-period adjustments.</w:t>
      </w:r>
    </w:p>
    <w:p>
      <w:pPr>
        <w:spacing w:after="0" w:line="189" w:lineRule="exact"/>
        <w:rPr>
          <w:sz w:val="20"/>
          <w:szCs w:val="20"/>
          <w:color w:val="auto"/>
        </w:rPr>
      </w:pPr>
    </w:p>
    <w:p>
      <w:pPr>
        <w:ind w:left="260" w:right="240"/>
        <w:spacing w:after="0" w:line="271"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5" w:lineRule="exact"/>
        <w:rPr>
          <w:sz w:val="20"/>
          <w:szCs w:val="20"/>
          <w:color w:val="auto"/>
        </w:rPr>
      </w:pPr>
    </w:p>
    <w:p>
      <w:pPr>
        <w:ind w:left="260" w:right="40" w:firstLine="437"/>
        <w:spacing w:after="0" w:line="290" w:lineRule="auto"/>
        <w:rPr>
          <w:sz w:val="20"/>
          <w:szCs w:val="20"/>
          <w:color w:val="auto"/>
        </w:rPr>
      </w:pPr>
      <w:r>
        <w:rPr>
          <w:rFonts w:ascii="Arial" w:cs="Arial" w:eastAsia="Arial" w:hAnsi="Arial"/>
          <w:sz w:val="16"/>
          <w:szCs w:val="16"/>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20"/>
        <w:spacing w:after="0" w:line="259" w:lineRule="auto"/>
        <w:rPr>
          <w:sz w:val="20"/>
          <w:szCs w:val="20"/>
          <w:color w:val="auto"/>
        </w:rPr>
      </w:pPr>
      <w:r>
        <w:rPr>
          <w:rFonts w:ascii="Arial" w:cs="Arial" w:eastAsia="Arial" w:hAnsi="Arial"/>
          <w:sz w:val="18"/>
          <w:szCs w:val="18"/>
          <w:color w:val="auto"/>
        </w:rPr>
        <w:t>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2018, we had NOL carryforwards for federal and state income tax purposes of approximately $28.0 million and</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$24.2 million, respectively, which may be available to offset taxable income in the future, and which expire in various years beginning in 2031 for</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federal purposes and 2029 for state purposes if not utilized. A lack of future taxable income would adversely affect our ability to utilize these NOLs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before they expire. In general, under Section 382 of the Internal Revenue Code of 1986, as amended, or the Code, a corporation that undergoes an</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“ownership change” (as defined under Section 382 of the Code and applicable Treasury Regulations) is subject to limitations on its ability to utilize its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pre-change NOLs to offset future taxable income. We may experience a future ownership change (including, potentially, in connection with this</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offering) under Section 382 of the Code that could affect our ability to utilize the NOLs to offset our income. Furthermore, our ability to utilize NOLs of</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companies that we have acquired or may acquire in the future may be subject to limitations. There is also a risk that due to regulatory changes, such as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suspensions on the use of NOLs or other unforeseen reasons, our existing NOLs could expire or otherwise be unavailable to reduce future income tax</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liabilities, including for state tax purposes. For these reasons, we may not be able to utilize a material portion of the NOLs reflected on our balance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sheet, even if we attain profitability, which could potentially result in increased future tax liability to us and could adversely affect our operating results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and financial condition.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28" w:lineRule="exact"/>
        <w:rPr>
          <w:sz w:val="20"/>
          <w:szCs w:val="20"/>
          <w:color w:val="auto"/>
        </w:rPr>
      </w:pPr>
    </w:p>
    <w:p>
      <w:pPr>
        <w:ind w:left="1220" w:right="280" w:hanging="537"/>
        <w:spacing w:after="0" w:line="271" w:lineRule="auto"/>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27" w:lineRule="exact"/>
        <w:rPr>
          <w:rFonts w:ascii="Arial" w:cs="Arial" w:eastAsia="Arial" w:hAnsi="Arial"/>
          <w:sz w:val="18"/>
          <w:szCs w:val="18"/>
          <w:color w:val="auto"/>
        </w:rPr>
      </w:pPr>
    </w:p>
    <w:p>
      <w:pPr>
        <w:ind w:left="1220" w:right="60" w:hanging="537"/>
        <w:spacing w:after="0" w:line="301"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8" w:lineRule="exact"/>
        <w:rPr>
          <w:rFonts w:ascii="Arial" w:cs="Arial" w:eastAsia="Arial" w:hAnsi="Arial"/>
          <w:sz w:val="17"/>
          <w:szCs w:val="17"/>
          <w:color w:val="auto"/>
        </w:rPr>
      </w:pPr>
    </w:p>
    <w:p>
      <w:pPr>
        <w:ind w:left="1220" w:hanging="537"/>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3" w:lineRule="exact"/>
        <w:rPr>
          <w:sz w:val="20"/>
          <w:szCs w:val="20"/>
          <w:color w:val="auto"/>
        </w:rPr>
      </w:pPr>
    </w:p>
    <w:p>
      <w:pPr>
        <w:ind w:left="260" w:firstLine="437"/>
        <w:spacing w:after="0" w:line="255" w:lineRule="auto"/>
        <w:rPr>
          <w:sz w:val="20"/>
          <w:szCs w:val="20"/>
          <w:color w:val="auto"/>
        </w:rPr>
      </w:pPr>
      <w:r>
        <w:rPr>
          <w:rFonts w:ascii="Arial" w:cs="Arial" w:eastAsia="Arial" w:hAnsi="Arial"/>
          <w:sz w:val="18"/>
          <w:szCs w:val="18"/>
          <w:color w:val="auto"/>
        </w:rPr>
        <w:t>U.S. generally accepted accounting principles, or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p>
    <w:p>
      <w:pPr>
        <w:spacing w:after="0" w:line="267" w:lineRule="exact"/>
        <w:rPr>
          <w:sz w:val="20"/>
          <w:szCs w:val="20"/>
          <w:color w:val="auto"/>
        </w:rPr>
      </w:pPr>
    </w:p>
    <w:p>
      <w:pPr>
        <w:ind w:left="260" w:right="600" w:firstLine="437"/>
        <w:spacing w:after="0" w:line="27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24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80"/>
        <w:spacing w:after="0" w:line="268" w:lineRule="auto"/>
        <w:rPr>
          <w:sz w:val="20"/>
          <w:szCs w:val="20"/>
          <w:color w:val="auto"/>
        </w:rPr>
      </w:pPr>
      <w:r>
        <w:rPr>
          <w:rFonts w:ascii="Arial" w:cs="Arial" w:eastAsia="Arial" w:hAnsi="Arial"/>
          <w:sz w:val="17"/>
          <w:szCs w:val="17"/>
          <w:color w:val="auto"/>
        </w:rPr>
        <w:t>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 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including the determination of fair value of our common stock,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4" w:lineRule="exact"/>
        <w:rPr>
          <w:sz w:val="20"/>
          <w:szCs w:val="20"/>
          <w:color w:val="auto"/>
        </w:rPr>
      </w:pPr>
    </w:p>
    <w:p>
      <w:pPr>
        <w:ind w:left="260" w:firstLine="437"/>
        <w:spacing w:after="0" w:line="285" w:lineRule="auto"/>
        <w:rPr>
          <w:sz w:val="20"/>
          <w:szCs w:val="20"/>
          <w:color w:val="auto"/>
        </w:rPr>
      </w:pPr>
      <w:r>
        <w:rPr>
          <w:rFonts w:ascii="Arial" w:cs="Arial" w:eastAsia="Arial" w:hAnsi="Arial"/>
          <w:sz w:val="16"/>
          <w:szCs w:val="16"/>
          <w:color w:val="auto"/>
        </w:rPr>
        <w:t>We have funded our operations since inception primarily through equity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1" w:lineRule="exact"/>
        <w:rPr>
          <w:sz w:val="20"/>
          <w:szCs w:val="20"/>
          <w:color w:val="auto"/>
        </w:rPr>
      </w:pPr>
    </w:p>
    <w:p>
      <w:pPr>
        <w:ind w:left="260" w:right="40" w:firstLine="437"/>
        <w:spacing w:after="0" w:line="271"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81" w:lineRule="exact"/>
        <w:rPr>
          <w:sz w:val="20"/>
          <w:szCs w:val="20"/>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hanging="537"/>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1" w:lineRule="exact"/>
        <w:rPr>
          <w:sz w:val="20"/>
          <w:szCs w:val="20"/>
          <w:color w:val="auto"/>
        </w:rPr>
      </w:pPr>
    </w:p>
    <w:p>
      <w:pPr>
        <w:jc w:val="both"/>
        <w:ind w:left="260" w:right="100" w:firstLine="437"/>
        <w:spacing w:after="0" w:line="275"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5" w:lineRule="exact"/>
        <w:rPr>
          <w:sz w:val="20"/>
          <w:szCs w:val="20"/>
          <w:color w:val="auto"/>
        </w:rPr>
      </w:pPr>
    </w:p>
    <w:p>
      <w:pPr>
        <w:ind w:left="260" w:right="360"/>
        <w:spacing w:after="0" w:line="271"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75" w:lineRule="exact"/>
        <w:rPr>
          <w:sz w:val="20"/>
          <w:szCs w:val="20"/>
          <w:color w:val="auto"/>
        </w:rPr>
      </w:pPr>
    </w:p>
    <w:p>
      <w:pPr>
        <w:ind w:left="260" w:firstLine="437"/>
        <w:spacing w:after="0" w:line="266" w:lineRule="auto"/>
        <w:rPr>
          <w:sz w:val="20"/>
          <w:szCs w:val="20"/>
          <w:color w:val="auto"/>
        </w:rPr>
      </w:pPr>
      <w:r>
        <w:rPr>
          <w:rFonts w:ascii="Arial" w:cs="Arial" w:eastAsia="Arial" w:hAnsi="Arial"/>
          <w:sz w:val="17"/>
          <w:szCs w:val="17"/>
          <w:color w:val="auto"/>
        </w:rPr>
        <w:t>Our Class B common stock has ten votes per share and our Class A common stock, which is the stock we are offering in this offering, has one vote per share. Our existing stockholders, all of which hold shares of Class B common stock, will collectively beneficially own shares representing approximately 99% of the voting power of our outstanding capital stock following the completion of this offering. Our directors and executive officers and their affiliates will collectively beneficially own, in the aggregate, shares representing approximately 85% of the voting power of our outstanding capital stock immediately following the completion of this offering, based on the number of shares outstanding as of July 31, 2019, and without giving effect to any purchases that these holders may make through our directed share program or otherwise in this offering. As a result, the holders of our Class B common stock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86" w:lineRule="exact"/>
        <w:rPr>
          <w:sz w:val="20"/>
          <w:szCs w:val="20"/>
          <w:color w:val="auto"/>
        </w:rPr>
      </w:pPr>
    </w:p>
    <w:p>
      <w:pPr>
        <w:ind w:left="260" w:right="20" w:firstLine="437"/>
        <w:spacing w:after="0" w:line="267" w:lineRule="auto"/>
        <w:rPr>
          <w:sz w:val="20"/>
          <w:szCs w:val="20"/>
          <w:color w:val="auto"/>
        </w:rPr>
      </w:pPr>
      <w:r>
        <w:rPr>
          <w:rFonts w:ascii="Arial" w:cs="Arial" w:eastAsia="Arial" w:hAnsi="Arial"/>
          <w:sz w:val="17"/>
          <w:szCs w:val="17"/>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as of July 31, 2019, Olivier Pomel and Alexis Lê-Quôc represented approximately 24% of the voting power of our outstanding capital stock, and if they retain a significant portion of their holdings of our Class B common stock for an extended period of time, they could control a significant portion of the voting power of our capital stock for the foreseeable future. As board members, Messrs. Pomel and Lê-Quôc each owe a fiduciary duty to our stockholders and must act in good faith and in a manner they each reasonably believe to be in the best interests of our stockholders. As stockholders, Messrs. Pomel and Lê-Quôc are entitled to vote their shares in their own interests, which may not always be in the interests of our stockholders generally.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1" w:lineRule="exact"/>
        <w:rPr>
          <w:sz w:val="20"/>
          <w:szCs w:val="20"/>
          <w:color w:val="auto"/>
        </w:rPr>
      </w:pPr>
    </w:p>
    <w:p>
      <w:pPr>
        <w:ind w:left="260" w:right="20" w:firstLine="437"/>
        <w:spacing w:after="0" w:line="275"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260" w:right="80"/>
        <w:spacing w:after="0" w:line="272" w:lineRule="auto"/>
        <w:rPr>
          <w:sz w:val="20"/>
          <w:szCs w:val="20"/>
          <w:color w:val="auto"/>
        </w:rPr>
      </w:pPr>
      <w:r>
        <w:rPr>
          <w:rFonts w:ascii="Arial" w:cs="Arial" w:eastAsia="Arial" w:hAnsi="Arial"/>
          <w:sz w:val="17"/>
          <w:szCs w:val="17"/>
          <w:color w:val="auto"/>
        </w:rPr>
        <w:t>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7" w:lineRule="exact"/>
        <w:rPr>
          <w:sz w:val="20"/>
          <w:szCs w:val="20"/>
          <w:color w:val="auto"/>
        </w:rPr>
      </w:pPr>
    </w:p>
    <w:p>
      <w:pPr>
        <w:ind w:left="260" w:right="40"/>
        <w:spacing w:after="0" w:line="271" w:lineRule="auto"/>
        <w:rPr>
          <w:sz w:val="20"/>
          <w:szCs w:val="20"/>
          <w:color w:val="auto"/>
        </w:rPr>
      </w:pPr>
      <w:r>
        <w:rPr>
          <w:rFonts w:ascii="Arial" w:cs="Arial" w:eastAsia="Arial" w:hAnsi="Arial"/>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175" w:lineRule="exact"/>
        <w:rPr>
          <w:sz w:val="20"/>
          <w:szCs w:val="20"/>
          <w:color w:val="auto"/>
        </w:rPr>
      </w:pPr>
    </w:p>
    <w:p>
      <w:pPr>
        <w:ind w:left="260" w:right="60" w:firstLine="437"/>
        <w:spacing w:after="0" w:line="272" w:lineRule="auto"/>
        <w:rPr>
          <w:sz w:val="20"/>
          <w:szCs w:val="20"/>
          <w:color w:val="auto"/>
        </w:rPr>
      </w:pPr>
      <w:r>
        <w:rPr>
          <w:rFonts w:ascii="Arial" w:cs="Arial" w:eastAsia="Arial" w:hAnsi="Arial"/>
          <w:sz w:val="17"/>
          <w:szCs w:val="17"/>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221" w:lineRule="exact"/>
        <w:rPr>
          <w:sz w:val="20"/>
          <w:szCs w:val="20"/>
          <w:color w:val="auto"/>
        </w:rPr>
      </w:pPr>
    </w:p>
    <w:p>
      <w:pPr>
        <w:ind w:left="260" w:right="20" w:firstLine="437"/>
        <w:spacing w:after="0" w:line="287" w:lineRule="auto"/>
        <w:rPr>
          <w:sz w:val="20"/>
          <w:szCs w:val="20"/>
          <w:color w:val="auto"/>
        </w:rPr>
      </w:pPr>
      <w:r>
        <w:rPr>
          <w:rFonts w:ascii="Arial" w:cs="Arial" w:eastAsia="Arial" w:hAnsi="Arial"/>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If we do not use the net proceeds that we receive in this offering effectively, our business, financial condition, results of operations and prospects could be harmed, and the market price of our Class A common stock could decline.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3" w:lineRule="exact"/>
        <w:rPr>
          <w:sz w:val="20"/>
          <w:szCs w:val="20"/>
          <w:color w:val="auto"/>
        </w:rPr>
      </w:pPr>
    </w:p>
    <w:p>
      <w:pPr>
        <w:ind w:left="260" w:firstLine="437"/>
        <w:spacing w:after="0" w:line="293" w:lineRule="auto"/>
        <w:rPr>
          <w:sz w:val="20"/>
          <w:szCs w:val="20"/>
          <w:color w:val="auto"/>
        </w:rPr>
      </w:pPr>
      <w:r>
        <w:rPr>
          <w:rFonts w:ascii="Arial" w:cs="Arial" w:eastAsia="Arial" w:hAnsi="Arial"/>
          <w:sz w:val="16"/>
          <w:szCs w:val="16"/>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ind w:left="260" w:right="40" w:firstLine="437"/>
        <w:spacing w:after="0" w:line="252"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subject to certain exceptions; provided that such restricted period will end with respect to 20% of the shares subject to each lock-up agreement if at any time beginning 90 days after the date of this prospectus (1) we have filed at least one quarterly report on Form 10-Q or annual report on Form 10-K and (2) the last reported closing price of our Class A common stock is at least 33% greater than the initial public offering price of our Class A common stock for 10 out of any 15 consecutive</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24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trading days, including the last day,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the 180th day after the date of this prospectus occurs within five trading days of a trading black-out period, the lock-up period will expire on the sixth trading day immediately preceding the commencement of the trading black-out period. Morgan Stanley &amp; Co. LLC and either of Goldman Sachs &amp; Co. LLC or J.P. Morgan Securities LLC may, in their sole discretion, permit our stockholders who are subject to these lock-up agreements to sell shares prior to the expiration of the lock-up agreements, subject to applicable notice requirements. If not earlier released, all of the shares of Class A common stock sold in this offering will become eligible for sale upon expiration of the 180-day lock-up period, except for any shares held by our affiliates as defined in Rule 144 under the Securities Act.</w:t>
      </w:r>
    </w:p>
    <w:p>
      <w:pPr>
        <w:spacing w:after="0" w:line="184" w:lineRule="exact"/>
        <w:rPr>
          <w:sz w:val="20"/>
          <w:szCs w:val="20"/>
          <w:color w:val="auto"/>
        </w:rPr>
      </w:pPr>
    </w:p>
    <w:p>
      <w:pPr>
        <w:ind w:left="260" w:right="220" w:firstLine="437"/>
        <w:spacing w:after="0" w:line="254" w:lineRule="auto"/>
        <w:rPr>
          <w:sz w:val="20"/>
          <w:szCs w:val="20"/>
          <w:color w:val="auto"/>
        </w:rPr>
      </w:pPr>
      <w:r>
        <w:rPr>
          <w:rFonts w:ascii="Arial" w:cs="Arial" w:eastAsia="Arial" w:hAnsi="Arial"/>
          <w:sz w:val="18"/>
          <w:szCs w:val="18"/>
          <w:color w:val="auto"/>
        </w:rPr>
        <w:t>In addition, there were 34,618,503 shares of Class B common stock issuable upon the exercise of options outstanding as of June 30, 2019. We intend to register all of the shares of Class A common stock and Class B common stock issuable upon exercise of outstanding options or other equity incentives we may grant in the future, for public resale under the Securities Act of 1933, as amended, or the Securities Act. The shares of Class A common stock will become eligible for sale in the public market to the extent such options are exercised, subject to the lock-up agreements described above and compliance with applicable securities laws.</w:t>
      </w:r>
    </w:p>
    <w:p>
      <w:pPr>
        <w:spacing w:after="0" w:line="189" w:lineRule="exact"/>
        <w:rPr>
          <w:sz w:val="20"/>
          <w:szCs w:val="20"/>
          <w:color w:val="auto"/>
        </w:rPr>
      </w:pPr>
    </w:p>
    <w:p>
      <w:pPr>
        <w:ind w:left="260" w:firstLine="437"/>
        <w:spacing w:after="0" w:line="259" w:lineRule="auto"/>
        <w:rPr>
          <w:sz w:val="20"/>
          <w:szCs w:val="20"/>
          <w:color w:val="auto"/>
        </w:rPr>
      </w:pPr>
      <w:r>
        <w:rPr>
          <w:rFonts w:ascii="Arial" w:cs="Arial" w:eastAsia="Arial" w:hAnsi="Arial"/>
          <w:sz w:val="18"/>
          <w:szCs w:val="18"/>
          <w:color w:val="auto"/>
        </w:rPr>
        <w:t>Further, based on shares outstanding as of June 30, 2019, holders of approximately 196,312,314 shares, or 68%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6" w:lineRule="exact"/>
        <w:rPr>
          <w:sz w:val="20"/>
          <w:szCs w:val="20"/>
          <w:color w:val="auto"/>
        </w:rPr>
      </w:pPr>
    </w:p>
    <w:p>
      <w:pPr>
        <w:ind w:left="260" w:right="100"/>
        <w:spacing w:after="0" w:line="27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5" w:lineRule="exact"/>
        <w:rPr>
          <w:sz w:val="20"/>
          <w:szCs w:val="20"/>
          <w:color w:val="auto"/>
        </w:rPr>
      </w:pPr>
    </w:p>
    <w:p>
      <w:pPr>
        <w:ind w:left="260" w:right="140" w:firstLine="437"/>
        <w:spacing w:after="0" w:line="272"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77" w:lineRule="exact"/>
        <w:rPr>
          <w:sz w:val="20"/>
          <w:szCs w:val="20"/>
          <w:color w:val="auto"/>
        </w:rPr>
      </w:pPr>
    </w:p>
    <w:p>
      <w:pPr>
        <w:ind w:left="260" w:right="2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175" w:lineRule="exact"/>
        <w:rPr>
          <w:sz w:val="20"/>
          <w:szCs w:val="20"/>
          <w:color w:val="auto"/>
        </w:rPr>
      </w:pPr>
    </w:p>
    <w:p>
      <w:pPr>
        <w:ind w:left="260" w:firstLine="437"/>
        <w:spacing w:after="0" w:line="290" w:lineRule="auto"/>
        <w:rPr>
          <w:sz w:val="20"/>
          <w:szCs w:val="20"/>
          <w:color w:val="auto"/>
        </w:rPr>
      </w:pPr>
      <w:r>
        <w:rPr>
          <w:rFonts w:ascii="Arial" w:cs="Arial" w:eastAsia="Arial" w:hAnsi="Arial"/>
          <w:sz w:val="16"/>
          <w:szCs w:val="16"/>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65" w:lineRule="exact"/>
        <w:rPr>
          <w:sz w:val="20"/>
          <w:szCs w:val="20"/>
          <w:color w:val="auto"/>
        </w:rPr>
      </w:pPr>
    </w:p>
    <w:p>
      <w:pPr>
        <w:ind w:left="260" w:right="220"/>
        <w:spacing w:after="0" w:line="271"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175" w:lineRule="exact"/>
        <w:rPr>
          <w:sz w:val="20"/>
          <w:szCs w:val="20"/>
          <w:color w:val="auto"/>
        </w:rPr>
      </w:pPr>
    </w:p>
    <w:p>
      <w:pPr>
        <w:ind w:left="260" w:right="100" w:firstLine="437"/>
        <w:spacing w:after="0" w:line="259" w:lineRule="auto"/>
        <w:rPr>
          <w:sz w:val="20"/>
          <w:szCs w:val="20"/>
          <w:color w:val="auto"/>
        </w:rPr>
      </w:pPr>
      <w:r>
        <w:rPr>
          <w:rFonts w:ascii="Arial" w:cs="Arial" w:eastAsia="Arial" w:hAnsi="Arial"/>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$22.96 per share, or</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240" w:top="45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82" w:lineRule="auto"/>
        <w:rPr>
          <w:sz w:val="20"/>
          <w:szCs w:val="20"/>
          <w:color w:val="auto"/>
        </w:rPr>
      </w:pPr>
      <w:r>
        <w:rPr>
          <w:rFonts w:ascii="Arial" w:cs="Arial" w:eastAsia="Arial" w:hAnsi="Arial"/>
          <w:sz w:val="17"/>
          <w:szCs w:val="17"/>
          <w:color w:val="auto"/>
        </w:rPr>
        <w:t>$22.69 per share if the underwriters exercise their over-allotment option in full, representing the difference between our pro forma as adjusted net tangible book value per share after giving effect to the sale of Class A common stock in this offering and the assumed public offering price of $25.00 per share, the midpoint of the price range set forth on the cover page of this prospectus. See the section titled “Dilution.”</w:t>
      </w:r>
    </w:p>
    <w:p>
      <w:pPr>
        <w:spacing w:after="0" w:line="167" w:lineRule="exact"/>
        <w:rPr>
          <w:sz w:val="20"/>
          <w:szCs w:val="20"/>
          <w:color w:val="auto"/>
        </w:rPr>
      </w:pPr>
    </w:p>
    <w:p>
      <w:pPr>
        <w:ind w:left="260" w:right="44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have never declared or paid any cash dividends on our capital stock, and we do not intend to pay any cash dividends in the foreseeable future.</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Any determination to pay dividends in the future will be at the discretion of our board of directors. Accordingly, you may need to rely on sales of our</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Class A common stock after price appreciation, which may never occur, as the only way to realize any future gains on your investment.</w:t>
      </w:r>
    </w:p>
    <w:p>
      <w:pPr>
        <w:spacing w:after="0" w:line="208" w:lineRule="exact"/>
        <w:rPr>
          <w:sz w:val="20"/>
          <w:szCs w:val="20"/>
          <w:color w:val="auto"/>
        </w:rPr>
      </w:pPr>
    </w:p>
    <w:p>
      <w:pPr>
        <w:ind w:left="260" w:right="42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175" w:lineRule="exact"/>
        <w:rPr>
          <w:sz w:val="20"/>
          <w:szCs w:val="20"/>
          <w:color w:val="auto"/>
        </w:rPr>
      </w:pPr>
    </w:p>
    <w:p>
      <w:pPr>
        <w:ind w:left="260" w:right="40" w:firstLine="437"/>
        <w:spacing w:after="0" w:line="267"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will remain an emerging growth company until the earliest of: (1) the last day of the fiscal year following the fifth anniversary of this offering;</w:t>
      </w:r>
    </w:p>
    <w:p>
      <w:pPr>
        <w:spacing w:after="0" w:line="43" w:lineRule="exact"/>
        <w:rPr>
          <w:sz w:val="20"/>
          <w:szCs w:val="20"/>
          <w:color w:val="auto"/>
        </w:rPr>
      </w:pPr>
    </w:p>
    <w:p>
      <w:pPr>
        <w:ind w:left="260" w:right="100" w:hanging="5"/>
        <w:spacing w:after="0" w:line="274" w:lineRule="auto"/>
        <w:tabs>
          <w:tab w:leader="none" w:pos="5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last day of the first fiscal year in which our annual gross revenue is $1.07 billion or more; (3) the date on which we have, during the previous rolling three-year period, issued more than $1 billion in non-convertible debt securities; and (4) the last day of the fiscal year in which the market value of our Class A common stock held by non-affiliates exceeded $700 million as of June 30 of such fiscal year.</w:t>
      </w:r>
    </w:p>
    <w:p>
      <w:pPr>
        <w:spacing w:after="0" w:line="174" w:lineRule="exact"/>
        <w:rPr>
          <w:sz w:val="20"/>
          <w:szCs w:val="20"/>
          <w:color w:val="auto"/>
        </w:rPr>
      </w:pPr>
    </w:p>
    <w:p>
      <w:pPr>
        <w:ind w:left="260" w:right="80" w:firstLine="437"/>
        <w:spacing w:after="0" w:line="275"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spacing w:after="0" w:line="175" w:lineRule="exact"/>
        <w:rPr>
          <w:sz w:val="20"/>
          <w:szCs w:val="20"/>
          <w:color w:val="auto"/>
        </w:rPr>
      </w:pPr>
    </w:p>
    <w:p>
      <w:pPr>
        <w:ind w:left="260" w:right="56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5" w:lineRule="exact"/>
        <w:rPr>
          <w:sz w:val="20"/>
          <w:szCs w:val="20"/>
          <w:color w:val="auto"/>
        </w:rPr>
      </w:pPr>
    </w:p>
    <w:p>
      <w:pPr>
        <w:ind w:left="260" w:right="80" w:firstLine="437"/>
        <w:spacing w:after="0" w:line="275"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Global Select Market, or Nasdaq, and other applicable securities rules and regulations impose various requirements on public companies. Our management and other personnel devote a</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60"/>
        <w:spacing w:after="0" w:line="259" w:lineRule="auto"/>
        <w:rPr>
          <w:sz w:val="20"/>
          <w:szCs w:val="20"/>
          <w:color w:val="auto"/>
        </w:rPr>
      </w:pPr>
      <w:r>
        <w:rPr>
          <w:rFonts w:ascii="Arial" w:cs="Arial" w:eastAsia="Arial" w:hAnsi="Arial"/>
          <w:sz w:val="18"/>
          <w:szCs w:val="18"/>
          <w:color w:val="auto"/>
        </w:rPr>
        <w:t>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86" w:lineRule="exact"/>
        <w:rPr>
          <w:sz w:val="20"/>
          <w:szCs w:val="20"/>
          <w:color w:val="auto"/>
        </w:rPr>
      </w:pPr>
    </w:p>
    <w:p>
      <w:pPr>
        <w:jc w:val="both"/>
        <w:ind w:left="260" w:right="100"/>
        <w:spacing w:after="0" w:line="25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6" w:lineRule="exact"/>
        <w:rPr>
          <w:sz w:val="20"/>
          <w:szCs w:val="20"/>
          <w:color w:val="auto"/>
        </w:rPr>
      </w:pPr>
    </w:p>
    <w:p>
      <w:pPr>
        <w:ind w:left="260" w:right="80" w:firstLine="437"/>
        <w:spacing w:after="0" w:line="285" w:lineRule="auto"/>
        <w:rPr>
          <w:sz w:val="20"/>
          <w:szCs w:val="20"/>
          <w:color w:val="auto"/>
        </w:rPr>
      </w:pPr>
      <w:r>
        <w:rPr>
          <w:rFonts w:ascii="Arial" w:cs="Arial" w:eastAsia="Arial" w:hAnsi="Arial"/>
          <w:sz w:val="16"/>
          <w:szCs w:val="16"/>
          <w:color w:val="auto"/>
        </w:rPr>
        <w:t>We are required, pursuant to Section 404 to furnish a report by management on, among other things, the effectiveness of our internal control over financial reporting for the fiscal year ending December 31, 2020.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0" w:lineRule="exact"/>
        <w:rPr>
          <w:sz w:val="20"/>
          <w:szCs w:val="20"/>
          <w:color w:val="auto"/>
        </w:rPr>
      </w:pPr>
    </w:p>
    <w:p>
      <w:pPr>
        <w:ind w:left="260" w:firstLine="437"/>
        <w:spacing w:after="0" w:line="286"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8" w:lineRule="exact"/>
        <w:rPr>
          <w:sz w:val="20"/>
          <w:szCs w:val="20"/>
          <w:color w:val="auto"/>
        </w:rPr>
      </w:pPr>
    </w:p>
    <w:p>
      <w:pPr>
        <w:ind w:left="260" w:right="20"/>
        <w:spacing w:after="0" w:line="335"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29" w:lineRule="exact"/>
        <w:rPr>
          <w:sz w:val="20"/>
          <w:szCs w:val="20"/>
          <w:color w:val="auto"/>
        </w:rPr>
      </w:pPr>
    </w:p>
    <w:p>
      <w:pPr>
        <w:ind w:left="260" w:firstLine="437"/>
        <w:spacing w:after="0" w:line="259"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93" w:lineRule="exact"/>
        <w:rPr>
          <w:sz w:val="20"/>
          <w:szCs w:val="20"/>
          <w:color w:val="auto"/>
        </w:rPr>
      </w:pPr>
    </w:p>
    <w:p>
      <w:pPr>
        <w:ind w:left="1220" w:right="340" w:hanging="537"/>
        <w:spacing w:after="0" w:line="301" w:lineRule="auto"/>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8" w:lineRule="exact"/>
        <w:rPr>
          <w:rFonts w:ascii="Arial" w:cs="Arial" w:eastAsia="Arial" w:hAnsi="Arial"/>
          <w:sz w:val="17"/>
          <w:szCs w:val="17"/>
          <w:color w:val="auto"/>
        </w:rPr>
      </w:pPr>
    </w:p>
    <w:p>
      <w:pPr>
        <w:ind w:left="1220" w:hanging="537"/>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0" w:lineRule="exact"/>
        <w:rPr>
          <w:rFonts w:ascii="Arial" w:cs="Arial" w:eastAsia="Arial" w:hAnsi="Arial"/>
          <w:sz w:val="16"/>
          <w:szCs w:val="16"/>
          <w:color w:val="auto"/>
        </w:rPr>
      </w:pPr>
    </w:p>
    <w:p>
      <w:pPr>
        <w:ind w:left="1220" w:right="100" w:hanging="537"/>
        <w:spacing w:after="0" w:line="271"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right="140" w:hanging="537"/>
        <w:spacing w:after="0" w:line="271"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that our directors may be removed for cause only upon the vote of at least 66 2/3% of our outstanding shares of voting stock;</w:t>
      </w:r>
    </w:p>
    <w:p>
      <w:pPr>
        <w:spacing w:after="0" w:line="150" w:lineRule="exact"/>
        <w:rPr>
          <w:rFonts w:ascii="Arial" w:cs="Arial" w:eastAsia="Arial" w:hAnsi="Arial"/>
          <w:sz w:val="16"/>
          <w:szCs w:val="16"/>
          <w:color w:val="auto"/>
        </w:rPr>
      </w:pPr>
    </w:p>
    <w:p>
      <w:pPr>
        <w:ind w:left="1220" w:right="580" w:hanging="537"/>
        <w:spacing w:after="0" w:line="271"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81" w:lineRule="exact"/>
        <w:rPr>
          <w:rFonts w:ascii="Arial" w:cs="Arial" w:eastAsia="Arial" w:hAnsi="Arial"/>
          <w:sz w:val="18"/>
          <w:szCs w:val="18"/>
          <w:color w:val="auto"/>
        </w:rPr>
      </w:pPr>
    </w:p>
    <w:p>
      <w:pPr>
        <w:ind w:left="1220" w:right="360" w:hanging="537"/>
        <w:spacing w:after="0" w:line="271"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5" w:lineRule="exact"/>
        <w:rPr>
          <w:sz w:val="20"/>
          <w:szCs w:val="20"/>
          <w:color w:val="auto"/>
        </w:rPr>
      </w:pPr>
    </w:p>
    <w:p>
      <w:pPr>
        <w:ind w:left="260" w:firstLine="437"/>
        <w:spacing w:after="0" w:line="28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67" w:lineRule="exact"/>
        <w:rPr>
          <w:sz w:val="20"/>
          <w:szCs w:val="20"/>
          <w:color w:val="auto"/>
        </w:rPr>
      </w:pPr>
    </w:p>
    <w:p>
      <w:pPr>
        <w:ind w:left="260" w:right="100"/>
        <w:spacing w:after="0" w:line="368" w:lineRule="auto"/>
        <w:rPr>
          <w:sz w:val="20"/>
          <w:szCs w:val="20"/>
          <w:color w:val="auto"/>
        </w:rPr>
      </w:pPr>
      <w:r>
        <w:rPr>
          <w:rFonts w:ascii="Arial" w:cs="Arial" w:eastAsia="Arial" w:hAnsi="Arial"/>
          <w:sz w:val="14"/>
          <w:szCs w:val="14"/>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116" w:lineRule="exact"/>
        <w:rPr>
          <w:sz w:val="20"/>
          <w:szCs w:val="20"/>
          <w:color w:val="auto"/>
        </w:rPr>
      </w:pPr>
    </w:p>
    <w:p>
      <w:pPr>
        <w:ind w:left="260" w:right="140" w:firstLine="437"/>
        <w:spacing w:after="0" w:line="287" w:lineRule="auto"/>
        <w:rPr>
          <w:sz w:val="20"/>
          <w:szCs w:val="20"/>
          <w:color w:val="auto"/>
        </w:rPr>
      </w:pPr>
      <w:r>
        <w:rPr>
          <w:rFonts w:ascii="Arial" w:cs="Arial" w:eastAsia="Arial" w:hAnsi="Arial"/>
          <w:sz w:val="16"/>
          <w:szCs w:val="16"/>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67" w:lineRule="exact"/>
        <w:rPr>
          <w:sz w:val="20"/>
          <w:szCs w:val="20"/>
          <w:color w:val="auto"/>
        </w:rPr>
      </w:pPr>
    </w:p>
    <w:p>
      <w:pPr>
        <w:ind w:left="260" w:right="160" w:firstLine="437"/>
        <w:spacing w:after="0" w:line="288"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left="260" w:right="80" w:firstLine="437"/>
        <w:spacing w:after="0" w:line="290"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1" w:lineRule="exact"/>
        <w:rPr>
          <w:sz w:val="20"/>
          <w:szCs w:val="20"/>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future investments in our business, our anticipated capital expenditures and our estimates regarding our capital requirements;</w:t>
      </w:r>
    </w:p>
    <w:p>
      <w:pPr>
        <w:spacing w:after="0" w:line="139" w:lineRule="exact"/>
        <w:rPr>
          <w:rFonts w:ascii="Arial" w:cs="Arial" w:eastAsia="Arial" w:hAnsi="Arial"/>
          <w:sz w:val="17"/>
          <w:szCs w:val="17"/>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21" w:lineRule="exact"/>
        <w:rPr>
          <w:sz w:val="20"/>
          <w:szCs w:val="20"/>
          <w:color w:val="auto"/>
        </w:rPr>
      </w:pPr>
    </w:p>
    <w:p>
      <w:pPr>
        <w:ind w:left="260" w:firstLine="437"/>
        <w:spacing w:after="0" w:line="288"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7" w:lineRule="exact"/>
        <w:rPr>
          <w:sz w:val="20"/>
          <w:szCs w:val="20"/>
          <w:color w:val="auto"/>
        </w:rPr>
      </w:pPr>
    </w:p>
    <w:p>
      <w:pPr>
        <w:ind w:left="260" w:right="40" w:firstLine="437"/>
        <w:spacing w:after="0" w:line="29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60" w:lineRule="exact"/>
        <w:rPr>
          <w:sz w:val="20"/>
          <w:szCs w:val="20"/>
          <w:color w:val="auto"/>
        </w:rPr>
      </w:pPr>
    </w:p>
    <w:p>
      <w:pPr>
        <w:ind w:left="260" w:right="260" w:firstLine="437"/>
        <w:spacing w:after="0" w:line="293"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6"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MARKET, INDUSTRY AND OTHER DATA</w:t>
      </w:r>
    </w:p>
    <w:p>
      <w:pPr>
        <w:spacing w:after="0" w:line="225" w:lineRule="exact"/>
        <w:rPr>
          <w:sz w:val="20"/>
          <w:szCs w:val="20"/>
          <w:color w:val="auto"/>
        </w:rPr>
      </w:pPr>
    </w:p>
    <w:p>
      <w:pPr>
        <w:ind w:left="260" w:firstLine="437"/>
        <w:spacing w:after="0" w:line="251" w:lineRule="auto"/>
        <w:rPr>
          <w:sz w:val="20"/>
          <w:szCs w:val="20"/>
          <w:color w:val="auto"/>
        </w:rPr>
      </w:pPr>
      <w:r>
        <w:rPr>
          <w:rFonts w:ascii="Arial" w:cs="Arial" w:eastAsia="Arial" w:hAnsi="Arial"/>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95" w:lineRule="exact"/>
        <w:rPr>
          <w:sz w:val="20"/>
          <w:szCs w:val="20"/>
          <w:color w:val="auto"/>
        </w:rPr>
      </w:pPr>
    </w:p>
    <w:p>
      <w:pPr>
        <w:ind w:left="260" w:right="80" w:firstLine="437"/>
        <w:spacing w:after="0" w:line="271" w:lineRule="auto"/>
        <w:rPr>
          <w:sz w:val="20"/>
          <w:szCs w:val="20"/>
          <w:color w:val="auto"/>
        </w:rPr>
      </w:pPr>
      <w:r>
        <w:rPr>
          <w:rFonts w:ascii="Arial" w:cs="Arial" w:eastAsia="Arial" w:hAnsi="Arial"/>
          <w:sz w:val="18"/>
          <w:szCs w:val="18"/>
          <w:color w:val="auto"/>
        </w:rPr>
        <w:t>The sources of certain statistical data, estimates and forecasts contained in this prospectus are the following independent industry publications or reports:</w:t>
      </w:r>
    </w:p>
    <w:p>
      <w:pPr>
        <w:spacing w:after="0" w:line="81" w:lineRule="exact"/>
        <w:rPr>
          <w:sz w:val="20"/>
          <w:szCs w:val="20"/>
          <w:color w:val="auto"/>
        </w:rPr>
      </w:pPr>
    </w:p>
    <w:p>
      <w:pPr>
        <w:ind w:left="1220" w:right="300" w:hanging="537"/>
        <w:spacing w:after="0" w:line="282" w:lineRule="auto"/>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Gartner: Market Insight: Cloud Shift—2018 to 2022, published August 24, 2018; Magic Quadrant for Application Performance Monitoring Suites, published March 14, 2018; Market Guide for IT Infrastructure Monitoring Tools, published July 9, 2018; Forecast: Enterprise Infrastructure Software, Worldwide, 2017-2023, 1Q19 Update, published March 26, 2019.</w:t>
      </w:r>
    </w:p>
    <w:p>
      <w:pPr>
        <w:spacing w:after="0" w:line="73" w:lineRule="exact"/>
        <w:rPr>
          <w:rFonts w:ascii="Arial" w:cs="Arial" w:eastAsia="Arial" w:hAnsi="Arial"/>
          <w:sz w:val="17"/>
          <w:szCs w:val="17"/>
          <w:color w:val="auto"/>
        </w:rPr>
      </w:pPr>
    </w:p>
    <w:p>
      <w:pPr>
        <w:ind w:left="1220" w:hanging="537"/>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IDC: Worldwide Semi-Annual Public Cloud Services Spending Guide 2018H1, published December 2018.</w:t>
      </w:r>
    </w:p>
    <w:p>
      <w:pPr>
        <w:spacing w:after="0" w:line="221" w:lineRule="exact"/>
        <w:rPr>
          <w:sz w:val="20"/>
          <w:szCs w:val="20"/>
          <w:color w:val="auto"/>
        </w:rPr>
      </w:pPr>
    </w:p>
    <w:p>
      <w:pPr>
        <w:jc w:val="both"/>
        <w:ind w:left="260" w:right="80" w:firstLine="437"/>
        <w:spacing w:after="0" w:line="259" w:lineRule="auto"/>
        <w:rPr>
          <w:sz w:val="20"/>
          <w:szCs w:val="20"/>
          <w:color w:val="auto"/>
        </w:rPr>
      </w:pPr>
      <w:r>
        <w:rPr>
          <w:rFonts w:ascii="Arial" w:cs="Arial" w:eastAsia="Arial" w:hAnsi="Arial"/>
          <w:sz w:val="18"/>
          <w:szCs w:val="18"/>
          <w:color w:val="auto"/>
        </w:rPr>
        <w:t>The Gartner reports described herein represent research opinions or viewpoints published as part of a syndicated subscription service by Gartner, Inc., and are not representations of fact. Each Gartner report speaks as of its original publication date (and not as of the date of this prospectus) and the opinions expressed in the Gartner reports are subject to change without notice.</w:t>
      </w:r>
    </w:p>
    <w:p>
      <w:pPr>
        <w:spacing w:after="0" w:line="186" w:lineRule="exact"/>
        <w:rPr>
          <w:sz w:val="20"/>
          <w:szCs w:val="20"/>
          <w:color w:val="auto"/>
        </w:rPr>
      </w:pPr>
    </w:p>
    <w:p>
      <w:pPr>
        <w:ind w:left="260" w:right="60" w:firstLine="437"/>
        <w:spacing w:after="0" w:line="255"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240" w:top="456" w:right="5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260" w:firstLine="437"/>
        <w:spacing w:after="0" w:line="255" w:lineRule="auto"/>
        <w:rPr>
          <w:sz w:val="20"/>
          <w:szCs w:val="20"/>
          <w:color w:val="auto"/>
        </w:rPr>
      </w:pPr>
      <w:r>
        <w:rPr>
          <w:rFonts w:ascii="Arial" w:cs="Arial" w:eastAsia="Arial" w:hAnsi="Arial"/>
          <w:sz w:val="18"/>
          <w:szCs w:val="18"/>
          <w:color w:val="auto"/>
        </w:rPr>
        <w:t>We estimate that we will receive net proceeds from this offering of approximately $566.0 million (or approximately $651.5 million if the underwriters exercise their option to purchase additional shares of our Class A common stock from us in full) based on an assumed initial public offering price of $25.00 per share of Class A common stock, the midpoint of the estimated price range set forth on the cover page of this prospectus, after deducting estimated underwriting discounts and commissions and estimated offering expenses.</w:t>
      </w:r>
    </w:p>
    <w:p>
      <w:pPr>
        <w:spacing w:after="0" w:line="191"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A $1.00 increase or decrease in the assumed initial public offering price of $25.00 per share of Class A common stock would increase or decrease, respectively, the net proceeds to us from this offering by approximately $22.8 million or $24.0 million, respectively, assuming the number of shares offered by us, as set forth on the cover page of this prospectus, remains the same, and after deducting estimated underwriting discounts and commissions. Similarly, each increase or decrease of 1,000,000 shares in the number of shares of Class A common stock offered by us would increase or decrease, respectively, the net proceeds to us from this offering by approximately $23.8 million or $25.0 million, respectively, assuming the assumed initial public offering price of $25.00 per share of Class A common stock remains the same, and after deducting estimated underwriting discounts and commissions.</w:t>
      </w:r>
    </w:p>
    <w:p>
      <w:pPr>
        <w:spacing w:after="0" w:line="191" w:lineRule="exact"/>
        <w:rPr>
          <w:sz w:val="20"/>
          <w:szCs w:val="20"/>
          <w:color w:val="auto"/>
        </w:rPr>
      </w:pPr>
    </w:p>
    <w:p>
      <w:pPr>
        <w:ind w:left="260" w:right="280" w:firstLine="437"/>
        <w:spacing w:after="0" w:line="252"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However, we do not have agreements or commitments to enter into any acquisitions at this time.</w:t>
      </w:r>
    </w:p>
    <w:p>
      <w:pPr>
        <w:spacing w:after="0" w:line="195" w:lineRule="exact"/>
        <w:rPr>
          <w:sz w:val="20"/>
          <w:szCs w:val="20"/>
          <w:color w:val="auto"/>
        </w:rPr>
      </w:pPr>
    </w:p>
    <w:p>
      <w:pPr>
        <w:ind w:left="260" w:right="540" w:firstLine="437"/>
        <w:spacing w:after="0" w:line="271" w:lineRule="auto"/>
        <w:rPr>
          <w:sz w:val="20"/>
          <w:szCs w:val="20"/>
          <w:color w:val="auto"/>
        </w:rPr>
      </w:pPr>
      <w:r>
        <w:rPr>
          <w:rFonts w:ascii="Arial" w:cs="Arial" w:eastAsia="Arial" w:hAnsi="Arial"/>
          <w:sz w:val="18"/>
          <w:szCs w:val="18"/>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260" w:firstLine="437"/>
        <w:spacing w:after="0" w:line="25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240" w:top="456" w:right="5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our cash and capitalization as of June 30, 2019:</w:t>
      </w:r>
    </w:p>
    <w:p>
      <w:pPr>
        <w:spacing w:after="0" w:line="128" w:lineRule="exact"/>
        <w:rPr>
          <w:sz w:val="20"/>
          <w:szCs w:val="20"/>
          <w:color w:val="auto"/>
        </w:rPr>
      </w:pPr>
    </w:p>
    <w:p>
      <w:pPr>
        <w:ind w:left="1220" w:hanging="537"/>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27" w:lineRule="exact"/>
        <w:rPr>
          <w:rFonts w:ascii="Arial" w:cs="Arial" w:eastAsia="Arial" w:hAnsi="Arial"/>
          <w:sz w:val="18"/>
          <w:szCs w:val="18"/>
          <w:color w:val="auto"/>
        </w:rPr>
      </w:pPr>
    </w:p>
    <w:p>
      <w:pPr>
        <w:ind w:left="1220" w:right="60" w:hanging="537"/>
        <w:spacing w:after="0" w:line="255" w:lineRule="auto"/>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basis, giving effect to (1) the reclassification of our common stock into Class B common stock, (2) the automatic conversion of all of our outstanding shares of convertible preferred stock into 179,011,431 shares of Class B common stock, and (3) the filing and effectiveness of our amended and restated certificate of incorporation, each of which will occur immediately prior to the completion of this offering; and</w:t>
      </w:r>
    </w:p>
    <w:p>
      <w:pPr>
        <w:spacing w:after="0" w:line="97" w:lineRule="exact"/>
        <w:rPr>
          <w:rFonts w:ascii="Arial" w:cs="Arial" w:eastAsia="Arial" w:hAnsi="Arial"/>
          <w:sz w:val="18"/>
          <w:szCs w:val="18"/>
          <w:color w:val="auto"/>
        </w:rPr>
      </w:pPr>
    </w:p>
    <w:p>
      <w:pPr>
        <w:ind w:left="1220" w:hanging="537"/>
        <w:spacing w:after="0" w:line="255" w:lineRule="auto"/>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(1) the pro forma adjustments set forth above and (2) our receipt of estimated net proceeds from the sale of shares of Class A common stock that we are offering at an assumed initial public offering price of $25.00 per share, the midpoint of the price range set forth on the cover page of this prospectus, after deducting the estimated underwriting discounts and commissions and estimated offering expenses.</w:t>
      </w:r>
    </w:p>
    <w:p>
      <w:pPr>
        <w:spacing w:after="0" w:line="12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240" w:top="456" w:right="6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720" w:firstLine="437"/>
        <w:spacing w:after="0" w:line="271" w:lineRule="auto"/>
        <w:rPr>
          <w:sz w:val="20"/>
          <w:szCs w:val="20"/>
          <w:color w:val="auto"/>
        </w:rPr>
      </w:pPr>
      <w:r>
        <w:rPr>
          <w:rFonts w:ascii="Arial" w:cs="Arial" w:eastAsia="Arial" w:hAnsi="Arial"/>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93"/>
              </w:rPr>
              <w:t>As of June 30, 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3"/>
              <w:spacing w:after="0" w:line="109" w:lineRule="exact"/>
              <w:rPr>
                <w:sz w:val="20"/>
                <w:szCs w:val="20"/>
                <w:color w:val="auto"/>
              </w:rPr>
            </w:pPr>
            <w:r>
              <w:rPr>
                <w:rFonts w:ascii="Arial" w:cs="Arial" w:eastAsia="Arial" w:hAnsi="Arial"/>
                <w:sz w:val="12"/>
                <w:szCs w:val="12"/>
                <w:b w:val="1"/>
                <w:bCs w:val="1"/>
                <w:color w:val="auto"/>
                <w:w w:val="96"/>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Actual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9"/>
              </w:rPr>
              <w:t>Pro Forma</w:t>
            </w:r>
          </w:p>
        </w:tc>
        <w:tc>
          <w:tcPr>
            <w:tcW w:w="14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9"/>
              </w:rPr>
              <w:t>As Adjusted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120" w:type="dxa"/>
            <w:vAlign w:val="bottom"/>
            <w:tcBorders>
              <w:top w:val="single" w:sz="8" w:color="auto"/>
            </w:tcBorders>
            <w:gridSpan w:val="9"/>
          </w:tcPr>
          <w:p>
            <w:pPr>
              <w:jc w:val="center"/>
              <w:ind w:right="13"/>
              <w:spacing w:after="0" w:line="128" w:lineRule="exact"/>
              <w:rPr>
                <w:sz w:val="20"/>
                <w:szCs w:val="20"/>
                <w:color w:val="auto"/>
              </w:rPr>
            </w:pPr>
            <w:r>
              <w:rPr>
                <w:rFonts w:ascii="Arial" w:cs="Arial" w:eastAsia="Arial" w:hAnsi="Arial"/>
                <w:sz w:val="12"/>
                <w:szCs w:val="12"/>
                <w:b w:val="1"/>
                <w:bCs w:val="1"/>
                <w:color w:val="auto"/>
                <w:w w:val="91"/>
              </w:rPr>
              <w:t>(in thousands except share and per share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w w:val="93"/>
              </w:rPr>
              <w:t>Convertible preferred stock, $0.00001 par value, 179,814,912 shares authorized, 179,011,431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w w:val="91"/>
              </w:rPr>
              <w:t>issued and outstanding, actual, and no shares authorized, issued and outstanding, pro forma and pro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forma as adjusted</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140,752</w:t>
            </w:r>
          </w:p>
        </w:tc>
        <w:tc>
          <w:tcPr>
            <w:tcW w:w="1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80" w:type="dxa"/>
            <w:vAlign w:val="bottom"/>
          </w:tcPr>
          <w:p>
            <w:pPr>
              <w:ind w:left="340"/>
              <w:spacing w:after="0" w:line="200" w:lineRule="exact"/>
              <w:rPr>
                <w:sz w:val="20"/>
                <w:szCs w:val="20"/>
                <w:color w:val="auto"/>
              </w:rPr>
            </w:pPr>
            <w:r>
              <w:rPr>
                <w:rFonts w:ascii="Arial" w:cs="Arial" w:eastAsia="Arial" w:hAnsi="Arial"/>
                <w:sz w:val="18"/>
                <w:szCs w:val="18"/>
                <w:color w:val="auto"/>
                <w:w w:val="99"/>
              </w:rPr>
              <w:t>Preferred stock, $0.00001 par value, no shares authorized, issued, and outstanding, actual,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500"/>
              <w:spacing w:after="0"/>
              <w:rPr>
                <w:sz w:val="20"/>
                <w:szCs w:val="20"/>
                <w:color w:val="auto"/>
              </w:rPr>
            </w:pPr>
            <w:r>
              <w:rPr>
                <w:rFonts w:ascii="Arial" w:cs="Arial" w:eastAsia="Arial" w:hAnsi="Arial"/>
                <w:sz w:val="18"/>
                <w:szCs w:val="18"/>
                <w:color w:val="auto"/>
                <w:w w:val="93"/>
              </w:rPr>
              <w:t>and 20,000,000 shares authorized, no shares issued and outstanding, pro forma and pro forma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tcPr>
          <w:p>
            <w:pPr>
              <w:ind w:left="500"/>
              <w:spacing w:after="0"/>
              <w:rPr>
                <w:sz w:val="20"/>
                <w:szCs w:val="20"/>
                <w:color w:val="auto"/>
              </w:rPr>
            </w:pPr>
            <w:r>
              <w:rPr>
                <w:rFonts w:ascii="Arial" w:cs="Arial" w:eastAsia="Arial" w:hAnsi="Arial"/>
                <w:sz w:val="18"/>
                <w:szCs w:val="18"/>
                <w:color w:val="auto"/>
              </w:rPr>
              <w:t>as adjusted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Common stock, $0.00001 par value, 380,000,000 authorized, 86,823,234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outstanding, actual, and no shares authorized, issued and outstanding, pro forma and pro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forma as adjusted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80" w:type="dxa"/>
            <w:vAlign w:val="bottom"/>
          </w:tcPr>
          <w:p>
            <w:pPr>
              <w:ind w:left="340"/>
              <w:spacing w:after="0" w:line="200" w:lineRule="exact"/>
              <w:rPr>
                <w:sz w:val="20"/>
                <w:szCs w:val="20"/>
                <w:color w:val="auto"/>
              </w:rPr>
            </w:pPr>
            <w:r>
              <w:rPr>
                <w:rFonts w:ascii="Arial" w:cs="Arial" w:eastAsia="Arial" w:hAnsi="Arial"/>
                <w:sz w:val="18"/>
                <w:szCs w:val="18"/>
                <w:color w:val="auto"/>
                <w:w w:val="99"/>
              </w:rPr>
              <w:t>Class A common stock, $0.00001 par value, no shares authorized,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500"/>
              <w:spacing w:after="0"/>
              <w:rPr>
                <w:sz w:val="20"/>
                <w:szCs w:val="20"/>
                <w:color w:val="auto"/>
              </w:rPr>
            </w:pPr>
            <w:r>
              <w:rPr>
                <w:rFonts w:ascii="Arial" w:cs="Arial" w:eastAsia="Arial" w:hAnsi="Arial"/>
                <w:sz w:val="18"/>
                <w:szCs w:val="18"/>
                <w:color w:val="auto"/>
                <w:w w:val="97"/>
              </w:rPr>
              <w:t>actual, 2,000,000,000 shares authorized and no shares issued and outstanding, pro forma,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500"/>
              <w:spacing w:after="0"/>
              <w:rPr>
                <w:sz w:val="20"/>
                <w:szCs w:val="20"/>
                <w:color w:val="auto"/>
              </w:rPr>
            </w:pPr>
            <w:r>
              <w:rPr>
                <w:rFonts w:ascii="Arial" w:cs="Arial" w:eastAsia="Arial" w:hAnsi="Arial"/>
                <w:sz w:val="18"/>
                <w:szCs w:val="18"/>
                <w:color w:val="auto"/>
                <w:w w:val="93"/>
              </w:rPr>
              <w:t>2,000,000,000 shares authorized and 24,000,000 shares issued and outstanding, pro forma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tcPr>
          <w:p>
            <w:pPr>
              <w:ind w:left="500"/>
              <w:spacing w:after="0"/>
              <w:rPr>
                <w:sz w:val="20"/>
                <w:szCs w:val="20"/>
                <w:color w:val="auto"/>
              </w:rPr>
            </w:pPr>
            <w:r>
              <w:rPr>
                <w:rFonts w:ascii="Arial" w:cs="Arial" w:eastAsia="Arial" w:hAnsi="Arial"/>
                <w:sz w:val="18"/>
                <w:szCs w:val="18"/>
                <w:color w:val="auto"/>
              </w:rPr>
              <w:t>adjusted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Class B common stock, $0.00001 par value, no shares authorized, issued and outstanding,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6"/>
              </w:rPr>
              <w:t>actual, 310,000,000 shares authorized and 179,011,431 shares issued and outstanding, pro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forma and pro forma as adjusted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(120,346)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(120,346)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(120,346)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80" w:type="dxa"/>
            <w:vAlign w:val="bottom"/>
          </w:tcPr>
          <w:p>
            <w:pPr>
              <w:ind w:left="6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right="320" w:firstLine="437"/>
        <w:spacing w:after="0" w:line="287" w:lineRule="auto"/>
        <w:rPr>
          <w:sz w:val="20"/>
          <w:szCs w:val="20"/>
          <w:color w:val="auto"/>
        </w:rPr>
      </w:pPr>
      <w:r>
        <w:rPr>
          <w:rFonts w:ascii="Arial" w:cs="Arial" w:eastAsia="Arial" w:hAnsi="Arial"/>
          <w:sz w:val="16"/>
          <w:szCs w:val="16"/>
          <w:color w:val="auto"/>
        </w:rPr>
        <w:t>A $1.00 increase or decrease in the assumed initial public offering price of $25.00 per share of Class A common stock, the midpoint of the estimated price range set forth on the cover page of this prospectus, would increase or decrease, respectively, each of our pro forma as adjusted cash, additional paid-in capital, total stockholders’ (deficit) equity and total capitalization by approximately $22.8 million or $24.0 million, respectively, assuming the number of shares offered by us, as set forth on the cover page of this prospectus, remains the same, and after deducting estimated underwriting discounts and commissions. Similarly, each increase or decrease of 1,000,000 shares in the number of shares of Class A common stock offered by us would increase or decrease, respectively, each of our pro forma as adjusted cash, additional paid-in capital, total stockholders’ (deficit) equity and total capitalization by approximately $23.8 million or $25.0 million, respectively, assuming the assumed initial public offering price of $25.00 per share of Class A common stock remains the same, and after deducting estimated underwriting discounts and commissions.</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6"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no shares of</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Class A common stock and 265,834,665 shares of Class B common stock outstanding as of June 30, 2019, and excludes:</w:t>
      </w:r>
    </w:p>
    <w:p>
      <w:pPr>
        <w:spacing w:after="0" w:line="115" w:lineRule="exact"/>
        <w:rPr>
          <w:sz w:val="20"/>
          <w:szCs w:val="20"/>
          <w:color w:val="auto"/>
        </w:rPr>
      </w:pPr>
    </w:p>
    <w:p>
      <w:pPr>
        <w:ind w:left="1220" w:right="60" w:hanging="537"/>
        <w:spacing w:after="0" w:line="271"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34,618,503 shares of Class B common stock issuable on the exercise of stock options outstanding as of June 30, 2019 under our 2012 Plan with a weighted-average exercise price of $1.53 per share;</w:t>
      </w:r>
    </w:p>
    <w:p>
      <w:pPr>
        <w:spacing w:after="0" w:line="81" w:lineRule="exact"/>
        <w:rPr>
          <w:rFonts w:ascii="Arial" w:cs="Arial" w:eastAsia="Arial" w:hAnsi="Arial"/>
          <w:sz w:val="18"/>
          <w:szCs w:val="18"/>
          <w:color w:val="auto"/>
        </w:rPr>
      </w:pPr>
    </w:p>
    <w:p>
      <w:pPr>
        <w:ind w:left="1220" w:hanging="537"/>
        <w:spacing w:after="0" w:line="293" w:lineRule="auto"/>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30,250,000 shares of Class A common stock reserved for future issuance under our 2019 Plan, plus a number of shares of Class A common stock not to exceed 40,046,733 (consisting of the number of shares that remain available under the 2012 Plan as of immediately prior to the effective date of the 2019 Plan and any shares underlying options outstanding under the 2012 Plan that expire or otherwise terminate prior to exercise after the effective date of the 2019 Plan), as well as any future increases, including annual automatic evergreen increases in the number of shares of Class A common stock reserved for issuance under our 2019 Plan; and</w:t>
      </w:r>
    </w:p>
    <w:p>
      <w:pPr>
        <w:spacing w:after="0" w:line="67" w:lineRule="exact"/>
        <w:rPr>
          <w:rFonts w:ascii="Arial" w:cs="Arial" w:eastAsia="Arial" w:hAnsi="Arial"/>
          <w:sz w:val="16"/>
          <w:szCs w:val="16"/>
          <w:color w:val="auto"/>
        </w:rPr>
      </w:pPr>
    </w:p>
    <w:p>
      <w:pPr>
        <w:ind w:left="1220" w:right="620" w:hanging="537"/>
        <w:spacing w:after="0" w:line="417" w:lineRule="auto"/>
        <w:tabs>
          <w:tab w:leader="none" w:pos="1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6,725,000 shares of Class A common stock reserved for issuance under our ESPP, as well as any future increases, including annual automatic evergreen increases in the number of shares of Class A common stock reserved for future issuance under our ESPP.</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60"/>
          </w:cols>
          <w:pgMar w:left="24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260" w:right="280" w:firstLine="437"/>
        <w:spacing w:after="0" w:line="335" w:lineRule="auto"/>
        <w:rPr>
          <w:sz w:val="20"/>
          <w:szCs w:val="20"/>
          <w:color w:val="auto"/>
        </w:rPr>
      </w:pPr>
      <w:r>
        <w:rPr>
          <w:rFonts w:ascii="Arial" w:cs="Arial" w:eastAsia="Arial" w:hAnsi="Arial"/>
          <w:sz w:val="16"/>
          <w:szCs w:val="16"/>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29" w:lineRule="exact"/>
        <w:rPr>
          <w:sz w:val="20"/>
          <w:szCs w:val="20"/>
          <w:color w:val="auto"/>
        </w:rPr>
      </w:pPr>
    </w:p>
    <w:p>
      <w:pPr>
        <w:ind w:left="260" w:right="200" w:firstLine="437"/>
        <w:spacing w:after="0" w:line="255" w:lineRule="auto"/>
        <w:rPr>
          <w:sz w:val="20"/>
          <w:szCs w:val="20"/>
          <w:color w:val="auto"/>
        </w:rPr>
      </w:pPr>
      <w:r>
        <w:rPr>
          <w:rFonts w:ascii="Arial" w:cs="Arial" w:eastAsia="Arial" w:hAnsi="Arial"/>
          <w:sz w:val="18"/>
          <w:szCs w:val="18"/>
          <w:color w:val="auto"/>
        </w:rPr>
        <w:t>Our pro forma net tangible book value as of June 30, 2019 was $26.2 million, or $0.10 per share. Pro forma net tangible book value per share represents the amount of our total tangible assets less our total liabilities, divided by the number of our shares of common stock outstanding as of June 30, 2019, after giving effect to the automatic conversion of all outstanding shares of convertible preferred stock into an aggregate of 179,011,431 shares of Class B common stock immediately prior to the completion of this offering.</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After giving effect to the sale by us of 24,000,000 shares of Class A common stock in this offering at an assumed initial public offering price of</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$25.00 per share, the midpoint of the estimated price range set forth on the cover page of this prospectus, and after deducting estimated underwriting</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discounts and commissions and estimated offering expenses, our pro forma as adjusted net tangible book value as of June 30, 2019 would have been</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$592.2 million, or $2.04 per share. This amount represents an immediate increase in pro forma as adjusted net tangible book value of $1.94 per share to</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our existing stockholders and an immediate dilution in pro forma as adjusted net tangible book value of $22.96 per share to new investors purchasing</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Class A common stock in this offering. We determine dilution by subtracting the pro forma as adjusted net tangible book value per share after this</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offering from the amount of cash that a new investor paid for a share of Class A common stock. The following table illustrates this dilution on a per</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 basis:</w:t>
      </w: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share as of June 30, 2019</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$(1.32)</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June 30, 2019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w w:val="91"/>
              </w:rPr>
              <w:t>Increase in pro forma as adjusted net tangible book value per share attributable to new investors purchasing shares in this</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9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offering</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92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this offering. A $1.00 increase or decrease in the assumed initial public offering price of $25.00 per share of Class A common stock, the midpoint of the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estimated price range set forth on the cover page of this prospectus, would increase or decrease, respectively, our pro forma as adjusted net tangible book</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value per share after this offering by $0.08 per share and increase or decrease, respectively, the dilution to new investors by $0.92 per share, in each case</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assuming the number of shares of Class A common stock offered by us, as set forth on the cover page of this prospectus, remains the same, and after</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deducting estimated underwriting discounts and commissions. Similarly, each increase or decrease of 1,000,000 shares in the number of shares of</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Class A common stock offered by us would increase or decrease, respectively, our pro forma as adjusted net tangible book value by approximately $0.08</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per share and decrease or increase, respectively, the dilution to new investors by approximately $0.08 per share, in each case assuming the assumed</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initial public offering price of $25.00 per share of Class A common stock remains the same, and after deducting estimated underwriting discounts and</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commissions.</w:t>
      </w:r>
    </w:p>
    <w:p>
      <w:pPr>
        <w:spacing w:after="0" w:line="208" w:lineRule="exact"/>
        <w:rPr>
          <w:sz w:val="20"/>
          <w:szCs w:val="20"/>
          <w:color w:val="auto"/>
        </w:rPr>
      </w:pPr>
    </w:p>
    <w:p>
      <w:pPr>
        <w:jc w:val="both"/>
        <w:ind w:left="260" w:right="100" w:firstLine="437"/>
        <w:spacing w:after="0" w:line="259" w:lineRule="auto"/>
        <w:rPr>
          <w:sz w:val="20"/>
          <w:szCs w:val="20"/>
          <w:color w:val="auto"/>
        </w:rPr>
      </w:pPr>
      <w:r>
        <w:rPr>
          <w:rFonts w:ascii="Arial" w:cs="Arial" w:eastAsia="Arial" w:hAnsi="Arial"/>
          <w:sz w:val="18"/>
          <w:szCs w:val="18"/>
          <w:color w:val="auto"/>
        </w:rPr>
        <w:t>If the underwriters exercise their option to purchase additional shares of Class A common stock in full, the pro forma net tangible book value per share, as adjusted to give effect to this offering, would be $2.31 per share, and the dilution in pro forma net tangible book value per share to investors in this offering would be $22.69 per share.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6"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00" w:firstLine="437"/>
        <w:spacing w:after="0" w:line="297" w:lineRule="auto"/>
        <w:rPr>
          <w:sz w:val="20"/>
          <w:szCs w:val="20"/>
          <w:color w:val="auto"/>
        </w:rPr>
      </w:pPr>
      <w:r>
        <w:rPr>
          <w:rFonts w:ascii="Arial" w:cs="Arial" w:eastAsia="Arial" w:hAnsi="Arial"/>
          <w:sz w:val="16"/>
          <w:szCs w:val="16"/>
          <w:color w:val="auto"/>
        </w:rPr>
        <w:t>The following table summarizes, as of June 30, 2019, on a pro forma as adjusted basis as described above, the number of shares of our common stock, the total consideration and the average price per share (1) paid to us by existing stockholders, and (2) to be paid by new investors acquiring our Class A common stock in this offering at an assumed initial public offering price of $25.00 per share, the midpoint of the estimated price range set forth on the cover page of this prospectus, before deducting estimated underwriting discounts and commissions and estimated offering expenses.</w:t>
      </w:r>
    </w:p>
    <w:p>
      <w:pPr>
        <w:spacing w:after="0" w:line="16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1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14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Total Consideration</w:t>
            </w: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40" w:type="dxa"/>
            <w:vAlign w:val="bottom"/>
            <w:tcBorders>
              <w:top w:val="single" w:sz="8" w:color="auto"/>
            </w:tcBorders>
          </w:tcPr>
          <w:p>
            <w:pPr>
              <w:jc w:val="right"/>
              <w:ind w:right="138"/>
              <w:spacing w:after="0" w:line="141"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85"/>
              </w:rPr>
              <w:t>Percent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tcPr>
          <w:p>
            <w:pPr>
              <w:jc w:val="right"/>
              <w:ind w:right="180"/>
              <w:spacing w:after="0" w:line="141"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265,834,665</w:t>
            </w:r>
          </w:p>
        </w:tc>
        <w:tc>
          <w:tcPr>
            <w:tcW w:w="3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w:t>
            </w:r>
          </w:p>
        </w:tc>
        <w:tc>
          <w:tcPr>
            <w:tcW w:w="1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$148,042,353</w:t>
            </w:r>
          </w:p>
        </w:tc>
        <w:tc>
          <w:tcPr>
            <w:tcW w:w="3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30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New investors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24,000,000</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600,000,000</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3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289,834,665</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748,042,353</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firstLine="437"/>
        <w:spacing w:after="0" w:line="255" w:lineRule="auto"/>
        <w:rPr>
          <w:sz w:val="20"/>
          <w:szCs w:val="20"/>
          <w:color w:val="auto"/>
        </w:rPr>
      </w:pPr>
      <w:r>
        <w:rPr>
          <w:rFonts w:ascii="Arial" w:cs="Arial" w:eastAsia="Arial" w:hAnsi="Arial"/>
          <w:sz w:val="18"/>
          <w:szCs w:val="18"/>
          <w:color w:val="auto"/>
        </w:rPr>
        <w:t>Each $1.00 increase or decrease in the assumed initial public offering price of $25.00 per share, the midpoint of the estimated price range set forth on the cover page of this prospectus, would increase or decrease, respectively, the total consideration paid by new investors and total consideration paid by all stockholders by approximately $24.0 million, assuming that the number of shares of Class A common stock offered by us, as set forth on the cover page of this prospectus, remains the same.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no shares of</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Class A common stock and 265,834,665 shares of Class B common stock outstanding as of June 30, 2019, and excludes:</w:t>
      </w:r>
    </w:p>
    <w:p>
      <w:pPr>
        <w:spacing w:after="0" w:line="115" w:lineRule="exact"/>
        <w:rPr>
          <w:sz w:val="20"/>
          <w:szCs w:val="20"/>
          <w:color w:val="auto"/>
        </w:rPr>
      </w:pPr>
    </w:p>
    <w:p>
      <w:pPr>
        <w:ind w:left="1220" w:right="80" w:hanging="537"/>
        <w:spacing w:after="0" w:line="271"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34,618,503 shares of Class B common stock issuable on the exercise of stock options outstanding as of June 30, 2019 under our 2012 Plan with a weighted-average exercise price of $1.53 per share;</w:t>
      </w:r>
    </w:p>
    <w:p>
      <w:pPr>
        <w:spacing w:after="0" w:line="81" w:lineRule="exact"/>
        <w:rPr>
          <w:rFonts w:ascii="Arial" w:cs="Arial" w:eastAsia="Arial" w:hAnsi="Arial"/>
          <w:sz w:val="18"/>
          <w:szCs w:val="18"/>
          <w:color w:val="auto"/>
        </w:rPr>
      </w:pPr>
    </w:p>
    <w:p>
      <w:pPr>
        <w:ind w:left="1220" w:right="20" w:hanging="537"/>
        <w:spacing w:after="0" w:line="293" w:lineRule="auto"/>
        <w:tabs>
          <w:tab w:leader="none" w:pos="1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30,250,000 shares of Class A common stock reserved for future issuance under our 2019 Plan, plus a number of shares of Class A common stock not to exceed 40,046,733 (consisting of the number of shares that remain available under the 2012 Plan as of immediately prior to the effective date of the 2019 Plan and any shares underlying options outstanding under the 2012 Plan that expire or otherwise terminate prior to exercise after the effective date of the 2019 Plan), as well as any future increases, including annual automatic evergreen increases, in the number of shares of Class A common stock reserved for issuance under our 2019 Plan; and</w:t>
      </w:r>
    </w:p>
    <w:p>
      <w:pPr>
        <w:spacing w:after="0" w:line="67" w:lineRule="exact"/>
        <w:rPr>
          <w:rFonts w:ascii="Arial" w:cs="Arial" w:eastAsia="Arial" w:hAnsi="Arial"/>
          <w:sz w:val="16"/>
          <w:szCs w:val="16"/>
          <w:color w:val="auto"/>
        </w:rPr>
      </w:pPr>
    </w:p>
    <w:p>
      <w:pPr>
        <w:ind w:left="1220" w:right="640" w:hanging="537"/>
        <w:spacing w:after="0" w:line="417" w:lineRule="auto"/>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6,725,000 shares of Class A common stock reserved for issuance under our ESPP, as well as any future increases, including annual automatic evergreen increases, in the number of shares of Class A common stock reserved for future issuance under our ESPP.</w:t>
      </w:r>
    </w:p>
    <w:p>
      <w:pPr>
        <w:spacing w:after="0" w:line="83" w:lineRule="exact"/>
        <w:rPr>
          <w:sz w:val="20"/>
          <w:szCs w:val="20"/>
          <w:color w:val="auto"/>
        </w:rPr>
      </w:pPr>
    </w:p>
    <w:p>
      <w:pPr>
        <w:ind w:left="260" w:right="160" w:firstLine="437"/>
        <w:spacing w:after="0" w:line="254" w:lineRule="auto"/>
        <w:rPr>
          <w:sz w:val="20"/>
          <w:szCs w:val="20"/>
          <w:color w:val="auto"/>
        </w:rPr>
      </w:pPr>
      <w:r>
        <w:rPr>
          <w:rFonts w:ascii="Arial" w:cs="Arial" w:eastAsia="Arial" w:hAnsi="Arial"/>
          <w:sz w:val="18"/>
          <w:szCs w:val="18"/>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 If all outstanding options under our 2012 Plan as of June 30, 2019 were exercised or settled, then our existing stockholders, including the holders of these options, would own 92.6% and our new investors would own 7.4% of the total number of shares of our Class A common stock and Class B common stock outstanding on the completion of this offering.</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6"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5" w:lineRule="exact"/>
        <w:rPr>
          <w:sz w:val="20"/>
          <w:szCs w:val="20"/>
          <w:color w:val="auto"/>
        </w:rPr>
      </w:pPr>
    </w:p>
    <w:p>
      <w:pPr>
        <w:ind w:left="260" w:right="80" w:firstLine="437"/>
        <w:spacing w:after="0" w:line="267" w:lineRule="auto"/>
        <w:rPr>
          <w:sz w:val="20"/>
          <w:szCs w:val="20"/>
          <w:color w:val="auto"/>
        </w:rPr>
      </w:pPr>
      <w:r>
        <w:rPr>
          <w:rFonts w:ascii="Arial" w:cs="Arial" w:eastAsia="Arial" w:hAnsi="Arial"/>
          <w:sz w:val="17"/>
          <w:szCs w:val="17"/>
          <w:color w:val="auto"/>
        </w:rPr>
        <w:t>The selected consolidated statement of operations data for the years ended December 31, 2017 and 2018 and the selected consolidated balance sheet data as of December 31, 2017 and 2018 have been derived from our audited consolidated financial statements included elsewhere in this prospectus. The selected consolidated statements of operations data for the six months ended June 30, 2018 and 2019 and the selected consolidated balance sheet data as of June 30, 2019 have been derived from our unaudited interim condensed consolidated financial statements included elsewhere in this prospectus. The unaudited condensed consolidated financial statements have been prepared on the same basis as the annual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19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342"/>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221"/>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1"/>
        </w:trPr>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1"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8"/>
          </w:tcPr>
          <w:p>
            <w:pPr>
              <w:jc w:val="right"/>
              <w:ind w:right="120"/>
              <w:spacing w:after="0" w:line="141" w:lineRule="exact"/>
              <w:rPr>
                <w:sz w:val="20"/>
                <w:szCs w:val="20"/>
                <w:color w:val="auto"/>
              </w:rPr>
            </w:pPr>
            <w:r>
              <w:rPr>
                <w:rFonts w:ascii="Arial" w:cs="Arial" w:eastAsia="Arial" w:hAnsi="Arial"/>
                <w:sz w:val="14"/>
                <w:szCs w:val="14"/>
                <w:b w:val="1"/>
                <w:bCs w:val="1"/>
                <w:color w:val="auto"/>
                <w:w w:val="94"/>
              </w:rPr>
              <w:t>(in thousands, except per share data)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100,761</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198,077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85,393</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153,272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77,347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151,548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66,801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113,344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24,734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0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5"/>
                <w:szCs w:val="15"/>
                <w:color w:val="auto"/>
              </w:rPr>
              <w:t>(3)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162,581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tcPr>
          <w:p>
            <w:pPr>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(11,033)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30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(10,240)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60" w:type="dxa"/>
            <w:vAlign w:val="bottom"/>
          </w:tcPr>
          <w:p>
            <w:pPr>
              <w:jc w:val="right"/>
              <w:ind w:right="22"/>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(10,762</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(13,440</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(loss) income per share attributable to common stockholders, basic and diluted</w:t>
            </w:r>
            <w:r>
              <w:rPr>
                <w:rFonts w:ascii="Arial" w:cs="Arial" w:eastAsia="Arial" w:hAnsi="Arial"/>
                <w:sz w:val="15"/>
                <w:szCs w:val="15"/>
                <w:color w:val="auto"/>
                <w:w w:val="92"/>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w w:val="92"/>
              </w:rPr>
              <w:t>Weighted-average shares used to compute net (loss) income per share attributable to</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00" w:type="dxa"/>
            <w:vAlign w:val="bottom"/>
          </w:tcPr>
          <w:p>
            <w:pPr>
              <w:ind w:left="180"/>
              <w:spacing w:after="0"/>
              <w:rPr>
                <w:sz w:val="20"/>
                <w:szCs w:val="20"/>
                <w:color w:val="auto"/>
              </w:rPr>
            </w:pPr>
            <w:r>
              <w:rPr>
                <w:rFonts w:ascii="Arial" w:cs="Arial" w:eastAsia="Arial" w:hAnsi="Arial"/>
                <w:sz w:val="18"/>
                <w:szCs w:val="18"/>
                <w:color w:val="auto"/>
              </w:rPr>
              <w:t>common stockholders, basic</w:t>
            </w:r>
            <w:r>
              <w:rPr>
                <w:rFonts w:ascii="Arial" w:cs="Arial" w:eastAsia="Arial" w:hAnsi="Arial"/>
                <w:sz w:val="15"/>
                <w:szCs w:val="15"/>
                <w:color w:val="auto"/>
              </w:rPr>
              <w:t>(4)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2"/>
              </w:rPr>
              <w:t>Weighted-average shares used to compute net (loss) income per share attributable to</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diluted</w:t>
            </w:r>
            <w:r>
              <w:rPr>
                <w:rFonts w:ascii="Arial" w:cs="Arial" w:eastAsia="Arial" w:hAnsi="Arial"/>
                <w:sz w:val="15"/>
                <w:szCs w:val="15"/>
                <w:color w:val="auto"/>
              </w:rPr>
              <w:t>(4)</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81,528</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w w:val="91"/>
              </w:rPr>
              <w:t>Pro forma net loss per share attributable to common stockholders, basic and diluted</w:t>
            </w:r>
            <w:r>
              <w:rPr>
                <w:rFonts w:ascii="Arial" w:cs="Arial" w:eastAsia="Arial" w:hAnsi="Arial"/>
                <w:sz w:val="15"/>
                <w:szCs w:val="15"/>
                <w:color w:val="auto"/>
                <w:w w:val="91"/>
              </w:rPr>
              <w:t>(4)</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1"/>
              </w:rPr>
              <w:t>Weighted-average shares used to compute pro forma net loss per share attributable to</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 diluted</w:t>
            </w:r>
            <w:r>
              <w:rPr>
                <w:rFonts w:ascii="Arial" w:cs="Arial" w:eastAsia="Arial" w:hAnsi="Arial"/>
                <w:sz w:val="15"/>
                <w:szCs w:val="15"/>
                <w:color w:val="auto"/>
              </w:rPr>
              <w:t>(4)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250,766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259,141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536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287655</wp:posOffset>
            </wp:positionV>
            <wp:extent cx="7562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0" w:hanging="425"/>
        <w:spacing w:after="0"/>
        <w:tabs>
          <w:tab w:leader="none" w:pos="6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0"/>
        </w:trPr>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1"/>
        </w:trPr>
        <w:tc>
          <w:tcPr>
            <w:tcW w:w="4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9"/>
              <w:spacing w:after="0" w:line="141"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9"/>
              <w:spacing w:after="0" w:line="141" w:lineRule="exact"/>
              <w:rPr>
                <w:sz w:val="20"/>
                <w:szCs w:val="20"/>
                <w:color w:val="auto"/>
              </w:rPr>
            </w:pPr>
            <w:r>
              <w:rPr>
                <w:rFonts w:ascii="Arial" w:cs="Arial" w:eastAsia="Arial" w:hAnsi="Arial"/>
                <w:sz w:val="14"/>
                <w:szCs w:val="14"/>
                <w:b w:val="1"/>
                <w:bCs w:val="1"/>
                <w:color w:val="auto"/>
                <w:w w:val="96"/>
              </w:rPr>
              <w:t>2018</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9"/>
              <w:spacing w:after="0" w:line="141"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41"/>
        </w:trPr>
        <w:tc>
          <w:tcPr>
            <w:tcW w:w="4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right"/>
              <w:ind w:right="169"/>
              <w:spacing w:after="0" w:line="141"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43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Cost of revenue</w:t>
            </w:r>
          </w:p>
        </w:tc>
        <w:tc>
          <w:tcPr>
            <w:tcW w:w="18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287</w:t>
            </w:r>
          </w:p>
        </w:tc>
        <w:tc>
          <w:tcPr>
            <w:tcW w:w="3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108</w:t>
            </w:r>
          </w:p>
        </w:tc>
        <w:tc>
          <w:tcPr>
            <w:tcW w:w="50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211</w:t>
            </w:r>
          </w:p>
        </w:tc>
      </w:tr>
      <w:tr>
        <w:trPr>
          <w:trHeight w:val="147"/>
        </w:trPr>
        <w:tc>
          <w:tcPr>
            <w:tcW w:w="4320" w:type="dxa"/>
            <w:vAlign w:val="bottom"/>
          </w:tcPr>
          <w:p>
            <w:pPr>
              <w:spacing w:after="0" w:line="147" w:lineRule="exact"/>
              <w:rPr>
                <w:sz w:val="20"/>
                <w:szCs w:val="20"/>
                <w:color w:val="auto"/>
              </w:rPr>
            </w:pPr>
            <w:r>
              <w:rPr>
                <w:rFonts w:ascii="Arial" w:cs="Arial" w:eastAsia="Arial" w:hAnsi="Arial"/>
                <w:sz w:val="14"/>
                <w:szCs w:val="14"/>
                <w:color w:val="auto"/>
              </w:rPr>
              <w:t>Research and development</w:t>
            </w: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0"/>
              <w:spacing w:after="0" w:line="147" w:lineRule="exact"/>
              <w:rPr>
                <w:sz w:val="20"/>
                <w:szCs w:val="20"/>
                <w:color w:val="auto"/>
              </w:rPr>
            </w:pPr>
            <w:r>
              <w:rPr>
                <w:rFonts w:ascii="Arial" w:cs="Arial" w:eastAsia="Arial" w:hAnsi="Arial"/>
                <w:sz w:val="14"/>
                <w:szCs w:val="14"/>
                <w:color w:val="auto"/>
                <w:w w:val="85"/>
              </w:rPr>
              <w:t>1,160</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1,641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544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1,775</w:t>
            </w:r>
          </w:p>
        </w:tc>
      </w:tr>
      <w:tr>
        <w:trPr>
          <w:trHeight w:val="147"/>
        </w:trPr>
        <w:tc>
          <w:tcPr>
            <w:tcW w:w="43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Sales and marketing</w:t>
            </w: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1,910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719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1,736</w:t>
            </w:r>
          </w:p>
        </w:tc>
      </w:tr>
      <w:tr>
        <w:trPr>
          <w:trHeight w:val="147"/>
        </w:trPr>
        <w:tc>
          <w:tcPr>
            <w:tcW w:w="4320" w:type="dxa"/>
            <w:vAlign w:val="bottom"/>
          </w:tcPr>
          <w:p>
            <w:pPr>
              <w:spacing w:after="0" w:line="147" w:lineRule="exact"/>
              <w:rPr>
                <w:sz w:val="20"/>
                <w:szCs w:val="20"/>
                <w:color w:val="auto"/>
              </w:rPr>
            </w:pPr>
            <w:r>
              <w:rPr>
                <w:rFonts w:ascii="Arial" w:cs="Arial" w:eastAsia="Arial" w:hAnsi="Arial"/>
                <w:sz w:val="14"/>
                <w:szCs w:val="14"/>
                <w:color w:val="auto"/>
              </w:rPr>
              <w:t>General and administrative</w:t>
            </w: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0"/>
              <w:spacing w:after="0" w:line="147" w:lineRule="exact"/>
              <w:rPr>
                <w:sz w:val="20"/>
                <w:szCs w:val="20"/>
                <w:color w:val="auto"/>
              </w:rPr>
            </w:pPr>
            <w:r>
              <w:rPr>
                <w:rFonts w:ascii="Arial" w:cs="Arial" w:eastAsia="Arial" w:hAnsi="Arial"/>
                <w:sz w:val="14"/>
                <w:szCs w:val="14"/>
                <w:color w:val="auto"/>
              </w:rPr>
              <w:t>819</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1,406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372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1,617</w:t>
            </w:r>
          </w:p>
        </w:tc>
      </w:tr>
      <w:tr>
        <w:trPr>
          <w:trHeight w:val="27"/>
        </w:trPr>
        <w:tc>
          <w:tcPr>
            <w:tcW w:w="4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7"/>
        </w:trPr>
        <w:tc>
          <w:tcPr>
            <w:tcW w:w="432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Total stock-based compensation expense</w:t>
            </w: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w w:val="85"/>
              </w:rPr>
              <w:t>3,068</w:t>
            </w:r>
          </w:p>
        </w:tc>
        <w:tc>
          <w:tcPr>
            <w:tcW w:w="1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5,244</w:t>
            </w:r>
          </w:p>
        </w:tc>
        <w:tc>
          <w:tcPr>
            <w:tcW w:w="3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1,743</w:t>
            </w:r>
          </w:p>
        </w:tc>
        <w:tc>
          <w:tcPr>
            <w:tcW w:w="50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5,339</w:t>
            </w:r>
          </w:p>
        </w:tc>
      </w:tr>
      <w:tr>
        <w:trPr>
          <w:trHeight w:val="20"/>
        </w:trPr>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6" w:lineRule="exact"/>
        <w:rPr>
          <w:sz w:val="20"/>
          <w:szCs w:val="20"/>
          <w:color w:val="auto"/>
        </w:rPr>
      </w:pPr>
    </w:p>
    <w:p>
      <w:pPr>
        <w:ind w:left="680" w:hanging="425"/>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0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142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70"/>
        </w:trPr>
        <w:tc>
          <w:tcPr>
            <w:tcW w:w="3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940" w:type="dxa"/>
            <w:vAlign w:val="bottom"/>
            <w:gridSpan w:val="2"/>
          </w:tcPr>
          <w:p>
            <w:pPr>
              <w:ind w:left="42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1"/>
        </w:trPr>
        <w:tc>
          <w:tcPr>
            <w:tcW w:w="3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89"/>
              <w:spacing w:after="0" w:line="14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9"/>
              <w:spacing w:after="0" w:line="141"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9"/>
              <w:spacing w:after="0" w:line="141"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r>
      <w:tr>
        <w:trPr>
          <w:trHeight w:val="141"/>
        </w:trPr>
        <w:tc>
          <w:tcPr>
            <w:tcW w:w="3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tcPr>
          <w:p>
            <w:pPr>
              <w:jc w:val="right"/>
              <w:ind w:right="309"/>
              <w:spacing w:after="0" w:line="141"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7"/>
        </w:trPr>
        <w:tc>
          <w:tcPr>
            <w:tcW w:w="35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Cost of revenue</w:t>
            </w:r>
          </w:p>
        </w:tc>
        <w:tc>
          <w:tcPr>
            <w:tcW w:w="332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    484</w:t>
            </w:r>
          </w:p>
        </w:tc>
        <w:tc>
          <w:tcPr>
            <w:tcW w:w="2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511</w:t>
            </w:r>
          </w:p>
        </w:tc>
        <w:tc>
          <w:tcPr>
            <w:tcW w:w="660" w:type="dxa"/>
            <w:vAlign w:val="bottom"/>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    220</w:t>
            </w:r>
          </w:p>
        </w:tc>
        <w:tc>
          <w:tcPr>
            <w:tcW w:w="2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352</w:t>
            </w:r>
          </w:p>
        </w:tc>
      </w:tr>
    </w:tbl>
    <w:p>
      <w:pPr>
        <w:spacing w:after="0" w:line="222" w:lineRule="exact"/>
        <w:rPr>
          <w:sz w:val="20"/>
          <w:szCs w:val="20"/>
          <w:color w:val="auto"/>
        </w:rPr>
      </w:pPr>
    </w:p>
    <w:p>
      <w:pPr>
        <w:ind w:left="680" w:right="40" w:hanging="425"/>
        <w:spacing w:after="0" w:line="236" w:lineRule="auto"/>
        <w:tabs>
          <w:tab w:leader="none" w:pos="6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six months ended June 30, 2019. See Note 7 to our consolidated financial statements included elsewhere in this prospectus for further discussion.</w:t>
      </w:r>
    </w:p>
    <w:p>
      <w:pPr>
        <w:spacing w:after="0" w:line="207" w:lineRule="exact"/>
        <w:rPr>
          <w:rFonts w:ascii="Arial" w:cs="Arial" w:eastAsia="Arial" w:hAnsi="Arial"/>
          <w:sz w:val="14"/>
          <w:szCs w:val="14"/>
          <w:color w:val="auto"/>
        </w:rPr>
      </w:pPr>
    </w:p>
    <w:p>
      <w:pPr>
        <w:ind w:left="680" w:right="40" w:hanging="425"/>
        <w:spacing w:after="0" w:line="236" w:lineRule="auto"/>
        <w:tabs>
          <w:tab w:leader="none" w:pos="6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See Note 12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r>
      <w:tr>
        <w:trPr>
          <w:trHeight w:val="141"/>
        </w:trPr>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6"/>
              <w:spacing w:after="0" w:line="141"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4"/>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80"/>
              <w:spacing w:after="0" w:line="141" w:lineRule="exact"/>
              <w:rPr>
                <w:sz w:val="20"/>
                <w:szCs w:val="20"/>
                <w:color w:val="auto"/>
              </w:rPr>
            </w:pPr>
            <w:r>
              <w:rPr>
                <w:rFonts w:ascii="Arial" w:cs="Arial" w:eastAsia="Arial" w:hAnsi="Arial"/>
                <w:sz w:val="14"/>
                <w:szCs w:val="14"/>
                <w:b w:val="1"/>
                <w:bCs w:val="1"/>
                <w:color w:val="auto"/>
                <w:w w:val="92"/>
              </w:rPr>
              <w:t>June 30, 2019</w:t>
            </w:r>
          </w:p>
        </w:tc>
      </w:tr>
      <w:tr>
        <w:trPr>
          <w:trHeight w:val="194"/>
        </w:trPr>
        <w:tc>
          <w:tcPr>
            <w:tcW w:w="4780" w:type="dxa"/>
            <w:vAlign w:val="bottom"/>
            <w:tcBorders>
              <w:top w:val="single" w:sz="8" w:color="CCEEFF"/>
            </w:tcBorders>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Consolidated Balance Sheet Data:</w:t>
            </w:r>
          </w:p>
        </w:tc>
        <w:tc>
          <w:tcPr>
            <w:tcW w:w="20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14"/>
        </w:trPr>
        <w:tc>
          <w:tcPr>
            <w:tcW w:w="47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60,024</w:t>
            </w:r>
          </w:p>
        </w:tc>
        <w:tc>
          <w:tcPr>
            <w:tcW w:w="2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53,639</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52,286</w:t>
            </w:r>
          </w:p>
        </w:tc>
        <w:tc>
          <w:tcPr>
            <w:tcW w:w="140" w:type="dxa"/>
            <w:vAlign w:val="bottom"/>
          </w:tcPr>
          <w:p>
            <w:pPr>
              <w:spacing w:after="0"/>
              <w:rPr>
                <w:sz w:val="18"/>
                <w:szCs w:val="18"/>
                <w:color w:val="auto"/>
              </w:rPr>
            </w:pPr>
          </w:p>
        </w:tc>
      </w:tr>
      <w:tr>
        <w:trPr>
          <w:trHeight w:val="214"/>
        </w:trPr>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261,759</w:t>
            </w:r>
          </w:p>
        </w:tc>
        <w:tc>
          <w:tcPr>
            <w:tcW w:w="140" w:type="dxa"/>
            <w:vAlign w:val="bottom"/>
            <w:shd w:val="clear" w:color="auto" w:fill="CCEEFF"/>
          </w:tcPr>
          <w:p>
            <w:pPr>
              <w:spacing w:after="0"/>
              <w:rPr>
                <w:sz w:val="18"/>
                <w:szCs w:val="18"/>
                <w:color w:val="auto"/>
              </w:rPr>
            </w:pPr>
          </w:p>
        </w:tc>
      </w:tr>
      <w:tr>
        <w:trPr>
          <w:trHeight w:val="214"/>
        </w:trPr>
        <w:tc>
          <w:tcPr>
            <w:tcW w:w="4780" w:type="dxa"/>
            <w:vAlign w:val="bottom"/>
            <w:gridSpan w:val="3"/>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(10,764)</w:t>
            </w:r>
          </w:p>
        </w:tc>
      </w:tr>
      <w:tr>
        <w:trPr>
          <w:trHeight w:val="214"/>
        </w:trPr>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140,752</w:t>
            </w:r>
          </w:p>
        </w:tc>
        <w:tc>
          <w:tcPr>
            <w:tcW w:w="140" w:type="dxa"/>
            <w:vAlign w:val="bottom"/>
            <w:shd w:val="clear" w:color="auto" w:fill="CCEEFF"/>
          </w:tcPr>
          <w:p>
            <w:pPr>
              <w:spacing w:after="0"/>
              <w:rPr>
                <w:sz w:val="18"/>
                <w:szCs w:val="18"/>
                <w:color w:val="auto"/>
              </w:rPr>
            </w:pPr>
          </w:p>
        </w:tc>
      </w:tr>
      <w:tr>
        <w:trPr>
          <w:trHeight w:val="227"/>
        </w:trPr>
        <w:tc>
          <w:tcPr>
            <w:tcW w:w="478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(75,701)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(76,041)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(79,223)</w:t>
            </w:r>
          </w:p>
        </w:tc>
      </w:tr>
      <w:tr>
        <w:trPr>
          <w:trHeight w:val="121"/>
        </w:trPr>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5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96"/>
        </w:trPr>
        <w:tc>
          <w:tcPr>
            <w:tcW w:w="300" w:type="dxa"/>
            <w:vAlign w:val="bottom"/>
          </w:tcPr>
          <w:p>
            <w:pPr>
              <w:spacing w:after="0"/>
              <w:rPr>
                <w:sz w:val="20"/>
                <w:szCs w:val="20"/>
                <w:color w:val="auto"/>
              </w:rPr>
            </w:pPr>
            <w:r>
              <w:rPr>
                <w:rFonts w:ascii="Arial" w:cs="Arial" w:eastAsia="Arial" w:hAnsi="Arial"/>
                <w:sz w:val="14"/>
                <w:szCs w:val="14"/>
                <w:color w:val="auto"/>
              </w:rPr>
              <w:t>(1)</w:t>
            </w:r>
          </w:p>
        </w:tc>
        <w:tc>
          <w:tcPr>
            <w:tcW w:w="4480" w:type="dxa"/>
            <w:vAlign w:val="bottom"/>
            <w:gridSpan w:val="2"/>
          </w:tcPr>
          <w:p>
            <w:pPr>
              <w:ind w:left="120"/>
              <w:spacing w:after="0"/>
              <w:rPr>
                <w:sz w:val="20"/>
                <w:szCs w:val="20"/>
                <w:color w:val="auto"/>
              </w:rPr>
            </w:pPr>
            <w:r>
              <w:rPr>
                <w:rFonts w:ascii="Arial" w:cs="Arial" w:eastAsia="Arial" w:hAnsi="Arial"/>
                <w:sz w:val="14"/>
                <w:szCs w:val="14"/>
                <w:color w:val="auto"/>
              </w:rPr>
              <w:t>Working capital is defined as current assets less current liabilities.</w:t>
            </w: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45"/>
        </w:trPr>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80" w:type="dxa"/>
            <w:vAlign w:val="bottom"/>
          </w:tcPr>
          <w:p>
            <w:pPr>
              <w:jc w:val="right"/>
              <w:ind w:right="123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80"/>
          </w:cols>
          <w:pgMar w:left="240" w:top="456"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8" w:lineRule="exact"/>
        <w:rPr>
          <w:sz w:val="20"/>
          <w:szCs w:val="20"/>
          <w:color w:val="auto"/>
        </w:rPr>
      </w:pPr>
    </w:p>
    <w:p>
      <w:pPr>
        <w:ind w:left="260" w:right="40" w:firstLine="437"/>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Data” and the consolidated financial statements and related notes included elsewhere in this prospectus. Some of the information contained in this discussion and analysis, including information with respect to our planned investments in our research and development, sales and marketing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1" w:lineRule="exact"/>
        <w:rPr>
          <w:sz w:val="20"/>
          <w:szCs w:val="20"/>
          <w:color w:val="auto"/>
        </w:rPr>
      </w:pPr>
    </w:p>
    <w:p>
      <w:pPr>
        <w:ind w:left="260" w:right="80" w:firstLine="437"/>
        <w:spacing w:after="0" w:line="275" w:lineRule="auto"/>
        <w:rPr>
          <w:sz w:val="20"/>
          <w:szCs w:val="20"/>
          <w:color w:val="auto"/>
        </w:rPr>
      </w:pPr>
      <w:r>
        <w:rPr>
          <w:rFonts w:ascii="Arial" w:cs="Arial" w:eastAsia="Arial" w:hAnsi="Arial"/>
          <w:sz w:val="17"/>
          <w:szCs w:val="17"/>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75"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on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w:t>
      </w:r>
    </w:p>
    <w:p>
      <w:pPr>
        <w:spacing w:after="0" w:line="195" w:lineRule="exact"/>
        <w:rPr>
          <w:sz w:val="20"/>
          <w:szCs w:val="20"/>
          <w:color w:val="auto"/>
        </w:rPr>
      </w:pPr>
    </w:p>
    <w:p>
      <w:pPr>
        <w:ind w:left="260" w:right="160" w:firstLine="437"/>
        <w:spacing w:after="0" w:line="297" w:lineRule="auto"/>
        <w:rPr>
          <w:sz w:val="20"/>
          <w:szCs w:val="20"/>
          <w:color w:val="auto"/>
        </w:rPr>
      </w:pPr>
      <w:r>
        <w:rPr>
          <w:rFonts w:ascii="Arial" w:cs="Arial" w:eastAsia="Arial" w:hAnsi="Arial"/>
          <w:sz w:val="16"/>
          <w:szCs w:val="16"/>
          <w:color w:val="auto"/>
        </w:rPr>
        <w:t>Our proprietary platform combines the power of metrics, traces and logs to provide a unified view of infrastructure and application performance and the real-time events impacting this performance. Datadog is designed to be cloud agnostic and easy to deploy, with hundreds of out-of-the-box integrations, a built-in understanding of modern technology stacks and endless customizability. Customers can deploy our platform across their entire infrastructure, making it ubiquitous and a daily part of the lives of developers, operations engineers and business leaders.</w:t>
      </w:r>
    </w:p>
    <w:p>
      <w:pPr>
        <w:spacing w:after="0" w:line="160" w:lineRule="exact"/>
        <w:rPr>
          <w:sz w:val="20"/>
          <w:szCs w:val="20"/>
          <w:color w:val="auto"/>
        </w:rPr>
      </w:pPr>
    </w:p>
    <w:p>
      <w:pPr>
        <w:ind w:left="260" w:right="100" w:firstLine="437"/>
        <w:spacing w:after="0" w:line="335" w:lineRule="auto"/>
        <w:rPr>
          <w:sz w:val="20"/>
          <w:szCs w:val="20"/>
          <w:color w:val="auto"/>
        </w:rPr>
      </w:pPr>
      <w:r>
        <w:rPr>
          <w:rFonts w:ascii="Arial" w:cs="Arial" w:eastAsia="Arial" w:hAnsi="Arial"/>
          <w:sz w:val="16"/>
          <w:szCs w:val="16"/>
          <w:color w:val="auto"/>
        </w:rPr>
        <w:t>Datadog was founded in 2010, and we launched Datadog Infrastructure Monitoring in 2012 to provide enterprises with visibility across developers, IT operations teams and business users. Since then, we have added new functionality, launched new products and expanded our operations:</w:t>
      </w:r>
    </w:p>
    <w:p>
      <w:pPr>
        <w:spacing w:after="0" w:line="31" w:lineRule="exact"/>
        <w:rPr>
          <w:sz w:val="20"/>
          <w:szCs w:val="20"/>
          <w:color w:val="auto"/>
        </w:rPr>
      </w:pPr>
    </w:p>
    <w:p>
      <w:pPr>
        <w:ind w:left="1220" w:hanging="537"/>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2010</w:t>
      </w:r>
      <w:r>
        <w:rPr>
          <w:rFonts w:ascii="Arial" w:cs="Arial" w:eastAsia="Arial" w:hAnsi="Arial"/>
          <w:sz w:val="18"/>
          <w:szCs w:val="18"/>
          <w:color w:val="auto"/>
        </w:rPr>
        <w:t>: Founded in New York</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2012</w:t>
      </w:r>
      <w:r>
        <w:rPr>
          <w:rFonts w:ascii="Arial" w:cs="Arial" w:eastAsia="Arial" w:hAnsi="Arial"/>
          <w:sz w:val="18"/>
          <w:szCs w:val="18"/>
          <w:color w:val="auto"/>
        </w:rPr>
        <w:t>: Launched Datadog Infrastructure Monitoring</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2013</w:t>
      </w:r>
      <w:r>
        <w:rPr>
          <w:rFonts w:ascii="Arial" w:cs="Arial" w:eastAsia="Arial" w:hAnsi="Arial"/>
          <w:sz w:val="18"/>
          <w:szCs w:val="18"/>
          <w:color w:val="auto"/>
        </w:rPr>
        <w:t>: Surpassed 100 customers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2014</w:t>
      </w:r>
      <w:r>
        <w:rPr>
          <w:rFonts w:ascii="Arial" w:cs="Arial" w:eastAsia="Arial" w:hAnsi="Arial"/>
          <w:sz w:val="18"/>
          <w:szCs w:val="18"/>
          <w:color w:val="auto"/>
        </w:rPr>
        <w:t>: Began monitoring containers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2015</w:t>
      </w:r>
      <w:r>
        <w:rPr>
          <w:rFonts w:ascii="Arial" w:cs="Arial" w:eastAsia="Arial" w:hAnsi="Arial"/>
          <w:sz w:val="18"/>
          <w:szCs w:val="18"/>
          <w:color w:val="auto"/>
        </w:rPr>
        <w:t>: Expanded research and development to Paris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2015</w:t>
      </w:r>
      <w:r>
        <w:rPr>
          <w:rFonts w:ascii="Arial" w:cs="Arial" w:eastAsia="Arial" w:hAnsi="Arial"/>
          <w:sz w:val="18"/>
          <w:szCs w:val="18"/>
          <w:color w:val="auto"/>
        </w:rPr>
        <w:t>: Surpassed 1,000 customers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24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2016</w:t>
      </w:r>
      <w:r>
        <w:rPr>
          <w:rFonts w:ascii="Arial" w:cs="Arial" w:eastAsia="Arial" w:hAnsi="Arial"/>
          <w:sz w:val="18"/>
          <w:szCs w:val="18"/>
          <w:color w:val="auto"/>
        </w:rPr>
        <w:t>: Began monitoring serverless environments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2016</w:t>
      </w:r>
      <w:r>
        <w:rPr>
          <w:rFonts w:ascii="Arial" w:cs="Arial" w:eastAsia="Arial" w:hAnsi="Arial"/>
          <w:sz w:val="18"/>
          <w:szCs w:val="18"/>
          <w:color w:val="auto"/>
        </w:rPr>
        <w:t>: Established enterprise sales team</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2017</w:t>
      </w:r>
      <w:r>
        <w:rPr>
          <w:rFonts w:ascii="Arial" w:cs="Arial" w:eastAsia="Arial" w:hAnsi="Arial"/>
          <w:sz w:val="18"/>
          <w:szCs w:val="18"/>
          <w:color w:val="auto"/>
        </w:rPr>
        <w:t>: Launched Datadog APM</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2017</w:t>
      </w:r>
      <w:r>
        <w:rPr>
          <w:rFonts w:ascii="Arial" w:cs="Arial" w:eastAsia="Arial" w:hAnsi="Arial"/>
          <w:sz w:val="18"/>
          <w:szCs w:val="18"/>
          <w:color w:val="auto"/>
        </w:rPr>
        <w:t>: Opened first international sales office in Dublin</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2017</w:t>
      </w:r>
      <w:r>
        <w:rPr>
          <w:rFonts w:ascii="Arial" w:cs="Arial" w:eastAsia="Arial" w:hAnsi="Arial"/>
          <w:sz w:val="18"/>
          <w:szCs w:val="18"/>
          <w:color w:val="auto"/>
        </w:rPr>
        <w:t>: Surpassed 5,000 customers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2018</w:t>
      </w:r>
      <w:r>
        <w:rPr>
          <w:rFonts w:ascii="Arial" w:cs="Arial" w:eastAsia="Arial" w:hAnsi="Arial"/>
          <w:sz w:val="18"/>
          <w:szCs w:val="18"/>
          <w:color w:val="auto"/>
        </w:rPr>
        <w:t>: Launched Datadog Log Management and Analytics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2018</w:t>
      </w:r>
      <w:r>
        <w:rPr>
          <w:rFonts w:ascii="Arial" w:cs="Arial" w:eastAsia="Arial" w:hAnsi="Arial"/>
          <w:sz w:val="18"/>
          <w:szCs w:val="18"/>
          <w:color w:val="auto"/>
        </w:rPr>
        <w:t>: Opened first APAC sales office in Tokyo</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2018</w:t>
      </w:r>
      <w:r>
        <w:rPr>
          <w:rFonts w:ascii="Arial" w:cs="Arial" w:eastAsia="Arial" w:hAnsi="Arial"/>
          <w:sz w:val="18"/>
          <w:szCs w:val="18"/>
          <w:color w:val="auto"/>
        </w:rPr>
        <w:t>: Held inaugural DASH user conference in New York</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2019</w:t>
      </w:r>
      <w:r>
        <w:rPr>
          <w:rFonts w:ascii="Arial" w:cs="Arial" w:eastAsia="Arial" w:hAnsi="Arial"/>
          <w:sz w:val="18"/>
          <w:szCs w:val="18"/>
          <w:color w:val="auto"/>
        </w:rPr>
        <w:t>: Launched Datadog Synthetics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2019</w:t>
      </w:r>
      <w:r>
        <w:rPr>
          <w:rFonts w:ascii="Arial" w:cs="Arial" w:eastAsia="Arial" w:hAnsi="Arial"/>
          <w:sz w:val="18"/>
          <w:szCs w:val="18"/>
          <w:color w:val="auto"/>
        </w:rPr>
        <w:t>: Established APAC headquarters in Singapore</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2019</w:t>
      </w:r>
      <w:r>
        <w:rPr>
          <w:rFonts w:ascii="Arial" w:cs="Arial" w:eastAsia="Arial" w:hAnsi="Arial"/>
          <w:sz w:val="18"/>
          <w:szCs w:val="18"/>
          <w:color w:val="auto"/>
        </w:rPr>
        <w:t>: Announced beta availability of Datadog Network Performance Monitoring and Real User Monitoring</w:t>
      </w:r>
    </w:p>
    <w:p>
      <w:pPr>
        <w:spacing w:after="0" w:line="225" w:lineRule="exact"/>
        <w:rPr>
          <w:sz w:val="20"/>
          <w:szCs w:val="20"/>
          <w:color w:val="auto"/>
        </w:rPr>
      </w:pPr>
    </w:p>
    <w:p>
      <w:pPr>
        <w:ind w:left="260" w:right="140" w:firstLine="437"/>
        <w:spacing w:after="0" w:line="297" w:lineRule="auto"/>
        <w:rPr>
          <w:sz w:val="20"/>
          <w:szCs w:val="20"/>
          <w:color w:val="auto"/>
        </w:rPr>
      </w:pPr>
      <w:r>
        <w:rPr>
          <w:rFonts w:ascii="Arial" w:cs="Arial" w:eastAsia="Arial" w:hAnsi="Arial"/>
          <w:sz w:val="16"/>
          <w:szCs w:val="16"/>
          <w:color w:val="auto"/>
        </w:rPr>
        <w:t>We generate revenue from the sale of subscriptions to customers using our cloud-based platform. Our paid subscriptions are available in Pro and Enterprise tiers.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60" w:lineRule="exact"/>
        <w:rPr>
          <w:sz w:val="20"/>
          <w:szCs w:val="20"/>
          <w:color w:val="auto"/>
        </w:rPr>
      </w:pPr>
    </w:p>
    <w:p>
      <w:pPr>
        <w:ind w:left="260" w:firstLine="437"/>
        <w:spacing w:after="0" w:line="293" w:lineRule="auto"/>
        <w:rPr>
          <w:sz w:val="20"/>
          <w:szCs w:val="20"/>
          <w:color w:val="auto"/>
        </w:rPr>
      </w:pPr>
      <w:r>
        <w:rPr>
          <w:rFonts w:ascii="Arial" w:cs="Arial" w:eastAsia="Arial" w:hAnsi="Arial"/>
          <w:sz w:val="16"/>
          <w:szCs w:val="16"/>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 Our ability to expand within our customer base is best demonstrated by our dollar-based net retention rate. As of June 30, 2018 and 2019, our dollar-based net retention rate was 146%, and as of December 31, 2017 and 2018, it was 141% and 151%, respectively.</w:t>
      </w:r>
    </w:p>
    <w:p>
      <w:pPr>
        <w:spacing w:after="0" w:line="161" w:lineRule="exact"/>
        <w:rPr>
          <w:sz w:val="20"/>
          <w:szCs w:val="20"/>
          <w:color w:val="auto"/>
        </w:rPr>
      </w:pPr>
    </w:p>
    <w:p>
      <w:pPr>
        <w:ind w:left="260" w:right="20" w:firstLine="437"/>
        <w:spacing w:after="0" w:line="290" w:lineRule="auto"/>
        <w:rPr>
          <w:sz w:val="20"/>
          <w:szCs w:val="20"/>
          <w:color w:val="auto"/>
        </w:rPr>
      </w:pPr>
      <w:r>
        <w:rPr>
          <w:rFonts w:ascii="Arial" w:cs="Arial" w:eastAsia="Arial" w:hAnsi="Arial"/>
          <w:sz w:val="16"/>
          <w:szCs w:val="16"/>
          <w:color w:val="auto"/>
        </w:rPr>
        <w:t>We have a highly efficient go-to-market model, which consists of a self-service tier, a high velocity inside sales team, and an enterprise sales force. As of June 30, 2019, we had 8,846 customers, increasing from 7,676, 5,403 and 3,785 customers as of December 31, 2018, 2017 and 2016, respectively. In addition, 594, 453, 239 and 126 of our customers had ARR of $100,000 or more as of June 30, 2019 and December 31, 2018, 2017 and 2016, respectively, accounting for approximately 72%, 68%, 60% and 48% of our ARR, respectively. Further, as of June 30, 2019, we had 42 customers with ARR of $1.0 million or more, up from 29, 12 and two customers as of December 31, 2018, 2017 and 2016, respectively. As of June 30, 2019, our 10 largest customers represented approximately 14% of our ARR and no single customer represented more than 5% of our ARR.</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business has experienced rapid growth and is capital efficient. Since inception, we have raised $92.0 million of capital, net of share</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repurchases, and we had $63.6 million of cash, cash equivalents and restricted cash as of June 30, 2019. We generated revenue of $100.8 million and</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$198.1 million in 2017 and 2018, respectively, representing year-over-year growth of 97%. Our revenue was $85.4 million in the six months ended June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30, 2018 compared to $153.3 million in the six months ended June 30, 2019, representing period-over-period growth of 79%. Substantially all of our</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revenue is subscription software sales. Our net (loss) income was $(2.6) million, $(10.8) million, $0.5 million and $(13.4) million for the years ended</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2017 and 2018 and the six months ended June 30, 2018 and 2019, respectively. We generated operating cash flow of</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240" w:top="456"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60"/>
        <w:spacing w:after="0" w:line="259" w:lineRule="auto"/>
        <w:rPr>
          <w:sz w:val="20"/>
          <w:szCs w:val="20"/>
          <w:color w:val="auto"/>
        </w:rPr>
      </w:pPr>
      <w:r>
        <w:rPr>
          <w:rFonts w:ascii="Arial" w:cs="Arial" w:eastAsia="Arial" w:hAnsi="Arial"/>
          <w:sz w:val="18"/>
          <w:szCs w:val="18"/>
          <w:color w:val="auto"/>
        </w:rPr>
        <w:t>$13.8 million, $10.8 million, $10.6 million and $3.0 million in 2017 and 2018 and the six months ended June 30, 2018 and 2019, respectively. Our free cash flow was $6.0 million, $(5.0) million, $1.5 million and $(6.4) million in 2017 and 2018 and the six months ended June 30, 2018 and 2019, respectively. See the section titled “—Non-GAAP Free Cash Flow” for additional information.</w:t>
      </w:r>
    </w:p>
    <w:p>
      <w:pPr>
        <w:spacing w:after="0" w:line="186" w:lineRule="exact"/>
        <w:rPr>
          <w:sz w:val="20"/>
          <w:szCs w:val="20"/>
          <w:color w:val="auto"/>
        </w:rPr>
      </w:pPr>
    </w:p>
    <w:p>
      <w:pPr>
        <w:ind w:left="260" w:right="280" w:firstLine="437"/>
        <w:spacing w:after="0" w:line="271" w:lineRule="auto"/>
        <w:rPr>
          <w:sz w:val="20"/>
          <w:szCs w:val="20"/>
          <w:color w:val="auto"/>
        </w:rPr>
      </w:pPr>
      <w:r>
        <w:rPr>
          <w:rFonts w:ascii="Arial" w:cs="Arial" w:eastAsia="Arial" w:hAnsi="Arial"/>
          <w:sz w:val="18"/>
          <w:szCs w:val="18"/>
          <w:color w:val="auto"/>
        </w:rPr>
        <w:t>The following table sets forth our quarterly revenue run rate, which represents our quarterly GAAP revenue multiplied by four, for the periods presented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137160</wp:posOffset>
            </wp:positionV>
            <wp:extent cx="6967220" cy="4800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67220"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1" w:lineRule="exact"/>
        <w:rPr>
          <w:sz w:val="20"/>
          <w:szCs w:val="20"/>
          <w:color w:val="auto"/>
        </w:rPr>
      </w:pPr>
    </w:p>
    <w:p>
      <w:pPr>
        <w:ind w:left="260" w:firstLine="437"/>
        <w:spacing w:after="0" w:line="290" w:lineRule="auto"/>
        <w:rPr>
          <w:sz w:val="20"/>
          <w:szCs w:val="20"/>
          <w:color w:val="auto"/>
        </w:rPr>
      </w:pPr>
      <w:r>
        <w:rPr>
          <w:rFonts w:ascii="Arial" w:cs="Arial" w:eastAsia="Arial" w:hAnsi="Arial"/>
          <w:sz w:val="16"/>
          <w:szCs w:val="16"/>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2019, we had approximately 8,800 customers spanning organizations of a broad range of sizes and industries, compared to approximately 7,700, 5,400, and 3,800 customers as of December 31, 2018, 2017 and 2016, respectively. Our ability to attract new customers will depend on a number of factors, including the effectiveness and pricing of our products, offerings of our competitors, and the effectiveness of our marketing efforts.</w:t>
      </w:r>
    </w:p>
    <w:p>
      <w:pPr>
        <w:spacing w:after="0" w:line="165" w:lineRule="exact"/>
        <w:rPr>
          <w:sz w:val="20"/>
          <w:szCs w:val="20"/>
          <w:color w:val="auto"/>
        </w:rPr>
      </w:pPr>
    </w:p>
    <w:p>
      <w:pPr>
        <w:ind w:left="260" w:right="260" w:firstLine="437"/>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w:t>
      </w:r>
    </w:p>
    <w:p>
      <w:pPr>
        <w:sectPr>
          <w:pgSz w:w="11900" w:h="16838" w:orient="portrait"/>
          <w:cols w:equalWidth="0" w:num="1">
            <w:col w:w="11120"/>
          </w:cols>
          <w:pgMar w:left="240" w:top="456" w:right="539" w:bottom="1440" w:gutter="0" w:footer="0" w:header="0"/>
        </w:sectPr>
      </w:pP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240" w:top="456" w:right="5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620"/>
        <w:spacing w:after="0" w:line="271" w:lineRule="auto"/>
        <w:rPr>
          <w:sz w:val="20"/>
          <w:szCs w:val="20"/>
          <w:color w:val="auto"/>
        </w:rPr>
      </w:pPr>
      <w:r>
        <w:rPr>
          <w:rFonts w:ascii="Arial" w:cs="Arial" w:eastAsia="Arial" w:hAnsi="Arial"/>
          <w:sz w:val="18"/>
          <w:szCs w:val="18"/>
          <w:color w:val="auto"/>
        </w:rPr>
        <w:t>customer. However, in some cases where they have separate billing terms, we may count separate divisions, segments or subsidiaries as multiple customers.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1"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Our large base of customers represents a significant opportunity for further sales expansion. As of June 30, 2019, approximately 35% of the Fortune 100 were Datadog customers, while only about 20% were customers with ARR of $100,000 or more. We believe this demonstrates that our product has been adopted by many of the largest enterprises in the United States, and that there is substantial opportunity to expand within these large enterprises. 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84" w:lineRule="exact"/>
        <w:rPr>
          <w:sz w:val="20"/>
          <w:szCs w:val="20"/>
          <w:color w:val="auto"/>
        </w:rPr>
      </w:pPr>
    </w:p>
    <w:p>
      <w:pPr>
        <w:ind w:left="260" w:right="60" w:firstLine="437"/>
        <w:spacing w:after="0" w:line="284" w:lineRule="auto"/>
        <w:rPr>
          <w:sz w:val="20"/>
          <w:szCs w:val="20"/>
          <w:color w:val="auto"/>
        </w:rPr>
      </w:pPr>
      <w:r>
        <w:rPr>
          <w:rFonts w:ascii="Arial" w:cs="Arial" w:eastAsia="Arial" w:hAnsi="Arial"/>
          <w:sz w:val="16"/>
          <w:szCs w:val="16"/>
          <w:color w:val="auto"/>
        </w:rPr>
        <w:t>Once our platform is deployed we have experienced significant expansion historically, with customers engaging with our customer success team as well as increasing usage and spend in a self-serve manner. The chart below illustrates this expansion by presenting the ARR from each customer cohort over the years presented.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See “Components of Results of Operations—Revenue” for additional information. ARR and MRR should be viewed independently of revenue, and do not represent our GAAP revenue on a monthly or annualized basis, as they are operating metrics that can be impacted by contract start and end dates and renewal rates. ARR and MRR are not intended to be replacements or forecasts of revenue. Each cohort represents customers that made their initial purchase from us in a given year. For example, the 2014 cohort includes all customers as of the end of 2014. This cohort increased their ARR from $4.8 million as of December 31, 2014 to $19.2 million as of December 31, 2018, representing a multiple of 4.0x. Additionally, the ARR from our top 25 customers as of December 31, 2018 increased by a median multiple of 33.9x, as measured from the ARR generated in each such customer’s first month as a customer.</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6"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Customer Cohort Analysis ($MM ARR)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firstLine="437"/>
        <w:spacing w:after="0" w:line="281" w:lineRule="auto"/>
        <w:rPr>
          <w:sz w:val="20"/>
          <w:szCs w:val="20"/>
          <w:color w:val="auto"/>
        </w:rPr>
      </w:pPr>
      <w:r>
        <w:rPr>
          <w:rFonts w:ascii="Arial" w:cs="Arial" w:eastAsia="Arial" w:hAnsi="Arial"/>
          <w:sz w:val="16"/>
          <w:szCs w:val="16"/>
          <w:color w:val="auto"/>
        </w:rPr>
        <w:t>A further indication of the propensity of our customer relationships to expand over time is our dollar-based net retention rate, which compares our ARR from the same set of customers in one period, relative to the year-ago period. As of June 30, 2018 and 2019, our dollar-based net retention rate was 146%, and as of December 31, 2017 and 2018, it was 141% and 151%, respectively.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w:t>
      </w:r>
    </w:p>
    <w:p>
      <w:pPr>
        <w:spacing w:after="0" w:line="4" w:lineRule="exact"/>
        <w:rPr>
          <w:sz w:val="20"/>
          <w:szCs w:val="20"/>
          <w:color w:val="auto"/>
        </w:rPr>
      </w:pPr>
    </w:p>
    <w:p>
      <w:pPr>
        <w:ind w:left="260"/>
        <w:spacing w:after="0" w:line="249" w:lineRule="auto"/>
        <w:rPr>
          <w:sz w:val="20"/>
          <w:szCs w:val="20"/>
          <w:color w:val="auto"/>
        </w:rPr>
      </w:pPr>
      <w:r>
        <w:rPr>
          <w:rFonts w:ascii="Arial" w:cs="Arial" w:eastAsia="Arial" w:hAnsi="Arial"/>
          <w:sz w:val="18"/>
          <w:szCs w:val="18"/>
          <w:color w:val="auto"/>
        </w:rPr>
        <w:t>12-month point-in-time dollar-based net retention rates, to arrive at the dollar-based net retention rate. Furthermore, our dollar-based gross retention rate, based on a cohort of all of our customers, has been in the low-to-mid 90% range as of the end of each of our last eight quarters. We believe this demonstrates the stickiness of the product category we operate in, and of our platform in particular. We calculate our dollar-based gross retention rate by first calculating the point-in-time gross retention as the previous year ARR minus ARR attrition over the last 12 months, divided by the previous year ARR. The ARR attrition for each month is calculated by identifying any customer that has changed their account type to a “free tier,” requested a downgrade through customer support or sent a formal termination notice to us during that month, and aggregating the dollars of ARR generated by each such customer in the prior month. We then calculate the dollar-based gross retention rate as the weighted average of the trailing 12-month point-in-time gross retention rates.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1" w:lineRule="exact"/>
        <w:rPr>
          <w:sz w:val="20"/>
          <w:szCs w:val="20"/>
          <w:color w:val="auto"/>
        </w:rPr>
      </w:pPr>
    </w:p>
    <w:p>
      <w:pPr>
        <w:ind w:left="260" w:right="60" w:firstLine="437"/>
        <w:spacing w:after="0" w:line="269" w:lineRule="auto"/>
        <w:rPr>
          <w:sz w:val="20"/>
          <w:szCs w:val="20"/>
          <w:color w:val="auto"/>
        </w:rPr>
      </w:pPr>
      <w:r>
        <w:rPr>
          <w:rFonts w:ascii="Arial" w:cs="Arial" w:eastAsia="Arial" w:hAnsi="Arial"/>
          <w:sz w:val="17"/>
          <w:szCs w:val="17"/>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and both user experience and network performance monitoring in 2019. As of June 30, 2019, approximately 40% of our</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60"/>
          </w:cols>
          <w:pgMar w:left="24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340"/>
        <w:spacing w:after="0" w:line="259" w:lineRule="auto"/>
        <w:rPr>
          <w:sz w:val="20"/>
          <w:szCs w:val="20"/>
          <w:color w:val="auto"/>
        </w:rPr>
      </w:pPr>
      <w:r>
        <w:rPr>
          <w:rFonts w:ascii="Arial" w:cs="Arial" w:eastAsia="Arial" w:hAnsi="Arial"/>
          <w:sz w:val="18"/>
          <w:szCs w:val="18"/>
          <w:color w:val="auto"/>
        </w:rPr>
        <w:t>customers were using more than one product, up from approximately 10% a year earlier. Additionally, in the six-month period ended June 30, 2019, approximately 60% of our new customers landed with more than one product, up from approximately 15% a year earlier. We believe these metrics indicate strong momentum in the uptake of our newer platform products.</w:t>
      </w:r>
    </w:p>
    <w:p>
      <w:pPr>
        <w:spacing w:after="0" w:line="186" w:lineRule="exact"/>
        <w:rPr>
          <w:sz w:val="20"/>
          <w:szCs w:val="20"/>
          <w:color w:val="auto"/>
        </w:rPr>
      </w:pPr>
    </w:p>
    <w:p>
      <w:pPr>
        <w:ind w:left="260" w:right="40" w:firstLine="437"/>
        <w:spacing w:after="0" w:line="255"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1" w:lineRule="exact"/>
        <w:rPr>
          <w:sz w:val="20"/>
          <w:szCs w:val="20"/>
          <w:color w:val="auto"/>
        </w:rPr>
      </w:pPr>
    </w:p>
    <w:p>
      <w:pPr>
        <w:ind w:left="260" w:right="380" w:firstLine="437"/>
        <w:spacing w:after="0" w:line="254" w:lineRule="auto"/>
        <w:rPr>
          <w:sz w:val="20"/>
          <w:szCs w:val="20"/>
          <w:color w:val="auto"/>
        </w:rPr>
      </w:pPr>
      <w:r>
        <w:rPr>
          <w:rFonts w:ascii="Arial" w:cs="Arial" w:eastAsia="Arial" w:hAnsi="Arial"/>
          <w:sz w:val="18"/>
          <w:szCs w:val="18"/>
          <w:color w:val="auto"/>
        </w:rPr>
        <w:t>We believe there is a significant opportunity to expand usage of our platform outside of the United States. As of December 31, 2018, approximately 24% of our ARR was generated by customers outside of North America.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Dublin, London, Paris, Singapore, Sydney and Tokyo.</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p>
      <w:pPr>
        <w:ind w:left="260" w:right="280" w:firstLine="437"/>
        <w:spacing w:after="0" w:line="290" w:lineRule="auto"/>
        <w:rPr>
          <w:sz w:val="20"/>
          <w:szCs w:val="20"/>
          <w:color w:val="auto"/>
        </w:rPr>
      </w:pPr>
      <w:r>
        <w:rPr>
          <w:rFonts w:ascii="Arial" w:cs="Arial" w:eastAsia="Arial" w:hAnsi="Arial"/>
          <w:sz w:val="16"/>
          <w:szCs w:val="16"/>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65" w:lineRule="exact"/>
        <w:rPr>
          <w:sz w:val="20"/>
          <w:szCs w:val="20"/>
          <w:color w:val="auto"/>
        </w:rPr>
      </w:pPr>
    </w:p>
    <w:p>
      <w:pPr>
        <w:ind w:left="260" w:right="160" w:firstLine="437"/>
        <w:spacing w:after="0" w:line="275" w:lineRule="auto"/>
        <w:rPr>
          <w:sz w:val="20"/>
          <w:szCs w:val="20"/>
          <w:color w:val="auto"/>
        </w:rPr>
      </w:pPr>
      <w:r>
        <w:rPr>
          <w:rFonts w:ascii="Arial" w:cs="Arial" w:eastAsia="Arial" w:hAnsi="Arial"/>
          <w:sz w:val="17"/>
          <w:szCs w:val="17"/>
          <w:color w:val="auto"/>
        </w:rPr>
        <w:t>Usage is measured primarily by the number of hosts or by the volume of data indexed. A host is generally defined as a server, either in the cloud or on-premise. Our infrastructure monitoring and APM products are priced per host, while the logs product is priced primarily per log events indexed and secondarily by events ingested. Customers also have the option to purchase additional products, such as additional container or serverless monitoring, custom metrics packages, anomaly detection, synthetic monitoring and app analytics.</w:t>
      </w:r>
    </w:p>
    <w:p>
      <w:pPr>
        <w:spacing w:after="0" w:line="175"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720" w:firstLine="437"/>
        <w:spacing w:after="0" w:line="271"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1" w:lineRule="exact"/>
        <w:rPr>
          <w:sz w:val="20"/>
          <w:szCs w:val="20"/>
          <w:color w:val="auto"/>
        </w:rPr>
      </w:pPr>
    </w:p>
    <w:p>
      <w:pPr>
        <w:ind w:left="260" w:right="80" w:firstLine="437"/>
        <w:spacing w:after="0" w:line="275" w:lineRule="auto"/>
        <w:rPr>
          <w:sz w:val="20"/>
          <w:szCs w:val="20"/>
          <w:color w:val="auto"/>
        </w:rPr>
      </w:pPr>
      <w:r>
        <w:rPr>
          <w:rFonts w:ascii="Arial" w:cs="Arial" w:eastAsia="Arial" w:hAnsi="Arial"/>
          <w:sz w:val="17"/>
          <w:szCs w:val="17"/>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75" w:lineRule="exact"/>
        <w:rPr>
          <w:sz w:val="20"/>
          <w:szCs w:val="20"/>
          <w:color w:val="auto"/>
        </w:rPr>
      </w:pPr>
    </w:p>
    <w:p>
      <w:pPr>
        <w:ind w:left="260" w:right="160" w:firstLine="437"/>
        <w:spacing w:after="0" w:line="259"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1" w:lineRule="exact"/>
        <w:rPr>
          <w:sz w:val="20"/>
          <w:szCs w:val="20"/>
          <w:color w:val="auto"/>
        </w:rPr>
      </w:pPr>
    </w:p>
    <w:p>
      <w:pPr>
        <w:ind w:left="260" w:right="340" w:firstLine="437"/>
        <w:spacing w:after="0" w:line="259"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ind w:left="260" w:right="220" w:firstLine="437"/>
        <w:spacing w:after="0" w:line="307"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w:t>
      </w:r>
    </w:p>
    <w:p>
      <w:pPr>
        <w:spacing w:after="0" w:line="221" w:lineRule="exact"/>
        <w:rPr>
          <w:sz w:val="20"/>
          <w:szCs w:val="20"/>
          <w:color w:val="auto"/>
        </w:rPr>
      </w:pPr>
    </w:p>
    <w:p>
      <w:pPr>
        <w:ind w:left="260" w:right="20" w:firstLine="437"/>
        <w:spacing w:after="0" w:line="255"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w:t>
      </w:r>
    </w:p>
    <w:p>
      <w:pPr>
        <w:spacing w:after="0" w:line="221"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and continue to be our largest operating expense for the foreseeable future as we expand our sales and marketing efforts. However, we expect that our sales and marketing expense will decrease as a percentage of our revenue over the long term.</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w:t>
      </w:r>
    </w:p>
    <w:p>
      <w:pPr>
        <w:spacing w:after="0" w:line="221" w:lineRule="exact"/>
        <w:rPr>
          <w:sz w:val="20"/>
          <w:szCs w:val="20"/>
          <w:color w:val="auto"/>
        </w:rPr>
      </w:pPr>
    </w:p>
    <w:p>
      <w:pPr>
        <w:ind w:left="260" w:right="180" w:firstLine="437"/>
        <w:spacing w:after="0" w:line="307"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60" w:firstLine="437"/>
        <w:spacing w:after="0" w:line="254" w:lineRule="auto"/>
        <w:rPr>
          <w:sz w:val="20"/>
          <w:szCs w:val="20"/>
          <w:color w:val="auto"/>
        </w:rPr>
      </w:pPr>
      <w:r>
        <w:rPr>
          <w:rFonts w:ascii="Arial" w:cs="Arial" w:eastAsia="Arial" w:hAnsi="Arial"/>
          <w:sz w:val="18"/>
          <w:szCs w:val="18"/>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 However, we expect that our general and administrative expense will decrease as a percentage of our revenue as our revenue grows over the longer term.</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income, net consists of income earned on our money market funds included in cash and cash equivalents and restricted cash.</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1" w:lineRule="exact"/>
        <w:rPr>
          <w:sz w:val="20"/>
          <w:szCs w:val="20"/>
          <w:color w:val="auto"/>
        </w:rPr>
      </w:pPr>
    </w:p>
    <w:p>
      <w:pPr>
        <w:ind w:left="260" w:right="60" w:firstLine="437"/>
        <w:spacing w:after="0" w:line="259"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maintain a full valuation allowance on our federal and state deferred tax assets as we have concluded that it is not more likely than not that the deferred tax assets will be realized.</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1"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15"/>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1"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6"/>
          </w:tcPr>
          <w:p>
            <w:pPr>
              <w:jc w:val="right"/>
              <w:ind w:right="560"/>
              <w:spacing w:after="0" w:line="141"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100,761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$198,077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85,393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(1)(2)</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44,213</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88,849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ind w:left="680"/>
              <w:spacing w:after="0"/>
              <w:rPr>
                <w:sz w:val="20"/>
                <w:szCs w:val="20"/>
                <w:color w:val="auto"/>
              </w:rPr>
            </w:pPr>
            <w:r>
              <w:rPr>
                <w:rFonts w:ascii="Arial" w:cs="Arial" w:eastAsia="Arial" w:hAnsi="Arial"/>
                <w:sz w:val="18"/>
                <w:szCs w:val="18"/>
                <w:color w:val="auto"/>
              </w:rPr>
              <w:t>Total operating expenses</w:t>
            </w:r>
            <w:r>
              <w:rPr>
                <w:rFonts w:ascii="Arial" w:cs="Arial" w:eastAsia="Arial" w:hAnsi="Arial"/>
                <w:sz w:val="15"/>
                <w:szCs w:val="15"/>
                <w:color w:val="auto"/>
              </w:rPr>
              <w:t>(3)</w:t>
            </w:r>
          </w:p>
        </w:tc>
        <w:tc>
          <w:tcPr>
            <w:tcW w:w="2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66,525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(13,656)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income, net</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(10,762)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93345</wp:posOffset>
            </wp:positionV>
            <wp:extent cx="7562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162" w:lineRule="exact"/>
        <w:rPr>
          <w:sz w:val="20"/>
          <w:szCs w:val="20"/>
          <w:color w:val="auto"/>
        </w:rPr>
      </w:pPr>
    </w:p>
    <w:p>
      <w:pPr>
        <w:ind w:left="680" w:hanging="425"/>
        <w:spacing w:after="0"/>
        <w:tabs>
          <w:tab w:leader="none" w:pos="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0"/>
        </w:trPr>
        <w:tc>
          <w:tcPr>
            <w:tcW w:w="5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r>
      <w:tr>
        <w:trPr>
          <w:trHeight w:val="141"/>
        </w:trPr>
        <w:tc>
          <w:tcPr>
            <w:tcW w:w="5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9"/>
              <w:spacing w:after="0" w:line="141" w:lineRule="exact"/>
              <w:rPr>
                <w:sz w:val="20"/>
                <w:szCs w:val="20"/>
                <w:color w:val="auto"/>
              </w:rPr>
            </w:pPr>
            <w:r>
              <w:rPr>
                <w:rFonts w:ascii="Arial" w:cs="Arial" w:eastAsia="Arial" w:hAnsi="Arial"/>
                <w:sz w:val="14"/>
                <w:szCs w:val="14"/>
                <w:b w:val="1"/>
                <w:bCs w:val="1"/>
                <w:color w:val="auto"/>
                <w:w w:val="96"/>
              </w:rPr>
              <w:t>2017</w:t>
            </w:r>
          </w:p>
        </w:tc>
        <w:tc>
          <w:tcPr>
            <w:tcW w:w="640" w:type="dxa"/>
            <w:vAlign w:val="bottom"/>
            <w:tcBorders>
              <w:top w:val="single" w:sz="8" w:color="auto"/>
              <w:bottom w:val="single" w:sz="8" w:color="auto"/>
            </w:tcBorders>
            <w:gridSpan w:val="3"/>
          </w:tcPr>
          <w:p>
            <w:pPr>
              <w:jc w:val="right"/>
              <w:ind w:right="9"/>
              <w:spacing w:after="0" w:line="141"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9"/>
              <w:spacing w:after="0" w:line="141"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9"/>
              <w:spacing w:after="0" w:line="141"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41"/>
        </w:trPr>
        <w:tc>
          <w:tcPr>
            <w:tcW w:w="5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jc w:val="right"/>
              <w:ind w:right="69"/>
              <w:spacing w:after="0" w:line="141" w:lineRule="exact"/>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5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Cost of revenue</w:t>
            </w:r>
          </w:p>
        </w:tc>
        <w:tc>
          <w:tcPr>
            <w:tcW w:w="27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112</w:t>
            </w:r>
          </w:p>
        </w:tc>
        <w:tc>
          <w:tcPr>
            <w:tcW w:w="3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287</w:t>
            </w:r>
          </w:p>
        </w:tc>
        <w:tc>
          <w:tcPr>
            <w:tcW w:w="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108</w:t>
            </w:r>
          </w:p>
        </w:tc>
        <w:tc>
          <w:tcPr>
            <w:tcW w:w="3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211</w:t>
            </w:r>
          </w:p>
        </w:tc>
        <w:tc>
          <w:tcPr>
            <w:tcW w:w="40" w:type="dxa"/>
            <w:vAlign w:val="bottom"/>
            <w:shd w:val="clear" w:color="auto" w:fill="CCEEFF"/>
          </w:tcPr>
          <w:p>
            <w:pPr>
              <w:spacing w:after="0"/>
              <w:rPr>
                <w:sz w:val="12"/>
                <w:szCs w:val="12"/>
                <w:color w:val="auto"/>
              </w:rPr>
            </w:pPr>
          </w:p>
        </w:tc>
      </w:tr>
      <w:tr>
        <w:trPr>
          <w:trHeight w:val="147"/>
        </w:trPr>
        <w:tc>
          <w:tcPr>
            <w:tcW w:w="5260" w:type="dxa"/>
            <w:vAlign w:val="bottom"/>
          </w:tcPr>
          <w:p>
            <w:pPr>
              <w:spacing w:after="0" w:line="147" w:lineRule="exact"/>
              <w:rPr>
                <w:sz w:val="20"/>
                <w:szCs w:val="20"/>
                <w:color w:val="auto"/>
              </w:rPr>
            </w:pPr>
            <w:r>
              <w:rPr>
                <w:rFonts w:ascii="Arial" w:cs="Arial" w:eastAsia="Arial" w:hAnsi="Arial"/>
                <w:sz w:val="14"/>
                <w:szCs w:val="14"/>
                <w:color w:val="auto"/>
              </w:rPr>
              <w:t>Research and development</w:t>
            </w:r>
          </w:p>
        </w:tc>
        <w:tc>
          <w:tcPr>
            <w:tcW w:w="2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4"/>
                <w:szCs w:val="14"/>
                <w:color w:val="auto"/>
                <w:w w:val="85"/>
              </w:rPr>
              <w:t>1,160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Arial" w:cs="Arial" w:eastAsia="Arial" w:hAnsi="Arial"/>
                <w:sz w:val="14"/>
                <w:szCs w:val="14"/>
                <w:color w:val="auto"/>
                <w:w w:val="85"/>
              </w:rPr>
              <w:t>1,641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544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Arial" w:cs="Arial" w:eastAsia="Arial" w:hAnsi="Arial"/>
                <w:sz w:val="14"/>
                <w:szCs w:val="14"/>
                <w:color w:val="auto"/>
              </w:rPr>
              <w:t>1,775</w:t>
            </w:r>
          </w:p>
        </w:tc>
        <w:tc>
          <w:tcPr>
            <w:tcW w:w="40" w:type="dxa"/>
            <w:vAlign w:val="bottom"/>
          </w:tcPr>
          <w:p>
            <w:pPr>
              <w:spacing w:after="0"/>
              <w:rPr>
                <w:sz w:val="12"/>
                <w:szCs w:val="12"/>
                <w:color w:val="auto"/>
              </w:rPr>
            </w:pPr>
          </w:p>
        </w:tc>
      </w:tr>
      <w:tr>
        <w:trPr>
          <w:trHeight w:val="147"/>
        </w:trPr>
        <w:tc>
          <w:tcPr>
            <w:tcW w:w="5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Sales and marketing</w:t>
            </w:r>
          </w:p>
        </w:tc>
        <w:tc>
          <w:tcPr>
            <w:tcW w:w="2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977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5"/>
              </w:rPr>
              <w:t>1,910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1,736</w:t>
            </w:r>
          </w:p>
        </w:tc>
        <w:tc>
          <w:tcPr>
            <w:tcW w:w="40" w:type="dxa"/>
            <w:vAlign w:val="bottom"/>
            <w:shd w:val="clear" w:color="auto" w:fill="CCEEFF"/>
          </w:tcPr>
          <w:p>
            <w:pPr>
              <w:spacing w:after="0"/>
              <w:rPr>
                <w:sz w:val="12"/>
                <w:szCs w:val="12"/>
                <w:color w:val="auto"/>
              </w:rPr>
            </w:pPr>
          </w:p>
        </w:tc>
      </w:tr>
      <w:tr>
        <w:trPr>
          <w:trHeight w:val="154"/>
        </w:trPr>
        <w:tc>
          <w:tcPr>
            <w:tcW w:w="5260" w:type="dxa"/>
            <w:vAlign w:val="bottom"/>
          </w:tcPr>
          <w:p>
            <w:pPr>
              <w:spacing w:after="0" w:line="147" w:lineRule="exact"/>
              <w:rPr>
                <w:sz w:val="20"/>
                <w:szCs w:val="20"/>
                <w:color w:val="auto"/>
              </w:rPr>
            </w:pPr>
            <w:r>
              <w:rPr>
                <w:rFonts w:ascii="Arial" w:cs="Arial" w:eastAsia="Arial" w:hAnsi="Arial"/>
                <w:sz w:val="14"/>
                <w:szCs w:val="14"/>
                <w:color w:val="auto"/>
              </w:rPr>
              <w:t>General and administrative</w:t>
            </w:r>
          </w:p>
        </w:tc>
        <w:tc>
          <w:tcPr>
            <w:tcW w:w="26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819</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w w:val="85"/>
              </w:rPr>
              <w:t>1,406</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372</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1,617</w:t>
            </w:r>
          </w:p>
        </w:tc>
        <w:tc>
          <w:tcPr>
            <w:tcW w:w="40" w:type="dxa"/>
            <w:vAlign w:val="bottom"/>
          </w:tcPr>
          <w:p>
            <w:pPr>
              <w:spacing w:after="0"/>
              <w:rPr>
                <w:sz w:val="13"/>
                <w:szCs w:val="13"/>
                <w:color w:val="auto"/>
              </w:rPr>
            </w:pPr>
          </w:p>
        </w:tc>
      </w:tr>
      <w:tr>
        <w:trPr>
          <w:trHeight w:val="147"/>
        </w:trPr>
        <w:tc>
          <w:tcPr>
            <w:tcW w:w="52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Total stock-based compensation expense</w:t>
            </w:r>
          </w:p>
        </w:tc>
        <w:tc>
          <w:tcPr>
            <w:tcW w:w="27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u w:val="single" w:color="auto"/>
                <w:color w:val="auto"/>
              </w:rPr>
              <w:t>$</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5"/>
              </w:rPr>
              <w:t>3,068</w:t>
            </w:r>
          </w:p>
        </w:tc>
        <w:tc>
          <w:tcPr>
            <w:tcW w:w="3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u w:val="single" w:color="auto"/>
                <w:color w:val="auto"/>
              </w:rPr>
              <w:t>$</w:t>
            </w: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5"/>
              </w:rPr>
              <w:t>5,244</w:t>
            </w:r>
          </w:p>
        </w:tc>
        <w:tc>
          <w:tcPr>
            <w:tcW w:w="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1,743</w:t>
            </w:r>
          </w:p>
        </w:tc>
        <w:tc>
          <w:tcPr>
            <w:tcW w:w="3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5,339</w:t>
            </w:r>
          </w:p>
        </w:tc>
        <w:tc>
          <w:tcPr>
            <w:tcW w:w="40" w:type="dxa"/>
            <w:vAlign w:val="bottom"/>
            <w:shd w:val="clear" w:color="auto" w:fill="CCEEFF"/>
          </w:tcPr>
          <w:p>
            <w:pPr>
              <w:spacing w:after="0"/>
              <w:rPr>
                <w:sz w:val="12"/>
                <w:szCs w:val="12"/>
                <w:color w:val="auto"/>
              </w:rPr>
            </w:pPr>
          </w:p>
        </w:tc>
      </w:tr>
      <w:tr>
        <w:trPr>
          <w:trHeight w:val="20"/>
        </w:trPr>
        <w:tc>
          <w:tcPr>
            <w:tcW w:w="5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6"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80" w:hanging="425"/>
        <w:spacing w:after="0"/>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49"/>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4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4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r>
      <w:tr>
        <w:trPr>
          <w:trHeight w:val="141"/>
        </w:trPr>
        <w:tc>
          <w:tcPr>
            <w:tcW w:w="42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9"/>
              <w:spacing w:after="0" w:line="141"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9"/>
              <w:spacing w:after="0" w:line="141"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9"/>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9"/>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1"/>
        </w:trPr>
        <w:tc>
          <w:tcPr>
            <w:tcW w:w="42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4"/>
          </w:tcPr>
          <w:p>
            <w:pPr>
              <w:jc w:val="right"/>
              <w:ind w:right="209"/>
              <w:spacing w:after="0" w:line="141"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7"/>
        </w:trPr>
        <w:tc>
          <w:tcPr>
            <w:tcW w:w="4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Cost of revenue</w:t>
            </w:r>
          </w:p>
        </w:tc>
        <w:tc>
          <w:tcPr>
            <w:tcW w:w="34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484</w:t>
            </w: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511</w:t>
            </w:r>
          </w:p>
        </w:tc>
        <w:tc>
          <w:tcPr>
            <w:tcW w:w="22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220</w:t>
            </w: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352</w:t>
            </w:r>
          </w:p>
        </w:tc>
        <w:tc>
          <w:tcPr>
            <w:tcW w:w="60" w:type="dxa"/>
            <w:vAlign w:val="bottom"/>
            <w:shd w:val="clear" w:color="auto" w:fill="CCEEFF"/>
          </w:tcPr>
          <w:p>
            <w:pPr>
              <w:spacing w:after="0"/>
              <w:rPr>
                <w:sz w:val="12"/>
                <w:szCs w:val="12"/>
                <w:color w:val="auto"/>
              </w:rPr>
            </w:pPr>
          </w:p>
        </w:tc>
      </w:tr>
    </w:tbl>
    <w:p>
      <w:pPr>
        <w:spacing w:after="0" w:line="222" w:lineRule="exact"/>
        <w:rPr>
          <w:sz w:val="20"/>
          <w:szCs w:val="20"/>
          <w:color w:val="auto"/>
        </w:rPr>
      </w:pPr>
    </w:p>
    <w:p>
      <w:pPr>
        <w:ind w:left="680" w:right="40" w:hanging="425"/>
        <w:spacing w:after="0" w:line="236"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six months ended June 30, 2019. See Note 7 to our consolidated financial statements included elsewhere in this prospectus for further discussion.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jc w:val="center"/>
              <w:ind w:left="169"/>
              <w:spacing w:after="0"/>
              <w:rPr>
                <w:sz w:val="20"/>
                <w:szCs w:val="20"/>
                <w:color w:val="auto"/>
              </w:rPr>
            </w:pPr>
            <w:r>
              <w:rPr>
                <w:rFonts w:ascii="Arial" w:cs="Arial" w:eastAsia="Arial" w:hAnsi="Arial"/>
                <w:sz w:val="14"/>
                <w:szCs w:val="14"/>
                <w:b w:val="1"/>
                <w:bCs w:val="1"/>
                <w:color w:val="auto"/>
                <w:w w:val="90"/>
              </w:rPr>
              <w:t>Year Ended</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0"/>
              </w:rPr>
              <w:t>December 31,</w:t>
            </w:r>
          </w:p>
        </w:tc>
        <w:tc>
          <w:tcPr>
            <w:tcW w:w="19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9"/>
              <w:spacing w:after="0" w:line="141"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1"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1"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0" w:type="dxa"/>
            <w:vAlign w:val="bottom"/>
            <w:gridSpan w:val="7"/>
          </w:tcPr>
          <w:p>
            <w:pPr>
              <w:jc w:val="right"/>
              <w:ind w:right="300"/>
              <w:spacing w:after="0" w:line="141" w:lineRule="exact"/>
              <w:rPr>
                <w:sz w:val="20"/>
                <w:szCs w:val="20"/>
                <w:color w:val="auto"/>
              </w:rPr>
            </w:pPr>
            <w:r>
              <w:rPr>
                <w:rFonts w:ascii="Arial" w:cs="Arial" w:eastAsia="Arial" w:hAnsi="Arial"/>
                <w:sz w:val="14"/>
                <w:szCs w:val="14"/>
                <w:b w:val="1"/>
                <w:bCs w:val="1"/>
                <w:color w:val="auto"/>
              </w:rPr>
              <w:t>(as a percentage of total revenue)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3"/>
            <w:shd w:val="clear" w:color="auto" w:fill="CCEEFF"/>
          </w:tcPr>
          <w:p>
            <w:pPr>
              <w:jc w:val="right"/>
              <w:ind w:right="249"/>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revenue</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100" w:type="dxa"/>
            <w:vAlign w:val="bottom"/>
            <w:gridSpan w:val="3"/>
            <w:shd w:val="clear" w:color="auto" w:fill="CCEEFF"/>
          </w:tcPr>
          <w:p>
            <w:pPr>
              <w:jc w:val="right"/>
              <w:ind w:right="329"/>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income, net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100" w:type="dxa"/>
            <w:vAlign w:val="bottom"/>
            <w:gridSpan w:val="3"/>
            <w:shd w:val="clear" w:color="auto" w:fill="CCEEFF"/>
          </w:tcPr>
          <w:p>
            <w:pPr>
              <w:jc w:val="right"/>
              <w:ind w:right="329"/>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gridSpan w:val="3"/>
          </w:tcPr>
          <w:p>
            <w:pPr>
              <w:jc w:val="right"/>
              <w:ind w:right="32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00" w:type="dxa"/>
            <w:vAlign w:val="bottom"/>
            <w:gridSpan w:val="3"/>
            <w:shd w:val="clear" w:color="auto" w:fill="CCEEFF"/>
          </w:tcPr>
          <w:p>
            <w:pPr>
              <w:jc w:val="right"/>
              <w:ind w:right="189"/>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Six Months Ended June 30, 2018 and 2019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7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67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69"/>
              <w:spacing w:after="0" w:line="14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5"/>
          </w:tcPr>
          <w:p>
            <w:pPr>
              <w:jc w:val="right"/>
              <w:ind w:right="480"/>
              <w:spacing w:after="0" w:line="141"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3"/>
            <w:shd w:val="clear" w:color="auto" w:fill="CCEEFF"/>
          </w:tcPr>
          <w:p>
            <w:pPr>
              <w:jc w:val="right"/>
              <w:ind w:right="69"/>
              <w:spacing w:after="0"/>
              <w:rPr>
                <w:sz w:val="20"/>
                <w:szCs w:val="20"/>
                <w:color w:val="auto"/>
              </w:rPr>
            </w:pPr>
            <w:r>
              <w:rPr>
                <w:rFonts w:ascii="Arial" w:cs="Arial" w:eastAsia="Arial" w:hAnsi="Arial"/>
                <w:sz w:val="18"/>
                <w:szCs w:val="18"/>
                <w:color w:val="auto"/>
              </w:rPr>
              <w:t>$ 85,393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$ 153,272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$ 67,879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60" w:right="540" w:firstLine="437"/>
        <w:spacing w:after="0" w:line="259" w:lineRule="auto"/>
        <w:rPr>
          <w:sz w:val="20"/>
          <w:szCs w:val="20"/>
          <w:color w:val="auto"/>
        </w:rPr>
      </w:pPr>
      <w:r>
        <w:rPr>
          <w:rFonts w:ascii="Arial" w:cs="Arial" w:eastAsia="Arial" w:hAnsi="Arial"/>
          <w:sz w:val="18"/>
          <w:szCs w:val="18"/>
          <w:color w:val="auto"/>
        </w:rPr>
        <w:t>Revenue increased by $67.9 million, or 79%, for the six months ended June 30, 2019 compared to the six months ended June 30, 2018. Approximately 60% of the increase in revenue was attributable to the growth from existing customers, and the remaining increase in revenue was attributable to new customers.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32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40" w:type="dxa"/>
            <w:vAlign w:val="bottom"/>
          </w:tcPr>
          <w:p>
            <w:pPr>
              <w:jc w:val="right"/>
              <w:ind w:right="669"/>
              <w:spacing w:after="0" w:line="141"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ind w:right="120"/>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3"/>
          </w:tcPr>
          <w:p>
            <w:pPr>
              <w:ind w:left="240"/>
              <w:spacing w:after="0" w:line="141"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42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  18,592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$ 39,928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21,336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4420" w:type="dxa"/>
            <w:vAlign w:val="bottom"/>
            <w:gridSpan w:val="2"/>
          </w:tcPr>
          <w:p>
            <w:pPr>
              <w:jc w:val="right"/>
              <w:ind w:right="269"/>
              <w:spacing w:after="0"/>
              <w:rPr>
                <w:sz w:val="20"/>
                <w:szCs w:val="20"/>
                <w:color w:val="auto"/>
              </w:rPr>
            </w:pPr>
            <w:r>
              <w:rPr>
                <w:rFonts w:ascii="Arial" w:cs="Arial" w:eastAsia="Arial" w:hAnsi="Arial"/>
                <w:sz w:val="18"/>
                <w:szCs w:val="18"/>
                <w:color w:val="auto"/>
              </w:rPr>
              <w:t>78%</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3240" w:type="dxa"/>
            <w:vAlign w:val="bottom"/>
          </w:tcPr>
          <w:p>
            <w:pPr>
              <w:spacing w:after="0"/>
              <w:rPr>
                <w:sz w:val="24"/>
                <w:szCs w:val="24"/>
                <w:color w:val="auto"/>
              </w:rPr>
            </w:pPr>
          </w:p>
        </w:tc>
        <w:tc>
          <w:tcPr>
            <w:tcW w:w="3180" w:type="dxa"/>
            <w:vAlign w:val="bottom"/>
          </w:tcPr>
          <w:p>
            <w:pPr>
              <w:jc w:val="right"/>
              <w:ind w:right="791"/>
              <w:spacing w:after="0"/>
              <w:rPr>
                <w:sz w:val="20"/>
                <w:szCs w:val="20"/>
                <w:color w:val="auto"/>
              </w:rPr>
            </w:pPr>
            <w:r>
              <w:rPr>
                <w:rFonts w:ascii="Arial" w:cs="Arial" w:eastAsia="Arial" w:hAnsi="Arial"/>
                <w:sz w:val="18"/>
                <w:szCs w:val="18"/>
                <w:color w:val="auto"/>
              </w:rPr>
              <w:t>63</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60" w:firstLine="437"/>
        <w:spacing w:after="0" w:line="254" w:lineRule="auto"/>
        <w:rPr>
          <w:sz w:val="20"/>
          <w:szCs w:val="20"/>
          <w:color w:val="auto"/>
        </w:rPr>
      </w:pPr>
      <w:r>
        <w:rPr>
          <w:rFonts w:ascii="Arial" w:cs="Arial" w:eastAsia="Arial" w:hAnsi="Arial"/>
          <w:sz w:val="18"/>
          <w:szCs w:val="18"/>
          <w:color w:val="auto"/>
        </w:rPr>
        <w:t>Cost of revenue increased by $21.3 million, or 115%, for the six months ended June 30, 2019 compared to the six months ended June 30, 2018. This increase was primarily due to an increase of $17.9 million in third-party cloud infrastructure hosting and software costs, $1.0 million of depreciation and amortization, $1.6 million in personnel expenses as a result of increased headcount, $0.4 million of credit card processing fees and other fees, and $0.4 million in allocated overhead costs as a result of an increase in overall costs necessary to support the growth of the business and related infrastructure.</w:t>
      </w:r>
    </w:p>
    <w:p>
      <w:pPr>
        <w:spacing w:after="0" w:line="189" w:lineRule="exact"/>
        <w:rPr>
          <w:sz w:val="20"/>
          <w:szCs w:val="20"/>
          <w:color w:val="auto"/>
        </w:rPr>
      </w:pPr>
    </w:p>
    <w:p>
      <w:pPr>
        <w:ind w:left="260" w:right="60" w:firstLine="437"/>
        <w:spacing w:after="0" w:line="301" w:lineRule="auto"/>
        <w:rPr>
          <w:sz w:val="20"/>
          <w:szCs w:val="20"/>
          <w:color w:val="auto"/>
        </w:rPr>
      </w:pPr>
      <w:r>
        <w:rPr>
          <w:rFonts w:ascii="Arial" w:cs="Arial" w:eastAsia="Arial" w:hAnsi="Arial"/>
          <w:sz w:val="17"/>
          <w:szCs w:val="17"/>
          <w:color w:val="auto"/>
        </w:rPr>
        <w:t>Our gross margin declined by 4% for the six months ended June 30, 2019 compared to the six months ended June 30, 2018, primarily as the result of the timing and amount of our investments to expand the capacity of our third-party cloud infrastructure providers.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80" w:type="dxa"/>
            <w:vAlign w:val="bottom"/>
          </w:tcPr>
          <w:p>
            <w:pPr>
              <w:jc w:val="right"/>
              <w:ind w:right="649"/>
              <w:spacing w:after="0" w:line="141" w:lineRule="exact"/>
              <w:rPr>
                <w:sz w:val="20"/>
                <w:szCs w:val="20"/>
                <w:color w:val="auto"/>
              </w:rPr>
            </w:pPr>
            <w:r>
              <w:rPr>
                <w:rFonts w:ascii="Arial" w:cs="Arial" w:eastAsia="Arial" w:hAnsi="Arial"/>
                <w:sz w:val="14"/>
                <w:szCs w:val="14"/>
                <w:b w:val="1"/>
                <w:bCs w:val="1"/>
                <w:color w:val="auto"/>
              </w:rPr>
              <w:t>2018</w:t>
            </w:r>
          </w:p>
        </w:tc>
        <w:tc>
          <w:tcPr>
            <w:tcW w:w="680" w:type="dxa"/>
            <w:vAlign w:val="bottom"/>
          </w:tcPr>
          <w:p>
            <w:pPr>
              <w:jc w:val="right"/>
              <w:ind w:right="120"/>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3"/>
          </w:tcPr>
          <w:p>
            <w:pPr>
              <w:ind w:left="220"/>
              <w:spacing w:after="0" w:line="141"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52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$ 23,297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$ 46,847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$ 23,550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Percentage of revenue</w:t>
            </w:r>
          </w:p>
        </w:tc>
        <w:tc>
          <w:tcPr>
            <w:tcW w:w="3520" w:type="dxa"/>
            <w:vAlign w:val="bottom"/>
            <w:gridSpan w:val="2"/>
          </w:tcPr>
          <w:p>
            <w:pPr>
              <w:jc w:val="right"/>
              <w:ind w:right="289"/>
              <w:spacing w:after="0"/>
              <w:rPr>
                <w:sz w:val="20"/>
                <w:szCs w:val="20"/>
                <w:color w:val="auto"/>
              </w:rPr>
            </w:pPr>
            <w:r>
              <w:rPr>
                <w:rFonts w:ascii="Arial" w:cs="Arial" w:eastAsia="Arial" w:hAnsi="Arial"/>
                <w:sz w:val="18"/>
                <w:szCs w:val="18"/>
                <w:color w:val="auto"/>
              </w:rPr>
              <w:t>27%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20" w:firstLine="437"/>
        <w:spacing w:after="0" w:line="272" w:lineRule="auto"/>
        <w:rPr>
          <w:sz w:val="20"/>
          <w:szCs w:val="20"/>
          <w:color w:val="auto"/>
        </w:rPr>
      </w:pPr>
      <w:r>
        <w:rPr>
          <w:rFonts w:ascii="Arial" w:cs="Arial" w:eastAsia="Arial" w:hAnsi="Arial"/>
          <w:sz w:val="17"/>
          <w:szCs w:val="17"/>
          <w:color w:val="auto"/>
        </w:rPr>
        <w:t>Research and development expense increased by $23.6 million, or 101%, for the six months ended June 30, 2019 compared to the six months ended June 30, 2018. This increase was primarily due to an increase of $15.7 million in personnel costs for our engineering, product and design teams as a result of increased headcount, and an increase of $10.2 million in cloud infrastructure related investments and in allocated overhead costs necessary for supporting the growth of the business, partially offset by a $2.3 million benefit related to a release of a non-income tax liability. See Note 7 to our consolidated financial statements included elsewhere in this prospectus for further discussion.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1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80" w:type="dxa"/>
            <w:vAlign w:val="bottom"/>
          </w:tcPr>
          <w:p>
            <w:pPr>
              <w:jc w:val="right"/>
              <w:ind w:right="649"/>
              <w:spacing w:after="0" w:line="141" w:lineRule="exact"/>
              <w:rPr>
                <w:sz w:val="20"/>
                <w:szCs w:val="20"/>
                <w:color w:val="auto"/>
              </w:rPr>
            </w:pPr>
            <w:r>
              <w:rPr>
                <w:rFonts w:ascii="Arial" w:cs="Arial" w:eastAsia="Arial" w:hAnsi="Arial"/>
                <w:sz w:val="14"/>
                <w:szCs w:val="14"/>
                <w:b w:val="1"/>
                <w:bCs w:val="1"/>
                <w:color w:val="auto"/>
              </w:rPr>
              <w:t>2018</w:t>
            </w:r>
          </w:p>
        </w:tc>
        <w:tc>
          <w:tcPr>
            <w:tcW w:w="680" w:type="dxa"/>
            <w:vAlign w:val="bottom"/>
          </w:tcPr>
          <w:p>
            <w:pPr>
              <w:jc w:val="right"/>
              <w:ind w:right="120"/>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3"/>
          </w:tcPr>
          <w:p>
            <w:pPr>
              <w:ind w:left="220"/>
              <w:spacing w:after="0" w:line="141"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68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$ 34,617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$ 66,225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$ 31,608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Percentage of revenue</w:t>
            </w:r>
          </w:p>
        </w:tc>
        <w:tc>
          <w:tcPr>
            <w:tcW w:w="3680" w:type="dxa"/>
            <w:vAlign w:val="bottom"/>
            <w:gridSpan w:val="2"/>
          </w:tcPr>
          <w:p>
            <w:pPr>
              <w:jc w:val="right"/>
              <w:ind w:right="289"/>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120" w:firstLine="437"/>
        <w:spacing w:after="0" w:line="252" w:lineRule="auto"/>
        <w:rPr>
          <w:sz w:val="20"/>
          <w:szCs w:val="20"/>
          <w:color w:val="auto"/>
        </w:rPr>
      </w:pPr>
      <w:r>
        <w:rPr>
          <w:rFonts w:ascii="Arial" w:cs="Arial" w:eastAsia="Arial" w:hAnsi="Arial"/>
          <w:sz w:val="18"/>
          <w:szCs w:val="18"/>
          <w:color w:val="auto"/>
        </w:rPr>
        <w:t>Sales and marketing expense increased by $31.6 million, or 91%, for the six months ended June 30, 2019 compared to the six months ended June 30, 2018. This increase was primarily due to an increase of $20.1 million in personnel costs for our sales and marketing organization as a result of increased headcount and increased amortization of deferred contract costs related to increased variable compensation for sales personnel due to increased sales, an increase of $6.0 million in marketing and promotional activities, and an increase of $5.9 million in allocated overhead costs as a result of increased overall costs necessary to support the growth of the business and related infrastructure, partially offset by a $0.4 million benefit related to a release of a non-income tax liability.</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Pr>
          <w:p>
            <w:pPr>
              <w:jc w:val="right"/>
              <w:ind w:right="149"/>
              <w:spacing w:after="0" w:line="141"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2"/>
                <w:szCs w:val="12"/>
                <w:color w:val="auto"/>
              </w:rPr>
            </w:pPr>
          </w:p>
        </w:tc>
        <w:tc>
          <w:tcPr>
            <w:tcW w:w="600" w:type="dxa"/>
            <w:vAlign w:val="bottom"/>
          </w:tcPr>
          <w:p>
            <w:pPr>
              <w:jc w:val="right"/>
              <w:ind w:right="160"/>
              <w:spacing w:after="0" w:line="141"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ind w:left="100"/>
              <w:spacing w:after="0" w:line="141"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5,317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7"/>
        </w:trPr>
        <w:tc>
          <w:tcPr>
            <w:tcW w:w="3640" w:type="dxa"/>
            <w:vAlign w:val="bottom"/>
          </w:tcPr>
          <w:p>
            <w:pPr>
              <w:spacing w:after="0"/>
              <w:rPr>
                <w:sz w:val="20"/>
                <w:szCs w:val="20"/>
                <w:color w:val="auto"/>
              </w:rPr>
            </w:pPr>
            <w:r>
              <w:rPr>
                <w:rFonts w:ascii="Arial" w:cs="Arial" w:eastAsia="Arial" w:hAnsi="Arial"/>
                <w:sz w:val="18"/>
                <w:szCs w:val="18"/>
                <w:color w:val="auto"/>
              </w:rPr>
              <w:t>Percentage of revenue</w:t>
            </w:r>
          </w:p>
        </w:tc>
        <w:tc>
          <w:tcPr>
            <w:tcW w:w="4200" w:type="dxa"/>
            <w:vAlign w:val="bottom"/>
            <w:gridSpan w:val="3"/>
          </w:tcPr>
          <w:p>
            <w:pPr>
              <w:jc w:val="right"/>
              <w:ind w:right="44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3640" w:type="dxa"/>
            <w:vAlign w:val="bottom"/>
          </w:tcPr>
          <w:p>
            <w:pPr>
              <w:spacing w:after="0"/>
              <w:rPr>
                <w:sz w:val="24"/>
                <w:szCs w:val="24"/>
                <w:color w:val="auto"/>
              </w:rPr>
            </w:pPr>
          </w:p>
        </w:tc>
        <w:tc>
          <w:tcPr>
            <w:tcW w:w="2860" w:type="dxa"/>
            <w:vAlign w:val="bottom"/>
          </w:tcPr>
          <w:p>
            <w:pPr>
              <w:jc w:val="right"/>
              <w:ind w:right="871"/>
              <w:spacing w:after="0"/>
              <w:rPr>
                <w:sz w:val="20"/>
                <w:szCs w:val="20"/>
                <w:color w:val="auto"/>
              </w:rPr>
            </w:pPr>
            <w:r>
              <w:rPr>
                <w:rFonts w:ascii="Arial" w:cs="Arial" w:eastAsia="Arial" w:hAnsi="Arial"/>
                <w:sz w:val="18"/>
                <w:szCs w:val="18"/>
                <w:color w:val="auto"/>
              </w:rPr>
              <w:t>64</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General and administrative expense increased by $5.3 million, or 62%, for the six months ended June 30, 2019 compared to the six months ended</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June 30, 2018. This increase was primarily due to an increase of $4.3 million in personnel costs as a result of increased headcount, an increase of</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$2.6 million related to outside professional fees primarily related to legal and accounting services, and an increase of $0.7 million in allocated overhead</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costs as a result of an increase in overall costs necessary to support the growth of the business and related infrastructure, partially offset by a $2.3</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million benefit related to a release of a non-income tax liability. See Note 7 to our consolidated financial statements included elsewhere in this</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prospectus for further discussion.</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Comparison of the Years Ended December 31, 2017 and 2018</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vMerge w:val="restart"/>
          </w:tcPr>
          <w:p>
            <w:pPr>
              <w:jc w:val="center"/>
              <w:ind w:left="20"/>
              <w:spacing w:after="0"/>
              <w:rPr>
                <w:sz w:val="20"/>
                <w:szCs w:val="20"/>
                <w:color w:val="auto"/>
              </w:rPr>
            </w:pPr>
            <w:r>
              <w:rPr>
                <w:rFonts w:ascii="Arial" w:cs="Arial" w:eastAsia="Arial" w:hAnsi="Arial"/>
                <w:sz w:val="14"/>
                <w:szCs w:val="14"/>
                <w:b w:val="1"/>
                <w:bCs w:val="1"/>
                <w:color w:val="auto"/>
                <w:w w:val="93"/>
              </w:rPr>
              <w:t>Change</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20" w:type="dxa"/>
            <w:vAlign w:val="bottom"/>
          </w:tcPr>
          <w:p>
            <w:pPr>
              <w:jc w:val="right"/>
              <w:ind w:right="269"/>
              <w:spacing w:after="0" w:line="141" w:lineRule="exact"/>
              <w:rPr>
                <w:sz w:val="20"/>
                <w:szCs w:val="20"/>
                <w:color w:val="auto"/>
              </w:rPr>
            </w:pPr>
            <w:r>
              <w:rPr>
                <w:rFonts w:ascii="Arial" w:cs="Arial" w:eastAsia="Arial" w:hAnsi="Arial"/>
                <w:sz w:val="14"/>
                <w:szCs w:val="14"/>
                <w:b w:val="1"/>
                <w:bCs w:val="1"/>
                <w:color w:val="auto"/>
              </w:rPr>
              <w:t>2017</w:t>
            </w:r>
          </w:p>
        </w:tc>
        <w:tc>
          <w:tcPr>
            <w:tcW w:w="820" w:type="dxa"/>
            <w:vAlign w:val="bottom"/>
          </w:tcPr>
          <w:p>
            <w:pPr>
              <w:jc w:val="right"/>
              <w:ind w:right="123"/>
              <w:spacing w:after="0" w:line="141" w:lineRule="exact"/>
              <w:rPr>
                <w:sz w:val="20"/>
                <w:szCs w:val="20"/>
                <w:color w:val="auto"/>
              </w:rPr>
            </w:pPr>
            <w:r>
              <w:rPr>
                <w:rFonts w:ascii="Arial" w:cs="Arial" w:eastAsia="Arial" w:hAnsi="Arial"/>
                <w:sz w:val="14"/>
                <w:szCs w:val="14"/>
                <w:b w:val="1"/>
                <w:bCs w:val="1"/>
                <w:color w:val="auto"/>
              </w:rPr>
              <w:t>2018</w:t>
            </w:r>
          </w:p>
        </w:tc>
        <w:tc>
          <w:tcPr>
            <w:tcW w:w="110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2"/>
          </w:tcPr>
          <w:p>
            <w:pPr>
              <w:ind w:left="300"/>
              <w:spacing w:after="0" w:line="141"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$100,761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$198,077</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$ 97,316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60" w:right="540" w:firstLine="437"/>
        <w:spacing w:after="0" w:line="259" w:lineRule="auto"/>
        <w:rPr>
          <w:sz w:val="20"/>
          <w:szCs w:val="20"/>
          <w:color w:val="auto"/>
        </w:rPr>
      </w:pPr>
      <w:r>
        <w:rPr>
          <w:rFonts w:ascii="Arial" w:cs="Arial" w:eastAsia="Arial" w:hAnsi="Arial"/>
          <w:sz w:val="18"/>
          <w:szCs w:val="18"/>
          <w:color w:val="auto"/>
        </w:rPr>
        <w:t>Revenue increased by $97.3 million, or 97%, for the year ended December 31, 2018 compared to the year ended December 31, 2017. Approximately 60% of the increase in revenue was attributable to the growth from existing customers, and the remaining increase in revenue was attributable to new customers.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60" w:type="dxa"/>
            <w:vAlign w:val="bottom"/>
            <w:gridSpan w:val="2"/>
          </w:tcPr>
          <w:p>
            <w:pPr>
              <w:jc w:val="center"/>
              <w:ind w:left="449"/>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60" w:type="dxa"/>
            <w:vAlign w:val="bottom"/>
            <w:tcBorders>
              <w:bottom w:val="single" w:sz="8" w:color="auto"/>
            </w:tcBorders>
            <w:gridSpan w:val="2"/>
          </w:tcPr>
          <w:p>
            <w:pPr>
              <w:jc w:val="center"/>
              <w:ind w:left="429"/>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3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0" w:type="dxa"/>
            <w:vAlign w:val="bottom"/>
          </w:tcPr>
          <w:p>
            <w:pPr>
              <w:jc w:val="right"/>
              <w:ind w:right="449"/>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520" w:type="dxa"/>
            <w:vAlign w:val="bottom"/>
          </w:tcPr>
          <w:p>
            <w:pPr>
              <w:jc w:val="right"/>
              <w:ind w:right="120"/>
              <w:spacing w:after="0" w:line="141"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40"/>
              <w:spacing w:after="0" w:line="141"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72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$ 23,414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46,529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$ 23,115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7"/>
        </w:trPr>
        <w:tc>
          <w:tcPr>
            <w:tcW w:w="3860" w:type="dxa"/>
            <w:vAlign w:val="bottom"/>
          </w:tcPr>
          <w:p>
            <w:pPr>
              <w:spacing w:after="0"/>
              <w:rPr>
                <w:sz w:val="20"/>
                <w:szCs w:val="20"/>
                <w:color w:val="auto"/>
              </w:rPr>
            </w:pPr>
            <w:r>
              <w:rPr>
                <w:rFonts w:ascii="Arial" w:cs="Arial" w:eastAsia="Arial" w:hAnsi="Arial"/>
                <w:sz w:val="18"/>
                <w:szCs w:val="18"/>
                <w:color w:val="auto"/>
              </w:rPr>
              <w:t>Gross margin</w:t>
            </w:r>
          </w:p>
        </w:tc>
        <w:tc>
          <w:tcPr>
            <w:tcW w:w="3720" w:type="dxa"/>
            <w:vAlign w:val="bottom"/>
            <w:gridSpan w:val="2"/>
          </w:tcPr>
          <w:p>
            <w:pPr>
              <w:jc w:val="right"/>
              <w:ind w:right="109"/>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100" w:firstLine="437"/>
        <w:spacing w:after="0" w:line="272" w:lineRule="auto"/>
        <w:rPr>
          <w:sz w:val="20"/>
          <w:szCs w:val="20"/>
          <w:color w:val="auto"/>
        </w:rPr>
      </w:pPr>
      <w:r>
        <w:rPr>
          <w:rFonts w:ascii="Arial" w:cs="Arial" w:eastAsia="Arial" w:hAnsi="Arial"/>
          <w:sz w:val="17"/>
          <w:szCs w:val="17"/>
          <w:color w:val="auto"/>
        </w:rPr>
        <w:t>Cost of revenue increased by $23.1 million, or 99%, for the year ended December 31, 2018 compared to the year ended December 31, 2017. This increase was primarily due to an increase of $17.2 million in third-party cloud infrastructure hosting and software costs, an increase of $2.5 million in personnel expenses as a result of increased headcount, an increase of $1.8 million of depreciation and amortization expense, an increase of $0.9 million in credit card processing fees and other fees, and an increase of $0.7 million in allocated overhead costs as a result of an increase in overall costs necessary to support the growth of the business and related infrastructure.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gross margin remained relatively constant for the fiscal year ended December 31, 2018 compared to the fiscal year ended December 31, 2017.</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gridSpan w:val="2"/>
          </w:tcPr>
          <w:p>
            <w:pPr>
              <w:jc w:val="center"/>
              <w:ind w:left="409"/>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tcBorders>
              <w:bottom w:val="single" w:sz="8" w:color="auto"/>
            </w:tcBorders>
            <w:gridSpan w:val="2"/>
          </w:tcPr>
          <w:p>
            <w:pPr>
              <w:jc w:val="center"/>
              <w:ind w:left="409"/>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0" w:type="dxa"/>
            <w:vAlign w:val="bottom"/>
          </w:tcPr>
          <w:p>
            <w:pPr>
              <w:jc w:val="right"/>
              <w:ind w:right="469"/>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500" w:type="dxa"/>
            <w:vAlign w:val="bottom"/>
          </w:tcPr>
          <w:p>
            <w:pPr>
              <w:jc w:val="right"/>
              <w:ind w:right="120"/>
              <w:spacing w:after="0" w:line="141"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40"/>
              <w:spacing w:after="0" w:line="141"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34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$ 24,734</w:t>
            </w: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55,176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$ 30,442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Percentage of revenue</w:t>
            </w:r>
          </w:p>
        </w:tc>
        <w:tc>
          <w:tcPr>
            <w:tcW w:w="3340" w:type="dxa"/>
            <w:vAlign w:val="bottom"/>
            <w:gridSpan w:val="2"/>
          </w:tcPr>
          <w:p>
            <w:pPr>
              <w:jc w:val="right"/>
              <w:ind w:right="109"/>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80" w:firstLine="437"/>
        <w:spacing w:after="0" w:line="255" w:lineRule="auto"/>
        <w:rPr>
          <w:sz w:val="20"/>
          <w:szCs w:val="20"/>
          <w:color w:val="auto"/>
        </w:rPr>
      </w:pPr>
      <w:r>
        <w:rPr>
          <w:rFonts w:ascii="Arial" w:cs="Arial" w:eastAsia="Arial" w:hAnsi="Arial"/>
          <w:sz w:val="18"/>
          <w:szCs w:val="18"/>
          <w:color w:val="auto"/>
        </w:rPr>
        <w:t>Research and development expense increased by $30.4 million, or 123%, for the year ended December 31, 2018 compared to the year ended December 31, 2017. This increase was primarily due to an increase of $21.7 million in personnel costs for our engineering, product and design teams as a result of increased headcount and an increase of $8.7 million in cloud infrastructure related investments and in allocated overhead costs necessary for supporting the growth of the business.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6"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gridSpan w:val="2"/>
          </w:tcPr>
          <w:p>
            <w:pPr>
              <w:jc w:val="center"/>
              <w:ind w:left="409"/>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60" w:type="dxa"/>
            <w:vAlign w:val="bottom"/>
            <w:tcBorders>
              <w:bottom w:val="single" w:sz="8" w:color="auto"/>
            </w:tcBorders>
            <w:gridSpan w:val="2"/>
          </w:tcPr>
          <w:p>
            <w:pPr>
              <w:jc w:val="center"/>
              <w:ind w:left="409"/>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0" w:type="dxa"/>
            <w:vAlign w:val="bottom"/>
          </w:tcPr>
          <w:p>
            <w:pPr>
              <w:jc w:val="right"/>
              <w:ind w:right="469"/>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500" w:type="dxa"/>
            <w:vAlign w:val="bottom"/>
          </w:tcPr>
          <w:p>
            <w:pPr>
              <w:jc w:val="right"/>
              <w:ind w:right="120"/>
              <w:spacing w:after="0" w:line="141"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40"/>
              <w:spacing w:after="0" w:line="141"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50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$ 44,213</w:t>
            </w: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88,849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$ 44,636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7"/>
        </w:trPr>
        <w:tc>
          <w:tcPr>
            <w:tcW w:w="4080" w:type="dxa"/>
            <w:vAlign w:val="bottom"/>
          </w:tcPr>
          <w:p>
            <w:pPr>
              <w:spacing w:after="0"/>
              <w:rPr>
                <w:sz w:val="20"/>
                <w:szCs w:val="20"/>
                <w:color w:val="auto"/>
              </w:rPr>
            </w:pPr>
            <w:r>
              <w:rPr>
                <w:rFonts w:ascii="Arial" w:cs="Arial" w:eastAsia="Arial" w:hAnsi="Arial"/>
                <w:sz w:val="18"/>
                <w:szCs w:val="18"/>
                <w:color w:val="auto"/>
              </w:rPr>
              <w:t>Percentage of revenue</w:t>
            </w:r>
          </w:p>
        </w:tc>
        <w:tc>
          <w:tcPr>
            <w:tcW w:w="3500" w:type="dxa"/>
            <w:vAlign w:val="bottom"/>
            <w:gridSpan w:val="2"/>
          </w:tcPr>
          <w:p>
            <w:pPr>
              <w:jc w:val="right"/>
              <w:ind w:right="109"/>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260" w:firstLine="437"/>
        <w:spacing w:after="0" w:line="254" w:lineRule="auto"/>
        <w:rPr>
          <w:sz w:val="20"/>
          <w:szCs w:val="20"/>
          <w:color w:val="auto"/>
        </w:rPr>
      </w:pPr>
      <w:r>
        <w:rPr>
          <w:rFonts w:ascii="Arial" w:cs="Arial" w:eastAsia="Arial" w:hAnsi="Arial"/>
          <w:sz w:val="18"/>
          <w:szCs w:val="18"/>
          <w:color w:val="auto"/>
        </w:rPr>
        <w:t>Sales and marketing expense increased by $44.6 million, or 101%, for the year ended December 31, 2018 compared to the year ended December 31, 2017. This increase was primarily due to an increase of $26.1 million in personnel costs for our sales and marketing organization as a result of increased headcount and increased variable compensation for our sales personnel, an increase of $11.6 million in marketing and promotional activities, and an increase of $6.9 million in allocated overhead costs as a result of an increase in overall costs necessary to support the growth of the business and related infrastructure.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gridSpan w:val="2"/>
          </w:tcPr>
          <w:p>
            <w:pPr>
              <w:jc w:val="center"/>
              <w:ind w:left="409"/>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tcBorders>
              <w:bottom w:val="single" w:sz="8" w:color="auto"/>
            </w:tcBorders>
            <w:gridSpan w:val="2"/>
          </w:tcPr>
          <w:p>
            <w:pPr>
              <w:jc w:val="center"/>
              <w:ind w:left="429"/>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4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Pr>
          <w:p>
            <w:pPr>
              <w:jc w:val="right"/>
              <w:ind w:right="449"/>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500" w:type="dxa"/>
            <w:vAlign w:val="bottom"/>
          </w:tcPr>
          <w:p>
            <w:pPr>
              <w:jc w:val="right"/>
              <w:ind w:right="120"/>
              <w:spacing w:after="0" w:line="141"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40"/>
              <w:spacing w:after="0" w:line="141"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32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$ 11,356</w:t>
            </w: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18,556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7,200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3320" w:type="dxa"/>
            <w:vAlign w:val="bottom"/>
            <w:gridSpan w:val="2"/>
          </w:tcPr>
          <w:p>
            <w:pPr>
              <w:jc w:val="right"/>
              <w:ind w:right="109"/>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right="80" w:firstLine="437"/>
        <w:spacing w:after="0" w:line="297" w:lineRule="auto"/>
        <w:rPr>
          <w:sz w:val="20"/>
          <w:szCs w:val="20"/>
          <w:color w:val="auto"/>
        </w:rPr>
      </w:pPr>
      <w:r>
        <w:rPr>
          <w:rFonts w:ascii="Arial" w:cs="Arial" w:eastAsia="Arial" w:hAnsi="Arial"/>
          <w:sz w:val="16"/>
          <w:szCs w:val="16"/>
          <w:color w:val="auto"/>
        </w:rPr>
        <w:t>General and administrative expense increased by $7.2 million, or 63%, for the year ended December 31, 2018 compared to the year ended December 31, 2017. This increase was primarily due to an increase of $4.7 million in personnel expenses as a result of increased headcount, an increase of $0.9 million related to outside professional fees primarily related to legal and accounting services, an increase of $1.6 million in allocated overhead expenses related to an increase in overall costs necessary to support the growth of the business and related infrastructure.</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6"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Quarterly Results of Operations</w:t>
      </w:r>
    </w:p>
    <w:p>
      <w:pPr>
        <w:spacing w:after="0" w:line="225" w:lineRule="exact"/>
        <w:rPr>
          <w:sz w:val="20"/>
          <w:szCs w:val="20"/>
          <w:color w:val="auto"/>
        </w:rPr>
      </w:pPr>
    </w:p>
    <w:p>
      <w:pPr>
        <w:ind w:left="260" w:right="60" w:firstLine="437"/>
        <w:spacing w:after="0" w:line="293" w:lineRule="auto"/>
        <w:rPr>
          <w:sz w:val="20"/>
          <w:szCs w:val="20"/>
          <w:color w:val="auto"/>
        </w:rPr>
      </w:pPr>
      <w:r>
        <w:rPr>
          <w:rFonts w:ascii="Arial" w:cs="Arial" w:eastAsia="Arial" w:hAnsi="Arial"/>
          <w:sz w:val="16"/>
          <w:szCs w:val="16"/>
          <w:color w:val="auto"/>
        </w:rPr>
        <w:t>The following tables summarize our selected unaudited quarterly consolidated statements of operations data for each of the ten quarters in the period ended June 30, 2019. The information for each of these quarters has been prepared on the same basis as our audited annual consolidated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for the full fiscal year or any other period.</w:t>
      </w:r>
    </w:p>
    <w:p>
      <w:pPr>
        <w:spacing w:after="0" w:line="184" w:lineRule="exact"/>
        <w:rPr>
          <w:sz w:val="20"/>
          <w:szCs w:val="20"/>
          <w:color w:val="auto"/>
        </w:rPr>
      </w:pPr>
    </w:p>
    <w:tbl>
      <w:tblPr>
        <w:tblLayout w:type="fixed"/>
        <w:tblInd w:w="2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6"/>
          </w:tcPr>
          <w:p>
            <w:pPr>
              <w:jc w:val="right"/>
              <w:ind w:right="9"/>
              <w:spacing w:after="0"/>
              <w:rPr>
                <w:sz w:val="20"/>
                <w:szCs w:val="20"/>
                <w:color w:val="auto"/>
              </w:rPr>
            </w:pPr>
            <w:r>
              <w:rPr>
                <w:rFonts w:ascii="Arial" w:cs="Arial" w:eastAsia="Arial" w:hAnsi="Arial"/>
                <w:sz w:val="12"/>
                <w:szCs w:val="12"/>
                <w:b w:val="1"/>
                <w:bCs w:val="1"/>
                <w:color w:val="auto"/>
                <w:w w:val="97"/>
              </w:rPr>
              <w:t>Three Months Ended</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gridSpan w:val="3"/>
          </w:tcPr>
          <w:p>
            <w:pPr>
              <w:spacing w:after="0" w:line="109" w:lineRule="exact"/>
              <w:rPr>
                <w:sz w:val="20"/>
                <w:szCs w:val="20"/>
                <w:color w:val="auto"/>
              </w:rPr>
            </w:pPr>
            <w:r>
              <w:rPr>
                <w:rFonts w:ascii="Arial" w:cs="Arial" w:eastAsia="Arial" w:hAnsi="Arial"/>
                <w:sz w:val="12"/>
                <w:szCs w:val="12"/>
                <w:b w:val="1"/>
                <w:bCs w:val="1"/>
                <w:color w:val="auto"/>
              </w:rPr>
              <w:t>March 31,</w:t>
            </w:r>
          </w:p>
        </w:tc>
        <w:tc>
          <w:tcPr>
            <w:tcW w:w="120" w:type="dxa"/>
            <w:vAlign w:val="bottom"/>
          </w:tcPr>
          <w:p>
            <w:pPr>
              <w:spacing w:after="0"/>
              <w:rPr>
                <w:sz w:val="9"/>
                <w:szCs w:val="9"/>
                <w:color w:val="auto"/>
              </w:rPr>
            </w:pPr>
          </w:p>
        </w:tc>
        <w:tc>
          <w:tcPr>
            <w:tcW w:w="620" w:type="dxa"/>
            <w:vAlign w:val="bottom"/>
            <w:gridSpan w:val="2"/>
          </w:tcPr>
          <w:p>
            <w:pPr>
              <w:jc w:val="right"/>
              <w:ind w:right="180"/>
              <w:spacing w:after="0" w:line="109" w:lineRule="exact"/>
              <w:rPr>
                <w:sz w:val="20"/>
                <w:szCs w:val="20"/>
                <w:color w:val="auto"/>
              </w:rPr>
            </w:pPr>
            <w:r>
              <w:rPr>
                <w:rFonts w:ascii="Arial" w:cs="Arial" w:eastAsia="Arial" w:hAnsi="Arial"/>
                <w:sz w:val="12"/>
                <w:szCs w:val="12"/>
                <w:b w:val="1"/>
                <w:bCs w:val="1"/>
                <w:color w:val="auto"/>
                <w:w w:val="87"/>
              </w:rPr>
              <w:t>June 30,</w:t>
            </w:r>
          </w:p>
        </w:tc>
        <w:tc>
          <w:tcPr>
            <w:tcW w:w="1000" w:type="dxa"/>
            <w:vAlign w:val="bottom"/>
            <w:gridSpan w:val="4"/>
          </w:tcPr>
          <w:p>
            <w:pPr>
              <w:ind w:left="100"/>
              <w:spacing w:after="0" w:line="109" w:lineRule="exact"/>
              <w:rPr>
                <w:sz w:val="20"/>
                <w:szCs w:val="20"/>
                <w:color w:val="auto"/>
              </w:rPr>
            </w:pPr>
            <w:r>
              <w:rPr>
                <w:rFonts w:ascii="Arial" w:cs="Arial" w:eastAsia="Arial" w:hAnsi="Arial"/>
                <w:sz w:val="12"/>
                <w:szCs w:val="12"/>
                <w:b w:val="1"/>
                <w:bCs w:val="1"/>
                <w:color w:val="auto"/>
              </w:rPr>
              <w:t>September 30,</w:t>
            </w:r>
          </w:p>
        </w:tc>
        <w:tc>
          <w:tcPr>
            <w:tcW w:w="980" w:type="dxa"/>
            <w:vAlign w:val="bottom"/>
            <w:gridSpan w:val="4"/>
          </w:tcPr>
          <w:p>
            <w:pPr>
              <w:ind w:left="100"/>
              <w:spacing w:after="0" w:line="109" w:lineRule="exact"/>
              <w:rPr>
                <w:sz w:val="20"/>
                <w:szCs w:val="20"/>
                <w:color w:val="auto"/>
              </w:rPr>
            </w:pPr>
            <w:r>
              <w:rPr>
                <w:rFonts w:ascii="Arial" w:cs="Arial" w:eastAsia="Arial" w:hAnsi="Arial"/>
                <w:sz w:val="12"/>
                <w:szCs w:val="12"/>
                <w:b w:val="1"/>
                <w:bCs w:val="1"/>
                <w:color w:val="auto"/>
              </w:rPr>
              <w:t>December 31,</w:t>
            </w:r>
          </w:p>
        </w:tc>
        <w:tc>
          <w:tcPr>
            <w:tcW w:w="780" w:type="dxa"/>
            <w:vAlign w:val="bottom"/>
            <w:gridSpan w:val="4"/>
          </w:tcPr>
          <w:p>
            <w:pPr>
              <w:ind w:left="100"/>
              <w:spacing w:after="0" w:line="109"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c>
          <w:tcPr>
            <w:tcW w:w="480" w:type="dxa"/>
            <w:vAlign w:val="bottom"/>
            <w:gridSpan w:val="2"/>
          </w:tcPr>
          <w:p>
            <w:pPr>
              <w:jc w:val="right"/>
              <w:spacing w:after="0" w:line="109" w:lineRule="exact"/>
              <w:rPr>
                <w:sz w:val="20"/>
                <w:szCs w:val="20"/>
                <w:color w:val="auto"/>
              </w:rPr>
            </w:pPr>
            <w:r>
              <w:rPr>
                <w:rFonts w:ascii="Arial" w:cs="Arial" w:eastAsia="Arial" w:hAnsi="Arial"/>
                <w:sz w:val="12"/>
                <w:szCs w:val="12"/>
                <w:b w:val="1"/>
                <w:bCs w:val="1"/>
                <w:color w:val="auto"/>
                <w:w w:val="91"/>
              </w:rPr>
              <w:t>June 30,</w:t>
            </w:r>
          </w:p>
        </w:tc>
        <w:tc>
          <w:tcPr>
            <w:tcW w:w="1100" w:type="dxa"/>
            <w:vAlign w:val="bottom"/>
            <w:gridSpan w:val="4"/>
          </w:tcPr>
          <w:p>
            <w:pPr>
              <w:ind w:left="180"/>
              <w:spacing w:after="0" w:line="109" w:lineRule="exact"/>
              <w:rPr>
                <w:sz w:val="20"/>
                <w:szCs w:val="20"/>
                <w:color w:val="auto"/>
              </w:rPr>
            </w:pPr>
            <w:r>
              <w:rPr>
                <w:rFonts w:ascii="Arial" w:cs="Arial" w:eastAsia="Arial" w:hAnsi="Arial"/>
                <w:sz w:val="12"/>
                <w:szCs w:val="12"/>
                <w:b w:val="1"/>
                <w:bCs w:val="1"/>
                <w:color w:val="auto"/>
              </w:rPr>
              <w:t>September 30,</w:t>
            </w:r>
          </w:p>
        </w:tc>
        <w:tc>
          <w:tcPr>
            <w:tcW w:w="1000" w:type="dxa"/>
            <w:vAlign w:val="bottom"/>
            <w:gridSpan w:val="4"/>
          </w:tcPr>
          <w:p>
            <w:pPr>
              <w:ind w:left="120"/>
              <w:spacing w:after="0" w:line="109" w:lineRule="exact"/>
              <w:rPr>
                <w:sz w:val="20"/>
                <w:szCs w:val="20"/>
                <w:color w:val="auto"/>
              </w:rPr>
            </w:pPr>
            <w:r>
              <w:rPr>
                <w:rFonts w:ascii="Arial" w:cs="Arial" w:eastAsia="Arial" w:hAnsi="Arial"/>
                <w:sz w:val="12"/>
                <w:szCs w:val="12"/>
                <w:b w:val="1"/>
                <w:bCs w:val="1"/>
                <w:color w:val="auto"/>
              </w:rPr>
              <w:t>December 31,</w:t>
            </w:r>
          </w:p>
        </w:tc>
        <w:tc>
          <w:tcPr>
            <w:tcW w:w="800" w:type="dxa"/>
            <w:vAlign w:val="bottom"/>
            <w:gridSpan w:val="4"/>
          </w:tcPr>
          <w:p>
            <w:pPr>
              <w:ind w:left="100"/>
              <w:spacing w:after="0" w:line="109"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Arial" w:cs="Arial" w:eastAsia="Arial" w:hAnsi="Arial"/>
                <w:sz w:val="12"/>
                <w:szCs w:val="12"/>
                <w:b w:val="1"/>
                <w:bCs w:val="1"/>
                <w:color w:val="auto"/>
                <w:w w:val="91"/>
              </w:rPr>
              <w:t>June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w w:val="97"/>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49"/>
              <w:spacing w:after="0"/>
              <w:rPr>
                <w:sz w:val="20"/>
                <w:szCs w:val="20"/>
                <w:color w:val="auto"/>
              </w:rPr>
            </w:pPr>
            <w:r>
              <w:rPr>
                <w:rFonts w:ascii="Arial" w:cs="Arial" w:eastAsia="Arial" w:hAnsi="Arial"/>
                <w:sz w:val="12"/>
                <w:szCs w:val="12"/>
                <w:b w:val="1"/>
                <w:bCs w:val="1"/>
                <w:color w:val="auto"/>
                <w:w w:val="97"/>
              </w:rPr>
              <w:t>2018</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5"/>
          </w:tcPr>
          <w:p>
            <w:pPr>
              <w:jc w:val="right"/>
              <w:ind w:right="189"/>
              <w:spacing w:after="0" w:line="128" w:lineRule="exact"/>
              <w:rPr>
                <w:sz w:val="20"/>
                <w:szCs w:val="20"/>
                <w:color w:val="auto"/>
              </w:rPr>
            </w:pPr>
            <w:r>
              <w:rPr>
                <w:rFonts w:ascii="Arial" w:cs="Arial" w:eastAsia="Arial" w:hAnsi="Arial"/>
                <w:sz w:val="12"/>
                <w:szCs w:val="12"/>
                <w:b w:val="1"/>
                <w:bCs w:val="1"/>
                <w:color w:val="auto"/>
              </w:rPr>
              <w:t>(in thousands)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Revenue</w:t>
            </w:r>
          </w:p>
        </w:tc>
        <w:tc>
          <w:tcPr>
            <w:tcW w:w="400" w:type="dxa"/>
            <w:vAlign w:val="bottom"/>
            <w:gridSpan w:val="2"/>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18,401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$ 21,906</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26,743</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33,711</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39,715</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8"/>
              </w:rPr>
              <w:t>45,678</w:t>
            </w:r>
          </w:p>
        </w:tc>
        <w:tc>
          <w:tcPr>
            <w:tcW w:w="36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51,074</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61,610</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70,050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$ 83,222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60" w:type="dxa"/>
            <w:vAlign w:val="bottom"/>
          </w:tcPr>
          <w:p>
            <w:pPr>
              <w:spacing w:after="0" w:line="147" w:lineRule="exact"/>
              <w:rPr>
                <w:sz w:val="20"/>
                <w:szCs w:val="20"/>
                <w:color w:val="auto"/>
              </w:rPr>
            </w:pPr>
            <w:r>
              <w:rPr>
                <w:rFonts w:ascii="Arial" w:cs="Arial" w:eastAsia="Arial" w:hAnsi="Arial"/>
                <w:sz w:val="14"/>
                <w:szCs w:val="14"/>
                <w:color w:val="auto"/>
              </w:rPr>
              <w:t>Cost of revenue</w:t>
            </w:r>
            <w:r>
              <w:rPr>
                <w:rFonts w:ascii="Arial" w:cs="Arial" w:eastAsia="Arial" w:hAnsi="Arial"/>
                <w:sz w:val="12"/>
                <w:szCs w:val="12"/>
                <w:color w:val="auto"/>
              </w:rPr>
              <w:t>(1)(2)</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3,855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5,575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6,166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7,819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9,142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9,450</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12,098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15,839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w w:val="97"/>
              </w:rPr>
              <w:t>18,950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20,978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14,546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16,331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20,577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25,892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30,573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8"/>
              </w:rPr>
              <w:t>36,228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38,976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45,771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51,100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62,244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80" w:type="dxa"/>
            <w:vAlign w:val="bottom"/>
            <w:gridSpan w:val="2"/>
          </w:tcPr>
          <w:p>
            <w:pPr>
              <w:spacing w:after="0" w:line="154" w:lineRule="exact"/>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2"/>
                <w:szCs w:val="12"/>
                <w:color w:val="auto"/>
              </w:rPr>
              <w:t>(1)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4,832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5,096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6,338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8,467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10,871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8"/>
              </w:rPr>
              <w:t>12,426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14,159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17,720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22,815</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24,032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tcPr>
          <w:p>
            <w:pPr>
              <w:spacing w:after="0" w:line="147"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2"/>
                <w:szCs w:val="12"/>
                <w:color w:val="auto"/>
              </w:rPr>
              <w:t>(1)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7,708</w:t>
            </w:r>
          </w:p>
        </w:tc>
        <w:tc>
          <w:tcPr>
            <w:tcW w:w="120" w:type="dxa"/>
            <w:vAlign w:val="bottom"/>
          </w:tcPr>
          <w:p>
            <w:pPr>
              <w:spacing w:after="0"/>
              <w:rPr>
                <w:sz w:val="12"/>
                <w:szCs w:val="12"/>
                <w:color w:val="auto"/>
              </w:rPr>
            </w:pPr>
          </w:p>
        </w:tc>
        <w:tc>
          <w:tcPr>
            <w:tcW w:w="6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10,263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11,412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14,831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color w:val="auto"/>
                <w:w w:val="97"/>
              </w:rPr>
              <w:t>15,282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Arial" w:cs="Arial" w:eastAsia="Arial" w:hAnsi="Arial"/>
                <w:sz w:val="14"/>
                <w:szCs w:val="14"/>
                <w:color w:val="auto"/>
                <w:w w:val="88"/>
              </w:rPr>
              <w:t>19,335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25,130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29,102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w w:val="97"/>
              </w:rPr>
              <w:t>30,107</w:t>
            </w:r>
          </w:p>
        </w:tc>
        <w:tc>
          <w:tcPr>
            <w:tcW w:w="140" w:type="dxa"/>
            <w:vAlign w:val="bottom"/>
          </w:tcPr>
          <w:p>
            <w:pPr>
              <w:spacing w:after="0"/>
              <w:rPr>
                <w:sz w:val="12"/>
                <w:szCs w:val="12"/>
                <w:color w:val="auto"/>
              </w:rPr>
            </w:pPr>
          </w:p>
        </w:tc>
        <w:tc>
          <w:tcPr>
            <w:tcW w:w="5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36,118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2"/>
                <w:szCs w:val="12"/>
                <w:color w:val="auto"/>
              </w:rPr>
              <w:t>(1)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2,522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2,541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2,942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4,267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4,344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4,322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5,623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7,840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80" w:type="dxa"/>
            <w:vAlign w:val="bottom"/>
            <w:gridSpan w:val="2"/>
          </w:tcPr>
          <w:p>
            <w:pPr>
              <w:spacing w:after="0" w:line="154" w:lineRule="exact"/>
              <w:rPr>
                <w:sz w:val="20"/>
                <w:szCs w:val="20"/>
                <w:color w:val="auto"/>
              </w:rPr>
            </w:pPr>
            <w:r>
              <w:rPr>
                <w:rFonts w:ascii="Arial" w:cs="Arial" w:eastAsia="Arial" w:hAnsi="Arial"/>
                <w:sz w:val="14"/>
                <w:szCs w:val="14"/>
                <w:color w:val="auto"/>
              </w:rPr>
              <w:t>Total operating expenses</w:t>
            </w:r>
            <w:r>
              <w:rPr>
                <w:rFonts w:ascii="Arial" w:cs="Arial" w:eastAsia="Arial" w:hAnsi="Arial"/>
                <w:sz w:val="12"/>
                <w:szCs w:val="12"/>
                <w:color w:val="auto"/>
              </w:rPr>
              <w:t>(3)</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7"/>
              </w:rPr>
              <w:t>15,062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17,901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20,692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26,649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7"/>
              </w:rPr>
              <w:t>30,420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8"/>
              </w:rPr>
              <w:t>36,105</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43,611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52,445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7"/>
              </w:rPr>
              <w:t>60,762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66,238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(loss) income</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(515)</w:t>
            </w:r>
          </w:p>
        </w:tc>
        <w:tc>
          <w:tcPr>
            <w:tcW w:w="74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(1,569)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(4,635)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(6,674)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(9,662)</w:t>
            </w:r>
          </w:p>
        </w:tc>
        <w:tc>
          <w:tcPr>
            <w:tcW w:w="68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(3,994)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60" w:type="dxa"/>
            <w:vAlign w:val="bottom"/>
          </w:tcPr>
          <w:p>
            <w:pPr>
              <w:spacing w:after="0" w:line="147" w:lineRule="exact"/>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237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248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181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(Loss) income before income taxes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(387)</w:t>
            </w:r>
          </w:p>
        </w:tc>
        <w:tc>
          <w:tcPr>
            <w:tcW w:w="74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(4,324)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(6,493)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(9,432)</w:t>
            </w:r>
          </w:p>
        </w:tc>
        <w:tc>
          <w:tcPr>
            <w:tcW w:w="68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(3,668)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60" w:type="dxa"/>
            <w:vAlign w:val="bottom"/>
          </w:tcPr>
          <w:p>
            <w:pPr>
              <w:spacing w:after="0" w:line="147" w:lineRule="exact"/>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(397)</w:t>
            </w:r>
          </w:p>
        </w:tc>
        <w:tc>
          <w:tcPr>
            <w:tcW w:w="6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(349)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(59)</w:t>
            </w:r>
          </w:p>
        </w:tc>
        <w:tc>
          <w:tcPr>
            <w:tcW w:w="68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(loss) income</w:t>
            </w:r>
          </w:p>
        </w:tc>
        <w:tc>
          <w:tcPr>
            <w:tcW w:w="400" w:type="dxa"/>
            <w:vAlign w:val="bottom"/>
            <w:gridSpan w:val="2"/>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(784)</w:t>
            </w:r>
          </w:p>
        </w:tc>
        <w:tc>
          <w:tcPr>
            <w:tcW w:w="740" w:type="dxa"/>
            <w:vAlign w:val="bottom"/>
            <w:gridSpan w:val="3"/>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 (1,332)</w:t>
            </w:r>
          </w:p>
        </w:tc>
        <w:tc>
          <w:tcPr>
            <w:tcW w:w="2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(534)</w:t>
            </w:r>
          </w:p>
        </w:tc>
        <w:tc>
          <w:tcPr>
            <w:tcW w:w="20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345</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153</w:t>
            </w:r>
          </w:p>
        </w:tc>
        <w:tc>
          <w:tcPr>
            <w:tcW w:w="36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(4,673)</w:t>
            </w:r>
          </w:p>
        </w:tc>
        <w:tc>
          <w:tcPr>
            <w:tcW w:w="2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(6,587)</w:t>
            </w:r>
          </w:p>
        </w:tc>
        <w:tc>
          <w:tcPr>
            <w:tcW w:w="20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(9,491)</w:t>
            </w:r>
          </w:p>
        </w:tc>
        <w:tc>
          <w:tcPr>
            <w:tcW w:w="68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 (3,949)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93345</wp:posOffset>
            </wp:positionV>
            <wp:extent cx="7562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162" w:lineRule="exact"/>
        <w:rPr>
          <w:sz w:val="20"/>
          <w:szCs w:val="20"/>
          <w:color w:val="auto"/>
        </w:rPr>
      </w:pPr>
    </w:p>
    <w:p>
      <w:pPr>
        <w:ind w:left="680" w:hanging="425"/>
        <w:spacing w:after="0"/>
        <w:tabs>
          <w:tab w:leader="none" w:pos="6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6"/>
              </w:rPr>
              <w:t>Three Months Ended</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9"/>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w w:val="97"/>
              </w:rPr>
              <w:t>March 31,</w:t>
            </w:r>
          </w:p>
        </w:tc>
        <w:tc>
          <w:tcPr>
            <w:tcW w:w="64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87"/>
              </w:rPr>
              <w:t>June 30,</w:t>
            </w:r>
          </w:p>
        </w:tc>
        <w:tc>
          <w:tcPr>
            <w:tcW w:w="98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92"/>
              </w:rPr>
              <w:t>September 30,</w:t>
            </w:r>
          </w:p>
        </w:tc>
        <w:tc>
          <w:tcPr>
            <w:tcW w:w="92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89"/>
              </w:rPr>
              <w:t>December 31,</w:t>
            </w:r>
          </w:p>
        </w:tc>
        <w:tc>
          <w:tcPr>
            <w:tcW w:w="76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97"/>
              </w:rPr>
              <w:t>March 31,</w:t>
            </w:r>
          </w:p>
        </w:tc>
        <w:tc>
          <w:tcPr>
            <w:tcW w:w="66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91"/>
              </w:rPr>
              <w:t>June 30,</w:t>
            </w:r>
          </w:p>
        </w:tc>
        <w:tc>
          <w:tcPr>
            <w:tcW w:w="96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90"/>
              </w:rPr>
              <w:t>September 30,</w:t>
            </w:r>
          </w:p>
        </w:tc>
        <w:tc>
          <w:tcPr>
            <w:tcW w:w="94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92"/>
              </w:rPr>
              <w:t>December 31,</w:t>
            </w:r>
          </w:p>
        </w:tc>
        <w:tc>
          <w:tcPr>
            <w:tcW w:w="74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93"/>
              </w:rPr>
              <w:t>March 31,</w:t>
            </w:r>
          </w:p>
        </w:tc>
        <w:tc>
          <w:tcPr>
            <w:tcW w:w="660" w:type="dxa"/>
            <w:vAlign w:val="bottom"/>
            <w:gridSpan w:val="3"/>
          </w:tcPr>
          <w:p>
            <w:pPr>
              <w:ind w:left="200"/>
              <w:spacing w:after="0" w:line="109" w:lineRule="exact"/>
              <w:rPr>
                <w:sz w:val="20"/>
                <w:szCs w:val="20"/>
                <w:color w:val="auto"/>
              </w:rPr>
            </w:pPr>
            <w:r>
              <w:rPr>
                <w:rFonts w:ascii="Arial" w:cs="Arial" w:eastAsia="Arial" w:hAnsi="Arial"/>
                <w:sz w:val="12"/>
                <w:szCs w:val="12"/>
                <w:b w:val="1"/>
                <w:bCs w:val="1"/>
                <w:color w:val="auto"/>
                <w:w w:val="91"/>
              </w:rPr>
              <w:t>June 30,</w:t>
            </w:r>
          </w:p>
        </w:tc>
        <w:tc>
          <w:tcPr>
            <w:tcW w:w="40" w:type="dxa"/>
            <w:vAlign w:val="bottom"/>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2017</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2017</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w w:val="97"/>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w w:val="97"/>
              </w:rPr>
              <w:t>2019</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w w:val="97"/>
              </w:rPr>
              <w:t>2019</w:t>
            </w:r>
          </w:p>
        </w:tc>
        <w:tc>
          <w:tcPr>
            <w:tcW w:w="40" w:type="dxa"/>
            <w:vAlign w:val="bottom"/>
          </w:tcPr>
          <w:p>
            <w:pPr>
              <w:spacing w:after="0"/>
              <w:rPr>
                <w:sz w:val="13"/>
                <w:szCs w:val="13"/>
                <w:color w:val="auto"/>
              </w:rPr>
            </w:pPr>
          </w:p>
        </w:tc>
      </w:tr>
      <w:tr>
        <w:trPr>
          <w:trHeight w:val="127"/>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right"/>
              <w:ind w:right="170"/>
              <w:spacing w:after="0" w:line="128" w:lineRule="exact"/>
              <w:rPr>
                <w:sz w:val="20"/>
                <w:szCs w:val="20"/>
                <w:color w:val="auto"/>
              </w:rPr>
            </w:pPr>
            <w:r>
              <w:rPr>
                <w:rFonts w:ascii="Arial" w:cs="Arial" w:eastAsia="Arial" w:hAnsi="Arial"/>
                <w:sz w:val="12"/>
                <w:szCs w:val="12"/>
                <w:b w:val="1"/>
                <w:bCs w:val="1"/>
                <w:color w:val="auto"/>
              </w:rPr>
              <w:t>(in thousands)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Cost of revenue</w:t>
            </w:r>
          </w:p>
        </w:tc>
        <w:tc>
          <w:tcPr>
            <w:tcW w:w="620" w:type="dxa"/>
            <w:vAlign w:val="bottom"/>
            <w:gridSpan w:val="2"/>
            <w:shd w:val="clear" w:color="auto" w:fill="CCEEFF"/>
          </w:tcPr>
          <w:p>
            <w:pPr>
              <w:ind w:left="520"/>
              <w:spacing w:after="0" w:line="14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w:t>
            </w:r>
          </w:p>
        </w:tc>
        <w:tc>
          <w:tcPr>
            <w:tcW w:w="28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w:t>
            </w:r>
          </w:p>
        </w:tc>
        <w:tc>
          <w:tcPr>
            <w:tcW w:w="36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w:t>
            </w:r>
          </w:p>
        </w:tc>
        <w:tc>
          <w:tcPr>
            <w:tcW w:w="34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36</w:t>
            </w:r>
          </w:p>
        </w:tc>
        <w:tc>
          <w:tcPr>
            <w:tcW w:w="32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46</w:t>
            </w:r>
          </w:p>
        </w:tc>
        <w:tc>
          <w:tcPr>
            <w:tcW w:w="28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62</w:t>
            </w:r>
          </w:p>
        </w:tc>
        <w:tc>
          <w:tcPr>
            <w:tcW w:w="36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74</w:t>
            </w:r>
          </w:p>
        </w:tc>
        <w:tc>
          <w:tcPr>
            <w:tcW w:w="34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105</w:t>
            </w:r>
          </w:p>
        </w:tc>
        <w:tc>
          <w:tcPr>
            <w:tcW w:w="30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99</w:t>
            </w:r>
          </w:p>
        </w:tc>
        <w:tc>
          <w:tcPr>
            <w:tcW w:w="28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112</w:t>
            </w:r>
          </w:p>
        </w:tc>
        <w:tc>
          <w:tcPr>
            <w:tcW w:w="4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4"/>
                <w:szCs w:val="14"/>
                <w:color w:val="auto"/>
              </w:rPr>
              <w:t>Research and development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289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7" w:lineRule="exact"/>
              <w:rPr>
                <w:sz w:val="20"/>
                <w:szCs w:val="20"/>
                <w:color w:val="auto"/>
              </w:rPr>
            </w:pPr>
            <w:r>
              <w:rPr>
                <w:rFonts w:ascii="Arial" w:cs="Arial" w:eastAsia="Arial" w:hAnsi="Arial"/>
                <w:sz w:val="14"/>
                <w:szCs w:val="14"/>
                <w:color w:val="auto"/>
              </w:rPr>
              <w:t>280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247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344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7" w:lineRule="exact"/>
              <w:rPr>
                <w:sz w:val="20"/>
                <w:szCs w:val="20"/>
                <w:color w:val="auto"/>
              </w:rPr>
            </w:pPr>
            <w:r>
              <w:rPr>
                <w:rFonts w:ascii="Arial" w:cs="Arial" w:eastAsia="Arial" w:hAnsi="Arial"/>
                <w:sz w:val="14"/>
                <w:szCs w:val="14"/>
                <w:color w:val="auto"/>
              </w:rPr>
              <w:t>265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387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710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color w:val="auto"/>
              </w:rPr>
              <w:t>786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7" w:lineRule="exact"/>
              <w:rPr>
                <w:sz w:val="20"/>
                <w:szCs w:val="20"/>
                <w:color w:val="auto"/>
              </w:rPr>
            </w:pPr>
            <w:r>
              <w:rPr>
                <w:rFonts w:ascii="Arial" w:cs="Arial" w:eastAsia="Arial" w:hAnsi="Arial"/>
                <w:sz w:val="14"/>
                <w:szCs w:val="14"/>
                <w:color w:val="auto"/>
              </w:rPr>
              <w:t>989</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Sales and marketing</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223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420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522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669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729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1007</w:t>
            </w:r>
          </w:p>
        </w:tc>
        <w:tc>
          <w:tcPr>
            <w:tcW w:w="40" w:type="dxa"/>
            <w:vAlign w:val="bottom"/>
            <w:shd w:val="clear" w:color="auto" w:fill="CCEEFF"/>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2520" w:type="dxa"/>
            <w:vAlign w:val="bottom"/>
          </w:tcPr>
          <w:p>
            <w:pPr>
              <w:spacing w:after="0" w:line="147" w:lineRule="exact"/>
              <w:rPr>
                <w:sz w:val="20"/>
                <w:szCs w:val="20"/>
                <w:color w:val="auto"/>
              </w:rPr>
            </w:pPr>
            <w:r>
              <w:rPr>
                <w:rFonts w:ascii="Arial" w:cs="Arial" w:eastAsia="Arial" w:hAnsi="Arial"/>
                <w:sz w:val="14"/>
                <w:szCs w:val="14"/>
                <w:color w:val="auto"/>
              </w:rPr>
              <w:t>General and administrative</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198</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198</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171</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252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170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202</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325</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709</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831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786</w:t>
            </w:r>
          </w:p>
        </w:tc>
        <w:tc>
          <w:tcPr>
            <w:tcW w:w="4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25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Stock-based compensation expense</w:t>
            </w:r>
          </w:p>
        </w:tc>
        <w:tc>
          <w:tcPr>
            <w:tcW w:w="620" w:type="dxa"/>
            <w:vAlign w:val="bottom"/>
            <w:gridSpan w:val="2"/>
            <w:shd w:val="clear" w:color="auto" w:fill="CCEEFF"/>
          </w:tcPr>
          <w:p>
            <w:pPr>
              <w:ind w:left="520"/>
              <w:spacing w:after="0" w:line="147"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729</w:t>
            </w:r>
          </w:p>
        </w:tc>
        <w:tc>
          <w:tcPr>
            <w:tcW w:w="28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725</w:t>
            </w:r>
          </w:p>
        </w:tc>
        <w:tc>
          <w:tcPr>
            <w:tcW w:w="36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647</w:t>
            </w:r>
          </w:p>
        </w:tc>
        <w:tc>
          <w:tcPr>
            <w:tcW w:w="34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967</w:t>
            </w:r>
          </w:p>
        </w:tc>
        <w:tc>
          <w:tcPr>
            <w:tcW w:w="32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794</w:t>
            </w:r>
          </w:p>
        </w:tc>
        <w:tc>
          <w:tcPr>
            <w:tcW w:w="28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949</w:t>
            </w:r>
          </w:p>
        </w:tc>
        <w:tc>
          <w:tcPr>
            <w:tcW w:w="36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1,308</w:t>
            </w:r>
          </w:p>
        </w:tc>
        <w:tc>
          <w:tcPr>
            <w:tcW w:w="34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2,193</w:t>
            </w:r>
          </w:p>
        </w:tc>
        <w:tc>
          <w:tcPr>
            <w:tcW w:w="30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2,445</w:t>
            </w:r>
          </w:p>
        </w:tc>
        <w:tc>
          <w:tcPr>
            <w:tcW w:w="28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2,894</w:t>
            </w:r>
          </w:p>
        </w:tc>
        <w:tc>
          <w:tcPr>
            <w:tcW w:w="4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6" w:lineRule="exact"/>
        <w:rPr>
          <w:sz w:val="20"/>
          <w:szCs w:val="20"/>
          <w:color w:val="auto"/>
        </w:rPr>
      </w:pPr>
    </w:p>
    <w:p>
      <w:pPr>
        <w:ind w:left="680" w:hanging="425"/>
        <w:spacing w:after="0"/>
        <w:tabs>
          <w:tab w:leader="none" w:pos="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152"/>
        </w:trPr>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95"/>
              <w:spacing w:after="0"/>
              <w:rPr>
                <w:sz w:val="20"/>
                <w:szCs w:val="20"/>
                <w:color w:val="auto"/>
              </w:rPr>
            </w:pPr>
            <w:r>
              <w:rPr>
                <w:rFonts w:ascii="Arial" w:cs="Arial" w:eastAsia="Arial" w:hAnsi="Arial"/>
                <w:sz w:val="12"/>
                <w:szCs w:val="12"/>
                <w:b w:val="1"/>
                <w:bCs w:val="1"/>
                <w:color w:val="auto"/>
                <w:w w:val="94"/>
              </w:rPr>
              <w:t>Three Months Ended</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9"/>
        </w:trPr>
        <w:tc>
          <w:tcPr>
            <w:tcW w:w="1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gridSpan w:val="2"/>
          </w:tcPr>
          <w:p>
            <w:pPr>
              <w:jc w:val="right"/>
              <w:ind w:right="53"/>
              <w:spacing w:after="0" w:line="109" w:lineRule="exact"/>
              <w:rPr>
                <w:sz w:val="20"/>
                <w:szCs w:val="20"/>
                <w:color w:val="auto"/>
              </w:rPr>
            </w:pPr>
            <w:r>
              <w:rPr>
                <w:rFonts w:ascii="Arial" w:cs="Arial" w:eastAsia="Arial" w:hAnsi="Arial"/>
                <w:sz w:val="12"/>
                <w:szCs w:val="12"/>
                <w:b w:val="1"/>
                <w:bCs w:val="1"/>
                <w:color w:val="auto"/>
                <w:w w:val="93"/>
              </w:rPr>
              <w:t>March 31,</w:t>
            </w:r>
          </w:p>
        </w:tc>
        <w:tc>
          <w:tcPr>
            <w:tcW w:w="700" w:type="dxa"/>
            <w:vAlign w:val="bottom"/>
          </w:tcPr>
          <w:p>
            <w:pPr>
              <w:ind w:left="140"/>
              <w:spacing w:after="0" w:line="109" w:lineRule="exact"/>
              <w:rPr>
                <w:sz w:val="20"/>
                <w:szCs w:val="20"/>
                <w:color w:val="auto"/>
              </w:rPr>
            </w:pPr>
            <w:r>
              <w:rPr>
                <w:rFonts w:ascii="Arial" w:cs="Arial" w:eastAsia="Arial" w:hAnsi="Arial"/>
                <w:sz w:val="12"/>
                <w:szCs w:val="12"/>
                <w:b w:val="1"/>
                <w:bCs w:val="1"/>
                <w:color w:val="auto"/>
              </w:rPr>
              <w:t>June 30,</w:t>
            </w:r>
          </w:p>
        </w:tc>
        <w:tc>
          <w:tcPr>
            <w:tcW w:w="1020" w:type="dxa"/>
            <w:vAlign w:val="bottom"/>
            <w:gridSpan w:val="2"/>
          </w:tcPr>
          <w:p>
            <w:pPr>
              <w:ind w:left="140"/>
              <w:spacing w:after="0" w:line="109" w:lineRule="exact"/>
              <w:rPr>
                <w:sz w:val="20"/>
                <w:szCs w:val="20"/>
                <w:color w:val="auto"/>
              </w:rPr>
            </w:pPr>
            <w:r>
              <w:rPr>
                <w:rFonts w:ascii="Arial" w:cs="Arial" w:eastAsia="Arial" w:hAnsi="Arial"/>
                <w:sz w:val="12"/>
                <w:szCs w:val="12"/>
                <w:b w:val="1"/>
                <w:bCs w:val="1"/>
                <w:color w:val="auto"/>
              </w:rPr>
              <w:t>September 30,</w:t>
            </w:r>
          </w:p>
        </w:tc>
        <w:tc>
          <w:tcPr>
            <w:tcW w:w="1000" w:type="dxa"/>
            <w:vAlign w:val="bottom"/>
            <w:gridSpan w:val="2"/>
          </w:tcPr>
          <w:p>
            <w:pPr>
              <w:ind w:left="140"/>
              <w:spacing w:after="0" w:line="109" w:lineRule="exact"/>
              <w:rPr>
                <w:sz w:val="20"/>
                <w:szCs w:val="20"/>
                <w:color w:val="auto"/>
              </w:rPr>
            </w:pPr>
            <w:r>
              <w:rPr>
                <w:rFonts w:ascii="Arial" w:cs="Arial" w:eastAsia="Arial" w:hAnsi="Arial"/>
                <w:sz w:val="12"/>
                <w:szCs w:val="12"/>
                <w:b w:val="1"/>
                <w:bCs w:val="1"/>
                <w:color w:val="auto"/>
              </w:rPr>
              <w:t>December 31,</w:t>
            </w:r>
          </w:p>
        </w:tc>
        <w:tc>
          <w:tcPr>
            <w:tcW w:w="800" w:type="dxa"/>
            <w:vAlign w:val="bottom"/>
            <w:gridSpan w:val="2"/>
          </w:tcPr>
          <w:p>
            <w:pPr>
              <w:ind w:left="120"/>
              <w:spacing w:after="0" w:line="109" w:lineRule="exact"/>
              <w:rPr>
                <w:sz w:val="20"/>
                <w:szCs w:val="20"/>
                <w:color w:val="auto"/>
              </w:rPr>
            </w:pPr>
            <w:r>
              <w:rPr>
                <w:rFonts w:ascii="Arial" w:cs="Arial" w:eastAsia="Arial" w:hAnsi="Arial"/>
                <w:sz w:val="12"/>
                <w:szCs w:val="12"/>
                <w:b w:val="1"/>
                <w:bCs w:val="1"/>
                <w:color w:val="auto"/>
              </w:rPr>
              <w:t>March 31,</w:t>
            </w:r>
          </w:p>
        </w:tc>
        <w:tc>
          <w:tcPr>
            <w:tcW w:w="720" w:type="dxa"/>
            <w:vAlign w:val="bottom"/>
          </w:tcPr>
          <w:p>
            <w:pPr>
              <w:ind w:left="140"/>
              <w:spacing w:after="0" w:line="109" w:lineRule="exact"/>
              <w:rPr>
                <w:sz w:val="20"/>
                <w:szCs w:val="20"/>
                <w:color w:val="auto"/>
              </w:rPr>
            </w:pPr>
            <w:r>
              <w:rPr>
                <w:rFonts w:ascii="Arial" w:cs="Arial" w:eastAsia="Arial" w:hAnsi="Arial"/>
                <w:sz w:val="12"/>
                <w:szCs w:val="12"/>
                <w:b w:val="1"/>
                <w:bCs w:val="1"/>
                <w:color w:val="auto"/>
              </w:rPr>
              <w:t>June 30,</w:t>
            </w:r>
          </w:p>
        </w:tc>
        <w:tc>
          <w:tcPr>
            <w:tcW w:w="1020" w:type="dxa"/>
            <w:vAlign w:val="bottom"/>
            <w:gridSpan w:val="2"/>
          </w:tcPr>
          <w:p>
            <w:pPr>
              <w:ind w:left="120"/>
              <w:spacing w:after="0" w:line="109" w:lineRule="exact"/>
              <w:rPr>
                <w:sz w:val="20"/>
                <w:szCs w:val="20"/>
                <w:color w:val="auto"/>
              </w:rPr>
            </w:pPr>
            <w:r>
              <w:rPr>
                <w:rFonts w:ascii="Arial" w:cs="Arial" w:eastAsia="Arial" w:hAnsi="Arial"/>
                <w:sz w:val="12"/>
                <w:szCs w:val="12"/>
                <w:b w:val="1"/>
                <w:bCs w:val="1"/>
                <w:color w:val="auto"/>
              </w:rPr>
              <w:t>September 30,</w:t>
            </w:r>
          </w:p>
        </w:tc>
        <w:tc>
          <w:tcPr>
            <w:tcW w:w="1000" w:type="dxa"/>
            <w:vAlign w:val="bottom"/>
            <w:gridSpan w:val="2"/>
          </w:tcPr>
          <w:p>
            <w:pPr>
              <w:ind w:left="140"/>
              <w:spacing w:after="0" w:line="109" w:lineRule="exact"/>
              <w:rPr>
                <w:sz w:val="20"/>
                <w:szCs w:val="20"/>
                <w:color w:val="auto"/>
              </w:rPr>
            </w:pPr>
            <w:r>
              <w:rPr>
                <w:rFonts w:ascii="Arial" w:cs="Arial" w:eastAsia="Arial" w:hAnsi="Arial"/>
                <w:sz w:val="12"/>
                <w:szCs w:val="12"/>
                <w:b w:val="1"/>
                <w:bCs w:val="1"/>
                <w:color w:val="auto"/>
              </w:rPr>
              <w:t>December 31,</w:t>
            </w:r>
          </w:p>
        </w:tc>
        <w:tc>
          <w:tcPr>
            <w:tcW w:w="820" w:type="dxa"/>
            <w:vAlign w:val="bottom"/>
            <w:gridSpan w:val="2"/>
          </w:tcPr>
          <w:p>
            <w:pPr>
              <w:ind w:left="140"/>
              <w:spacing w:after="0" w:line="109" w:lineRule="exact"/>
              <w:rPr>
                <w:sz w:val="20"/>
                <w:szCs w:val="20"/>
                <w:color w:val="auto"/>
              </w:rPr>
            </w:pPr>
            <w:r>
              <w:rPr>
                <w:rFonts w:ascii="Arial" w:cs="Arial" w:eastAsia="Arial" w:hAnsi="Arial"/>
                <w:sz w:val="12"/>
                <w:szCs w:val="12"/>
                <w:b w:val="1"/>
                <w:bCs w:val="1"/>
                <w:color w:val="auto"/>
              </w:rPr>
              <w:t>March 31,</w:t>
            </w:r>
          </w:p>
        </w:tc>
        <w:tc>
          <w:tcPr>
            <w:tcW w:w="600" w:type="dxa"/>
            <w:vAlign w:val="bottom"/>
          </w:tcPr>
          <w:p>
            <w:pPr>
              <w:ind w:left="140"/>
              <w:spacing w:after="0" w:line="109" w:lineRule="exact"/>
              <w:rPr>
                <w:sz w:val="20"/>
                <w:szCs w:val="20"/>
                <w:color w:val="auto"/>
              </w:rPr>
            </w:pPr>
            <w:r>
              <w:rPr>
                <w:rFonts w:ascii="Arial" w:cs="Arial" w:eastAsia="Arial" w:hAnsi="Arial"/>
                <w:sz w:val="12"/>
                <w:szCs w:val="12"/>
                <w:b w:val="1"/>
                <w:bCs w:val="1"/>
                <w:color w:val="auto"/>
                <w:w w:val="91"/>
              </w:rPr>
              <w:t>June 30,</w:t>
            </w:r>
          </w:p>
        </w:tc>
        <w:tc>
          <w:tcPr>
            <w:tcW w:w="40" w:type="dxa"/>
            <w:vAlign w:val="bottom"/>
          </w:tcPr>
          <w:p>
            <w:pPr>
              <w:spacing w:after="0"/>
              <w:rPr>
                <w:sz w:val="9"/>
                <w:szCs w:val="9"/>
                <w:color w:val="auto"/>
              </w:rPr>
            </w:pPr>
          </w:p>
        </w:tc>
      </w:tr>
      <w:tr>
        <w:trPr>
          <w:trHeight w:val="152"/>
        </w:trPr>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w w:val="97"/>
              </w:rPr>
              <w:t>2017</w:t>
            </w: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2"/>
                <w:szCs w:val="12"/>
                <w:b w:val="1"/>
                <w:bCs w:val="1"/>
                <w:color w:val="auto"/>
              </w:rPr>
              <w:t>2017</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2017</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2018</w:t>
            </w: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w w:val="97"/>
              </w:rPr>
              <w:t>2019</w:t>
            </w: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r>
      <w:tr>
        <w:trPr>
          <w:trHeight w:val="127"/>
        </w:trPr>
        <w:tc>
          <w:tcPr>
            <w:tcW w:w="1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95"/>
              <w:spacing w:after="0" w:line="128" w:lineRule="exact"/>
              <w:rPr>
                <w:sz w:val="20"/>
                <w:szCs w:val="20"/>
                <w:color w:val="auto"/>
              </w:rPr>
            </w:pPr>
            <w:r>
              <w:rPr>
                <w:rFonts w:ascii="Arial" w:cs="Arial" w:eastAsia="Arial" w:hAnsi="Arial"/>
                <w:sz w:val="12"/>
                <w:szCs w:val="12"/>
                <w:b w:val="1"/>
                <w:bCs w:val="1"/>
                <w:color w:val="auto"/>
                <w:w w:val="91"/>
              </w:rPr>
              <w:t>(in thousands)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17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Cost of revenue</w:t>
            </w:r>
          </w:p>
        </w:tc>
        <w:tc>
          <w:tcPr>
            <w:tcW w:w="9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3"/>
              <w:spacing w:after="0" w:line="147" w:lineRule="exact"/>
              <w:rPr>
                <w:sz w:val="20"/>
                <w:szCs w:val="20"/>
                <w:color w:val="auto"/>
              </w:rPr>
            </w:pPr>
            <w:r>
              <w:rPr>
                <w:rFonts w:ascii="Arial" w:cs="Arial" w:eastAsia="Arial" w:hAnsi="Arial"/>
                <w:sz w:val="14"/>
                <w:szCs w:val="14"/>
                <w:color w:val="auto"/>
              </w:rPr>
              <w:t>36</w:t>
            </w:r>
          </w:p>
        </w:tc>
        <w:tc>
          <w:tcPr>
            <w:tcW w:w="700" w:type="dxa"/>
            <w:vAlign w:val="bottom"/>
            <w:shd w:val="clear" w:color="auto" w:fill="CCEEFF"/>
          </w:tcPr>
          <w:p>
            <w:pPr>
              <w:jc w:val="right"/>
              <w:ind w:right="55"/>
              <w:spacing w:after="0" w:line="147" w:lineRule="exact"/>
              <w:rPr>
                <w:sz w:val="20"/>
                <w:szCs w:val="20"/>
                <w:color w:val="auto"/>
              </w:rPr>
            </w:pPr>
            <w:r>
              <w:rPr>
                <w:rFonts w:ascii="Arial" w:cs="Arial" w:eastAsia="Arial" w:hAnsi="Arial"/>
                <w:sz w:val="14"/>
                <w:szCs w:val="14"/>
                <w:color w:val="auto"/>
              </w:rPr>
              <w:t>$   144</w:t>
            </w:r>
          </w:p>
        </w:tc>
        <w:tc>
          <w:tcPr>
            <w:tcW w:w="30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line="147" w:lineRule="exact"/>
              <w:rPr>
                <w:sz w:val="20"/>
                <w:szCs w:val="20"/>
                <w:color w:val="auto"/>
              </w:rPr>
            </w:pPr>
            <w:r>
              <w:rPr>
                <w:rFonts w:ascii="Arial" w:cs="Arial" w:eastAsia="Arial" w:hAnsi="Arial"/>
                <w:sz w:val="14"/>
                <w:szCs w:val="14"/>
                <w:color w:val="auto"/>
              </w:rPr>
              <w:t>145</w:t>
            </w:r>
          </w:p>
        </w:tc>
        <w:tc>
          <w:tcPr>
            <w:tcW w:w="2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3"/>
              <w:spacing w:after="0" w:line="147" w:lineRule="exact"/>
              <w:rPr>
                <w:sz w:val="20"/>
                <w:szCs w:val="20"/>
                <w:color w:val="auto"/>
              </w:rPr>
            </w:pPr>
            <w:r>
              <w:rPr>
                <w:rFonts w:ascii="Arial" w:cs="Arial" w:eastAsia="Arial" w:hAnsi="Arial"/>
                <w:sz w:val="14"/>
                <w:szCs w:val="14"/>
                <w:color w:val="auto"/>
              </w:rPr>
              <w:t>159</w:t>
            </w:r>
          </w:p>
        </w:tc>
        <w:tc>
          <w:tcPr>
            <w:tcW w:w="2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55"/>
              <w:spacing w:after="0" w:line="147" w:lineRule="exact"/>
              <w:rPr>
                <w:sz w:val="20"/>
                <w:szCs w:val="20"/>
                <w:color w:val="auto"/>
              </w:rPr>
            </w:pPr>
            <w:r>
              <w:rPr>
                <w:rFonts w:ascii="Arial" w:cs="Arial" w:eastAsia="Arial" w:hAnsi="Arial"/>
                <w:sz w:val="14"/>
                <w:szCs w:val="14"/>
                <w:color w:val="auto"/>
              </w:rPr>
              <w:t>112</w:t>
            </w:r>
          </w:p>
        </w:tc>
        <w:tc>
          <w:tcPr>
            <w:tcW w:w="720" w:type="dxa"/>
            <w:vAlign w:val="bottom"/>
            <w:shd w:val="clear" w:color="auto" w:fill="CCEEFF"/>
          </w:tcPr>
          <w:p>
            <w:pPr>
              <w:jc w:val="right"/>
              <w:ind w:right="75"/>
              <w:spacing w:after="0" w:line="147" w:lineRule="exact"/>
              <w:rPr>
                <w:sz w:val="20"/>
                <w:szCs w:val="20"/>
                <w:color w:val="auto"/>
              </w:rPr>
            </w:pPr>
            <w:r>
              <w:rPr>
                <w:rFonts w:ascii="Arial" w:cs="Arial" w:eastAsia="Arial" w:hAnsi="Arial"/>
                <w:sz w:val="14"/>
                <w:szCs w:val="14"/>
                <w:color w:val="auto"/>
              </w:rPr>
              <w:t>$   108</w:t>
            </w:r>
          </w:p>
        </w:tc>
        <w:tc>
          <w:tcPr>
            <w:tcW w:w="3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line="147" w:lineRule="exact"/>
              <w:rPr>
                <w:sz w:val="20"/>
                <w:szCs w:val="20"/>
                <w:color w:val="auto"/>
              </w:rPr>
            </w:pPr>
            <w:r>
              <w:rPr>
                <w:rFonts w:ascii="Arial" w:cs="Arial" w:eastAsia="Arial" w:hAnsi="Arial"/>
                <w:sz w:val="14"/>
                <w:szCs w:val="14"/>
                <w:color w:val="auto"/>
              </w:rPr>
              <w:t>112</w:t>
            </w:r>
          </w:p>
        </w:tc>
        <w:tc>
          <w:tcPr>
            <w:tcW w:w="30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3"/>
              <w:spacing w:after="0" w:line="147" w:lineRule="exact"/>
              <w:rPr>
                <w:sz w:val="20"/>
                <w:szCs w:val="20"/>
                <w:color w:val="auto"/>
              </w:rPr>
            </w:pPr>
            <w:r>
              <w:rPr>
                <w:rFonts w:ascii="Arial" w:cs="Arial" w:eastAsia="Arial" w:hAnsi="Arial"/>
                <w:sz w:val="14"/>
                <w:szCs w:val="14"/>
                <w:color w:val="auto"/>
              </w:rPr>
              <w:t>179</w:t>
            </w:r>
          </w:p>
        </w:tc>
        <w:tc>
          <w:tcPr>
            <w:tcW w:w="2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3"/>
              <w:spacing w:after="0" w:line="147" w:lineRule="exact"/>
              <w:rPr>
                <w:sz w:val="20"/>
                <w:szCs w:val="20"/>
                <w:color w:val="auto"/>
              </w:rPr>
            </w:pPr>
            <w:r>
              <w:rPr>
                <w:rFonts w:ascii="Arial" w:cs="Arial" w:eastAsia="Arial" w:hAnsi="Arial"/>
                <w:sz w:val="14"/>
                <w:szCs w:val="14"/>
                <w:color w:val="auto"/>
              </w:rPr>
              <w:t>175</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   177</w:t>
            </w:r>
          </w:p>
        </w:tc>
        <w:tc>
          <w:tcPr>
            <w:tcW w:w="40" w:type="dxa"/>
            <w:vAlign w:val="bottom"/>
            <w:shd w:val="clear" w:color="auto" w:fill="CCEEFF"/>
          </w:tcPr>
          <w:p>
            <w:pPr>
              <w:spacing w:after="0"/>
              <w:rPr>
                <w:sz w:val="12"/>
                <w:szCs w:val="12"/>
                <w:color w:val="auto"/>
              </w:rPr>
            </w:pPr>
          </w:p>
        </w:tc>
      </w:tr>
    </w:tbl>
    <w:p>
      <w:pPr>
        <w:spacing w:after="0" w:line="222" w:lineRule="exact"/>
        <w:rPr>
          <w:sz w:val="20"/>
          <w:szCs w:val="20"/>
          <w:color w:val="auto"/>
        </w:rPr>
      </w:pPr>
    </w:p>
    <w:p>
      <w:pPr>
        <w:jc w:val="both"/>
        <w:ind w:left="680" w:right="40" w:hanging="425"/>
        <w:spacing w:after="0" w:line="236" w:lineRule="auto"/>
        <w:tabs>
          <w:tab w:leader="none" w:pos="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 $2.3 million, $0.4 million and $2.3 million benefit within Research and development, Sales and marketing and General and Administrative expenses, respectively, related to the release of a non-income tax liability for the three months ended June 30, 2019. See Note 7 to our consolidated financial statements included elsewhere in this prospectus for further discussion.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6"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right"/>
              <w:ind w:right="240"/>
              <w:spacing w:after="0" w:line="109" w:lineRule="exact"/>
              <w:rPr>
                <w:sz w:val="20"/>
                <w:szCs w:val="20"/>
                <w:color w:val="auto"/>
              </w:rPr>
            </w:pPr>
            <w:r>
              <w:rPr>
                <w:rFonts w:ascii="Arial" w:cs="Arial" w:eastAsia="Arial" w:hAnsi="Arial"/>
                <w:sz w:val="12"/>
                <w:szCs w:val="12"/>
                <w:b w:val="1"/>
                <w:bCs w:val="1"/>
                <w:color w:val="auto"/>
                <w:w w:val="93"/>
              </w:rPr>
              <w:t>March 31,</w:t>
            </w:r>
          </w:p>
        </w:tc>
        <w:tc>
          <w:tcPr>
            <w:tcW w:w="760" w:type="dxa"/>
            <w:vAlign w:val="bottom"/>
            <w:gridSpan w:val="3"/>
          </w:tcPr>
          <w:p>
            <w:pPr>
              <w:jc w:val="right"/>
              <w:ind w:right="240"/>
              <w:spacing w:after="0" w:line="109" w:lineRule="exact"/>
              <w:rPr>
                <w:sz w:val="20"/>
                <w:szCs w:val="20"/>
                <w:color w:val="auto"/>
              </w:rPr>
            </w:pPr>
            <w:r>
              <w:rPr>
                <w:rFonts w:ascii="Arial" w:cs="Arial" w:eastAsia="Arial" w:hAnsi="Arial"/>
                <w:sz w:val="12"/>
                <w:szCs w:val="12"/>
                <w:b w:val="1"/>
                <w:bCs w:val="1"/>
                <w:color w:val="auto"/>
              </w:rPr>
              <w:t>June 30,</w:t>
            </w:r>
          </w:p>
        </w:tc>
        <w:tc>
          <w:tcPr>
            <w:tcW w:w="1020" w:type="dxa"/>
            <w:vAlign w:val="bottom"/>
            <w:gridSpan w:val="3"/>
          </w:tcPr>
          <w:p>
            <w:pPr>
              <w:jc w:val="right"/>
              <w:ind w:right="200"/>
              <w:spacing w:after="0" w:line="109" w:lineRule="exact"/>
              <w:rPr>
                <w:sz w:val="20"/>
                <w:szCs w:val="20"/>
                <w:color w:val="auto"/>
              </w:rPr>
            </w:pPr>
            <w:r>
              <w:rPr>
                <w:rFonts w:ascii="Arial" w:cs="Arial" w:eastAsia="Arial" w:hAnsi="Arial"/>
                <w:sz w:val="12"/>
                <w:szCs w:val="12"/>
                <w:b w:val="1"/>
                <w:bCs w:val="1"/>
                <w:color w:val="auto"/>
                <w:w w:val="97"/>
              </w:rPr>
              <w:t>September 30,</w:t>
            </w:r>
          </w:p>
        </w:tc>
        <w:tc>
          <w:tcPr>
            <w:tcW w:w="1060" w:type="dxa"/>
            <w:vAlign w:val="bottom"/>
            <w:gridSpan w:val="3"/>
          </w:tcPr>
          <w:p>
            <w:pPr>
              <w:jc w:val="right"/>
              <w:ind w:right="260"/>
              <w:spacing w:after="0" w:line="109" w:lineRule="exact"/>
              <w:rPr>
                <w:sz w:val="20"/>
                <w:szCs w:val="20"/>
                <w:color w:val="auto"/>
              </w:rPr>
            </w:pPr>
            <w:r>
              <w:rPr>
                <w:rFonts w:ascii="Arial" w:cs="Arial" w:eastAsia="Arial" w:hAnsi="Arial"/>
                <w:sz w:val="12"/>
                <w:szCs w:val="12"/>
                <w:b w:val="1"/>
                <w:bCs w:val="1"/>
                <w:color w:val="auto"/>
                <w:w w:val="99"/>
              </w:rPr>
              <w:t>December 31,</w:t>
            </w:r>
          </w:p>
        </w:tc>
        <w:tc>
          <w:tcPr>
            <w:tcW w:w="820" w:type="dxa"/>
            <w:vAlign w:val="bottom"/>
            <w:gridSpan w:val="3"/>
          </w:tcPr>
          <w:p>
            <w:pPr>
              <w:jc w:val="right"/>
              <w:ind w:right="200"/>
              <w:spacing w:after="0" w:line="109" w:lineRule="exact"/>
              <w:rPr>
                <w:sz w:val="20"/>
                <w:szCs w:val="20"/>
                <w:color w:val="auto"/>
              </w:rPr>
            </w:pPr>
            <w:r>
              <w:rPr>
                <w:rFonts w:ascii="Arial" w:cs="Arial" w:eastAsia="Arial" w:hAnsi="Arial"/>
                <w:sz w:val="12"/>
                <w:szCs w:val="12"/>
                <w:b w:val="1"/>
                <w:bCs w:val="1"/>
                <w:color w:val="auto"/>
              </w:rPr>
              <w:t>March 31,</w:t>
            </w:r>
          </w:p>
        </w:tc>
        <w:tc>
          <w:tcPr>
            <w:tcW w:w="720" w:type="dxa"/>
            <w:vAlign w:val="bottom"/>
            <w:gridSpan w:val="3"/>
          </w:tcPr>
          <w:p>
            <w:pPr>
              <w:jc w:val="right"/>
              <w:ind w:right="200"/>
              <w:spacing w:after="0" w:line="109" w:lineRule="exact"/>
              <w:rPr>
                <w:sz w:val="20"/>
                <w:szCs w:val="20"/>
                <w:color w:val="auto"/>
              </w:rPr>
            </w:pPr>
            <w:r>
              <w:rPr>
                <w:rFonts w:ascii="Arial" w:cs="Arial" w:eastAsia="Arial" w:hAnsi="Arial"/>
                <w:sz w:val="12"/>
                <w:szCs w:val="12"/>
                <w:b w:val="1"/>
                <w:bCs w:val="1"/>
                <w:color w:val="auto"/>
              </w:rPr>
              <w:t>June 30,</w:t>
            </w:r>
          </w:p>
        </w:tc>
        <w:tc>
          <w:tcPr>
            <w:tcW w:w="1080" w:type="dxa"/>
            <w:vAlign w:val="bottom"/>
            <w:gridSpan w:val="3"/>
          </w:tcPr>
          <w:p>
            <w:pPr>
              <w:jc w:val="right"/>
              <w:ind w:right="240"/>
              <w:spacing w:after="0" w:line="109" w:lineRule="exact"/>
              <w:rPr>
                <w:sz w:val="20"/>
                <w:szCs w:val="20"/>
                <w:color w:val="auto"/>
              </w:rPr>
            </w:pPr>
            <w:r>
              <w:rPr>
                <w:rFonts w:ascii="Arial" w:cs="Arial" w:eastAsia="Arial" w:hAnsi="Arial"/>
                <w:sz w:val="12"/>
                <w:szCs w:val="12"/>
                <w:b w:val="1"/>
                <w:bCs w:val="1"/>
                <w:color w:val="auto"/>
                <w:w w:val="99"/>
              </w:rPr>
              <w:t>September 30,</w:t>
            </w:r>
          </w:p>
        </w:tc>
        <w:tc>
          <w:tcPr>
            <w:tcW w:w="1060" w:type="dxa"/>
            <w:vAlign w:val="bottom"/>
            <w:gridSpan w:val="3"/>
          </w:tcPr>
          <w:p>
            <w:pPr>
              <w:jc w:val="right"/>
              <w:ind w:right="260"/>
              <w:spacing w:after="0" w:line="109" w:lineRule="exact"/>
              <w:rPr>
                <w:sz w:val="20"/>
                <w:szCs w:val="20"/>
                <w:color w:val="auto"/>
              </w:rPr>
            </w:pPr>
            <w:r>
              <w:rPr>
                <w:rFonts w:ascii="Arial" w:cs="Arial" w:eastAsia="Arial" w:hAnsi="Arial"/>
                <w:sz w:val="12"/>
                <w:szCs w:val="12"/>
                <w:b w:val="1"/>
                <w:bCs w:val="1"/>
                <w:color w:val="auto"/>
                <w:w w:val="99"/>
              </w:rPr>
              <w:t>December 31,</w:t>
            </w:r>
          </w:p>
        </w:tc>
        <w:tc>
          <w:tcPr>
            <w:tcW w:w="860" w:type="dxa"/>
            <w:vAlign w:val="bottom"/>
            <w:gridSpan w:val="3"/>
          </w:tcPr>
          <w:p>
            <w:pPr>
              <w:jc w:val="right"/>
              <w:ind w:right="240"/>
              <w:spacing w:after="0" w:line="109" w:lineRule="exact"/>
              <w:rPr>
                <w:sz w:val="20"/>
                <w:szCs w:val="20"/>
                <w:color w:val="auto"/>
              </w:rPr>
            </w:pPr>
            <w:r>
              <w:rPr>
                <w:rFonts w:ascii="Arial" w:cs="Arial" w:eastAsia="Arial" w:hAnsi="Arial"/>
                <w:sz w:val="12"/>
                <w:szCs w:val="12"/>
                <w:b w:val="1"/>
                <w:bCs w:val="1"/>
                <w:color w:val="auto"/>
              </w:rPr>
              <w:t>March 31,</w:t>
            </w:r>
          </w:p>
        </w:tc>
        <w:tc>
          <w:tcPr>
            <w:tcW w:w="540" w:type="dxa"/>
            <w:vAlign w:val="bottom"/>
            <w:gridSpan w:val="2"/>
          </w:tcPr>
          <w:p>
            <w:pPr>
              <w:jc w:val="right"/>
              <w:spacing w:after="0" w:line="109" w:lineRule="exact"/>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3"/>
                <w:szCs w:val="13"/>
                <w:color w:val="auto"/>
              </w:rPr>
            </w:pPr>
          </w:p>
        </w:tc>
        <w:tc>
          <w:tcPr>
            <w:tcW w:w="520" w:type="dxa"/>
            <w:vAlign w:val="bottom"/>
            <w:gridSpan w:val="2"/>
          </w:tcPr>
          <w:p>
            <w:pPr>
              <w:jc w:val="right"/>
              <w:ind w:right="29"/>
              <w:spacing w:after="0"/>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3"/>
                <w:szCs w:val="13"/>
                <w:color w:val="auto"/>
              </w:rPr>
            </w:pPr>
          </w:p>
        </w:tc>
        <w:tc>
          <w:tcPr>
            <w:tcW w:w="84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rPr>
              <w:t>2017</w:t>
            </w:r>
          </w:p>
        </w:tc>
        <w:tc>
          <w:tcPr>
            <w:tcW w:w="180" w:type="dxa"/>
            <w:vAlign w:val="bottom"/>
          </w:tcPr>
          <w:p>
            <w:pPr>
              <w:spacing w:after="0"/>
              <w:rPr>
                <w:sz w:val="13"/>
                <w:szCs w:val="13"/>
                <w:color w:val="auto"/>
              </w:rPr>
            </w:pPr>
          </w:p>
        </w:tc>
        <w:tc>
          <w:tcPr>
            <w:tcW w:w="82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3"/>
                <w:szCs w:val="13"/>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3"/>
                <w:szCs w:val="13"/>
                <w:color w:val="auto"/>
              </w:rPr>
            </w:pPr>
          </w:p>
        </w:tc>
        <w:tc>
          <w:tcPr>
            <w:tcW w:w="540" w:type="dxa"/>
            <w:vAlign w:val="bottom"/>
            <w:gridSpan w:val="2"/>
          </w:tcPr>
          <w:p>
            <w:pPr>
              <w:jc w:val="right"/>
              <w:ind w:right="49"/>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3"/>
                <w:szCs w:val="13"/>
                <w:color w:val="auto"/>
              </w:rPr>
            </w:pPr>
          </w:p>
        </w:tc>
        <w:tc>
          <w:tcPr>
            <w:tcW w:w="84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3"/>
                <w:szCs w:val="13"/>
                <w:color w:val="auto"/>
              </w:rPr>
            </w:pPr>
          </w:p>
        </w:tc>
        <w:tc>
          <w:tcPr>
            <w:tcW w:w="82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3"/>
                <w:szCs w:val="13"/>
                <w:color w:val="auto"/>
              </w:rPr>
            </w:pPr>
          </w:p>
        </w:tc>
        <w:tc>
          <w:tcPr>
            <w:tcW w:w="620" w:type="dxa"/>
            <w:vAlign w:val="bottom"/>
            <w:gridSpan w:val="2"/>
          </w:tcPr>
          <w:p>
            <w:pPr>
              <w:jc w:val="right"/>
              <w:ind w:right="69"/>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3"/>
                <w:szCs w:val="13"/>
                <w:color w:val="auto"/>
              </w:rPr>
            </w:pPr>
          </w:p>
        </w:tc>
        <w:tc>
          <w:tcPr>
            <w:tcW w:w="540" w:type="dxa"/>
            <w:vAlign w:val="bottom"/>
            <w:gridSpan w:val="2"/>
          </w:tcPr>
          <w:p>
            <w:pPr>
              <w:jc w:val="right"/>
              <w:ind w:right="29"/>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0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w w:val="98"/>
              </w:rPr>
              <w:t>Percentage of Revenue Data</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0" w:type="dxa"/>
            <w:vAlign w:val="bottom"/>
          </w:tcPr>
          <w:p>
            <w:pPr>
              <w:spacing w:after="0" w:line="147" w:lineRule="exact"/>
              <w:rPr>
                <w:sz w:val="20"/>
                <w:szCs w:val="20"/>
                <w:color w:val="auto"/>
              </w:rPr>
            </w:pPr>
            <w:r>
              <w:rPr>
                <w:rFonts w:ascii="Arial" w:cs="Arial" w:eastAsia="Arial" w:hAnsi="Arial"/>
                <w:sz w:val="14"/>
                <w:szCs w:val="14"/>
                <w:color w:val="auto"/>
              </w:rPr>
              <w:t>Revenue</w:t>
            </w:r>
          </w:p>
        </w:tc>
        <w:tc>
          <w:tcPr>
            <w:tcW w:w="96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100%</w:t>
            </w:r>
          </w:p>
        </w:tc>
        <w:tc>
          <w:tcPr>
            <w:tcW w:w="76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100%</w:t>
            </w:r>
          </w:p>
        </w:tc>
        <w:tc>
          <w:tcPr>
            <w:tcW w:w="1020" w:type="dxa"/>
            <w:vAlign w:val="bottom"/>
            <w:gridSpan w:val="3"/>
          </w:tcPr>
          <w:p>
            <w:pPr>
              <w:jc w:val="right"/>
              <w:ind w:right="80"/>
              <w:spacing w:after="0" w:line="147" w:lineRule="exact"/>
              <w:rPr>
                <w:sz w:val="20"/>
                <w:szCs w:val="20"/>
                <w:color w:val="auto"/>
              </w:rPr>
            </w:pPr>
            <w:r>
              <w:rPr>
                <w:rFonts w:ascii="Arial" w:cs="Arial" w:eastAsia="Arial" w:hAnsi="Arial"/>
                <w:sz w:val="14"/>
                <w:szCs w:val="14"/>
                <w:color w:val="auto"/>
              </w:rPr>
              <w:t>100%</w:t>
            </w:r>
          </w:p>
        </w:tc>
        <w:tc>
          <w:tcPr>
            <w:tcW w:w="106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100%</w:t>
            </w:r>
          </w:p>
        </w:tc>
        <w:tc>
          <w:tcPr>
            <w:tcW w:w="820" w:type="dxa"/>
            <w:vAlign w:val="bottom"/>
            <w:gridSpan w:val="3"/>
          </w:tcPr>
          <w:p>
            <w:pPr>
              <w:jc w:val="right"/>
              <w:ind w:right="80"/>
              <w:spacing w:after="0" w:line="147" w:lineRule="exact"/>
              <w:rPr>
                <w:sz w:val="20"/>
                <w:szCs w:val="20"/>
                <w:color w:val="auto"/>
              </w:rPr>
            </w:pPr>
            <w:r>
              <w:rPr>
                <w:rFonts w:ascii="Arial" w:cs="Arial" w:eastAsia="Arial" w:hAnsi="Arial"/>
                <w:sz w:val="14"/>
                <w:szCs w:val="14"/>
                <w:color w:val="auto"/>
              </w:rPr>
              <w:t>100%</w:t>
            </w:r>
          </w:p>
        </w:tc>
        <w:tc>
          <w:tcPr>
            <w:tcW w:w="720" w:type="dxa"/>
            <w:vAlign w:val="bottom"/>
            <w:gridSpan w:val="3"/>
          </w:tcPr>
          <w:p>
            <w:pPr>
              <w:jc w:val="right"/>
              <w:ind w:right="80"/>
              <w:spacing w:after="0" w:line="147" w:lineRule="exact"/>
              <w:rPr>
                <w:sz w:val="20"/>
                <w:szCs w:val="20"/>
                <w:color w:val="auto"/>
              </w:rPr>
            </w:pPr>
            <w:r>
              <w:rPr>
                <w:rFonts w:ascii="Arial" w:cs="Arial" w:eastAsia="Arial" w:hAnsi="Arial"/>
                <w:sz w:val="14"/>
                <w:szCs w:val="14"/>
                <w:color w:val="auto"/>
              </w:rPr>
              <w:t>100%</w:t>
            </w:r>
          </w:p>
        </w:tc>
        <w:tc>
          <w:tcPr>
            <w:tcW w:w="108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100%</w:t>
            </w:r>
          </w:p>
        </w:tc>
        <w:tc>
          <w:tcPr>
            <w:tcW w:w="106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100%</w:t>
            </w:r>
          </w:p>
        </w:tc>
        <w:tc>
          <w:tcPr>
            <w:tcW w:w="86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100%</w:t>
            </w:r>
          </w:p>
        </w:tc>
        <w:tc>
          <w:tcPr>
            <w:tcW w:w="760" w:type="dxa"/>
            <w:vAlign w:val="bottom"/>
            <w:gridSpan w:val="3"/>
          </w:tcPr>
          <w:p>
            <w:pPr>
              <w:jc w:val="right"/>
              <w:ind w:right="100"/>
              <w:spacing w:after="0" w:line="147"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Cost of revenue</w:t>
            </w:r>
          </w:p>
        </w:tc>
        <w:tc>
          <w:tcPr>
            <w:tcW w:w="7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23</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20" w:type="dxa"/>
            <w:vAlign w:val="bottom"/>
            <w:gridSpan w:val="2"/>
          </w:tcPr>
          <w:p>
            <w:pPr>
              <w:spacing w:after="0" w:line="154" w:lineRule="exact"/>
              <w:rPr>
                <w:sz w:val="20"/>
                <w:szCs w:val="20"/>
                <w:color w:val="auto"/>
              </w:rPr>
            </w:pPr>
            <w:r>
              <w:rPr>
                <w:rFonts w:ascii="Arial" w:cs="Arial" w:eastAsia="Arial" w:hAnsi="Arial"/>
                <w:sz w:val="14"/>
                <w:szCs w:val="14"/>
                <w:color w:val="auto"/>
              </w:rPr>
              <w:t>Gross profit</w:t>
            </w:r>
          </w:p>
        </w:tc>
        <w:tc>
          <w:tcPr>
            <w:tcW w:w="1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0" w:type="dxa"/>
            <w:vAlign w:val="bottom"/>
          </w:tcPr>
          <w:p>
            <w:pPr>
              <w:spacing w:after="0" w:line="147" w:lineRule="exact"/>
              <w:rPr>
                <w:sz w:val="20"/>
                <w:szCs w:val="20"/>
                <w:color w:val="auto"/>
              </w:rPr>
            </w:pPr>
            <w:r>
              <w:rPr>
                <w:rFonts w:ascii="Arial" w:cs="Arial" w:eastAsia="Arial" w:hAnsi="Arial"/>
                <w:sz w:val="14"/>
                <w:szCs w:val="14"/>
                <w:color w:val="auto"/>
              </w:rPr>
              <w:t>Research and development</w:t>
            </w:r>
          </w:p>
        </w:tc>
        <w:tc>
          <w:tcPr>
            <w:tcW w:w="7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5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2"/>
                <w:szCs w:val="12"/>
                <w:color w:val="auto"/>
              </w:rPr>
            </w:pPr>
          </w:p>
        </w:tc>
        <w:tc>
          <w:tcPr>
            <w:tcW w:w="8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8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2"/>
                <w:szCs w:val="12"/>
                <w:color w:val="auto"/>
              </w:rPr>
            </w:pPr>
          </w:p>
        </w:tc>
        <w:tc>
          <w:tcPr>
            <w:tcW w:w="6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5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8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8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6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5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Sales and marketing</w:t>
            </w:r>
          </w:p>
        </w:tc>
        <w:tc>
          <w:tcPr>
            <w:tcW w:w="7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42</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43</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00" w:type="dxa"/>
            <w:vAlign w:val="bottom"/>
          </w:tcPr>
          <w:p>
            <w:pPr>
              <w:spacing w:after="0" w:line="147" w:lineRule="exact"/>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Total operating expenses</w:t>
            </w:r>
          </w:p>
        </w:tc>
        <w:tc>
          <w:tcPr>
            <w:tcW w:w="7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79</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87</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79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20" w:type="dxa"/>
            <w:vAlign w:val="bottom"/>
            <w:gridSpan w:val="2"/>
          </w:tcPr>
          <w:p>
            <w:pPr>
              <w:spacing w:after="0" w:line="154" w:lineRule="exact"/>
              <w:rPr>
                <w:sz w:val="20"/>
                <w:szCs w:val="20"/>
                <w:color w:val="auto"/>
              </w:rPr>
            </w:pPr>
            <w:r>
              <w:rPr>
                <w:rFonts w:ascii="Arial" w:cs="Arial" w:eastAsia="Arial" w:hAnsi="Arial"/>
                <w:sz w:val="14"/>
                <w:szCs w:val="14"/>
                <w:color w:val="auto"/>
              </w:rPr>
              <w:t>Operating (loss) income</w:t>
            </w:r>
          </w:p>
        </w:tc>
        <w:tc>
          <w:tcPr>
            <w:tcW w:w="180" w:type="dxa"/>
            <w:vAlign w:val="bottom"/>
          </w:tcPr>
          <w:p>
            <w:pPr>
              <w:spacing w:after="0"/>
              <w:rPr>
                <w:sz w:val="13"/>
                <w:szCs w:val="13"/>
                <w:color w:val="auto"/>
              </w:rPr>
            </w:pPr>
          </w:p>
        </w:tc>
        <w:tc>
          <w:tcPr>
            <w:tcW w:w="5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income, net</w:t>
            </w:r>
          </w:p>
        </w:tc>
        <w:tc>
          <w:tcPr>
            <w:tcW w:w="7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gridSpan w:val="2"/>
          </w:tcPr>
          <w:p>
            <w:pPr>
              <w:spacing w:after="0" w:line="135" w:lineRule="exact"/>
              <w:rPr>
                <w:sz w:val="20"/>
                <w:szCs w:val="20"/>
                <w:color w:val="auto"/>
              </w:rPr>
            </w:pPr>
            <w:r>
              <w:rPr>
                <w:rFonts w:ascii="Arial" w:cs="Arial" w:eastAsia="Arial" w:hAnsi="Arial"/>
                <w:sz w:val="14"/>
                <w:szCs w:val="14"/>
                <w:color w:val="auto"/>
                <w:w w:val="99"/>
              </w:rPr>
              <w:t>(Loss) income before income</w:t>
            </w: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Arial" w:cs="Arial" w:eastAsia="Arial" w:hAnsi="Arial"/>
                <w:sz w:val="14"/>
                <w:szCs w:val="14"/>
                <w:color w:val="auto"/>
              </w:rPr>
              <w:t>taxes</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(2)</w:t>
            </w: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(8)</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(10)</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(13)</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(2)</w:t>
            </w:r>
          </w:p>
        </w:tc>
        <w:tc>
          <w:tcPr>
            <w:tcW w:w="5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(0)</w:t>
            </w:r>
          </w:p>
        </w:tc>
        <w:tc>
          <w:tcPr>
            <w:tcW w:w="1060" w:type="dxa"/>
            <w:vAlign w:val="bottom"/>
            <w:gridSpan w:val="3"/>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w:t>
            </w:r>
          </w:p>
        </w:tc>
        <w:tc>
          <w:tcPr>
            <w:tcW w:w="82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w:t>
            </w: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w:t>
            </w:r>
          </w:p>
        </w:tc>
        <w:tc>
          <w:tcPr>
            <w:tcW w:w="1060" w:type="dxa"/>
            <w:vAlign w:val="bottom"/>
            <w:gridSpan w:val="3"/>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w:t>
            </w:r>
          </w:p>
        </w:tc>
        <w:tc>
          <w:tcPr>
            <w:tcW w:w="860" w:type="dxa"/>
            <w:vAlign w:val="bottom"/>
            <w:gridSpan w:val="3"/>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w:t>
            </w:r>
          </w:p>
        </w:tc>
        <w:tc>
          <w:tcPr>
            <w:tcW w:w="760" w:type="dxa"/>
            <w:vAlign w:val="bottom"/>
            <w:gridSpan w:val="3"/>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Net (loss) income</w:t>
            </w:r>
          </w:p>
        </w:tc>
        <w:tc>
          <w:tcPr>
            <w:tcW w:w="1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8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8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(4)%</w:t>
            </w:r>
          </w:p>
        </w:tc>
        <w:tc>
          <w:tcPr>
            <w:tcW w:w="80" w:type="dxa"/>
            <w:vAlign w:val="bottom"/>
            <w:vMerge w:val="continue"/>
          </w:tcPr>
          <w:p>
            <w:pPr>
              <w:spacing w:after="0"/>
              <w:rPr>
                <w:sz w:val="13"/>
                <w:szCs w:val="13"/>
                <w:color w:val="auto"/>
              </w:rPr>
            </w:pPr>
          </w:p>
        </w:tc>
        <w:tc>
          <w:tcPr>
            <w:tcW w:w="68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(6)%</w:t>
            </w:r>
          </w:p>
        </w:tc>
        <w:tc>
          <w:tcPr>
            <w:tcW w:w="80" w:type="dxa"/>
            <w:vAlign w:val="bottom"/>
            <w:vMerge w:val="continue"/>
          </w:tcPr>
          <w:p>
            <w:pPr>
              <w:spacing w:after="0"/>
              <w:rPr>
                <w:sz w:val="13"/>
                <w:szCs w:val="13"/>
                <w:color w:val="auto"/>
              </w:rPr>
            </w:pPr>
          </w:p>
        </w:tc>
        <w:tc>
          <w:tcPr>
            <w:tcW w:w="94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0%</w:t>
            </w:r>
          </w:p>
        </w:tc>
        <w:tc>
          <w:tcPr>
            <w:tcW w:w="80" w:type="dxa"/>
            <w:vAlign w:val="bottom"/>
            <w:vMerge w:val="continue"/>
          </w:tcPr>
          <w:p>
            <w:pPr>
              <w:spacing w:after="0"/>
              <w:rPr>
                <w:sz w:val="13"/>
                <w:szCs w:val="13"/>
                <w:color w:val="auto"/>
              </w:rPr>
            </w:pPr>
          </w:p>
        </w:tc>
        <w:tc>
          <w:tcPr>
            <w:tcW w:w="98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(2)%</w:t>
            </w:r>
          </w:p>
        </w:tc>
        <w:tc>
          <w:tcPr>
            <w:tcW w:w="80" w:type="dxa"/>
            <w:vAlign w:val="bottom"/>
            <w:vMerge w:val="continue"/>
          </w:tcPr>
          <w:p>
            <w:pPr>
              <w:spacing w:after="0"/>
              <w:rPr>
                <w:sz w:val="13"/>
                <w:szCs w:val="13"/>
                <w:color w:val="auto"/>
              </w:rPr>
            </w:pPr>
          </w:p>
        </w:tc>
        <w:tc>
          <w:tcPr>
            <w:tcW w:w="74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1%</w:t>
            </w:r>
          </w:p>
        </w:tc>
        <w:tc>
          <w:tcPr>
            <w:tcW w:w="80" w:type="dxa"/>
            <w:vAlign w:val="bottom"/>
            <w:vMerge w:val="continue"/>
          </w:tcPr>
          <w:p>
            <w:pPr>
              <w:spacing w:after="0"/>
              <w:rPr>
                <w:sz w:val="13"/>
                <w:szCs w:val="13"/>
                <w:color w:val="auto"/>
              </w:rPr>
            </w:pPr>
          </w:p>
        </w:tc>
        <w:tc>
          <w:tcPr>
            <w:tcW w:w="64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0%</w:t>
            </w:r>
          </w:p>
        </w:tc>
        <w:tc>
          <w:tcPr>
            <w:tcW w:w="80" w:type="dxa"/>
            <w:vAlign w:val="bottom"/>
            <w:vMerge w:val="continue"/>
          </w:tcPr>
          <w:p>
            <w:pPr>
              <w:spacing w:after="0"/>
              <w:rPr>
                <w:sz w:val="13"/>
                <w:szCs w:val="13"/>
                <w:color w:val="auto"/>
              </w:rPr>
            </w:pPr>
          </w:p>
        </w:tc>
        <w:tc>
          <w:tcPr>
            <w:tcW w:w="100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(9)%</w:t>
            </w:r>
          </w:p>
        </w:tc>
        <w:tc>
          <w:tcPr>
            <w:tcW w:w="80" w:type="dxa"/>
            <w:vAlign w:val="bottom"/>
            <w:vMerge w:val="continue"/>
          </w:tcPr>
          <w:p>
            <w:pPr>
              <w:spacing w:after="0"/>
              <w:rPr>
                <w:sz w:val="13"/>
                <w:szCs w:val="13"/>
                <w:color w:val="auto"/>
              </w:rPr>
            </w:pPr>
          </w:p>
        </w:tc>
        <w:tc>
          <w:tcPr>
            <w:tcW w:w="98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(11)%</w:t>
            </w:r>
          </w:p>
        </w:tc>
        <w:tc>
          <w:tcPr>
            <w:tcW w:w="80" w:type="dxa"/>
            <w:vAlign w:val="bottom"/>
            <w:vMerge w:val="continue"/>
          </w:tcPr>
          <w:p>
            <w:pPr>
              <w:spacing w:after="0"/>
              <w:rPr>
                <w:sz w:val="13"/>
                <w:szCs w:val="13"/>
                <w:color w:val="auto"/>
              </w:rPr>
            </w:pPr>
          </w:p>
        </w:tc>
        <w:tc>
          <w:tcPr>
            <w:tcW w:w="78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(14)%</w:t>
            </w:r>
          </w:p>
        </w:tc>
        <w:tc>
          <w:tcPr>
            <w:tcW w:w="100" w:type="dxa"/>
            <w:vAlign w:val="bottom"/>
            <w:vMerge w:val="continue"/>
          </w:tcPr>
          <w:p>
            <w:pPr>
              <w:spacing w:after="0"/>
              <w:rPr>
                <w:sz w:val="13"/>
                <w:szCs w:val="13"/>
                <w:color w:val="auto"/>
              </w:rPr>
            </w:pPr>
          </w:p>
        </w:tc>
        <w:tc>
          <w:tcPr>
            <w:tcW w:w="66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4" w:lineRule="exact"/>
        <w:rPr>
          <w:sz w:val="20"/>
          <w:szCs w:val="20"/>
          <w:color w:val="auto"/>
        </w:rPr>
      </w:pPr>
    </w:p>
    <w:p>
      <w:pPr>
        <w:ind w:left="260" w:right="40" w:firstLine="437"/>
        <w:spacing w:after="0" w:line="255" w:lineRule="auto"/>
        <w:rPr>
          <w:sz w:val="20"/>
          <w:szCs w:val="20"/>
          <w:color w:val="auto"/>
        </w:rPr>
      </w:pPr>
      <w:r>
        <w:rPr>
          <w:rFonts w:ascii="Arial" w:cs="Arial" w:eastAsia="Arial" w:hAnsi="Arial"/>
          <w:sz w:val="18"/>
          <w:szCs w:val="18"/>
          <w:color w:val="auto"/>
        </w:rPr>
        <w:t>Total revenue increased sequentially in each of the quarters presented primarily due to the growth from existing customers and the addition of new customers. We recognize revenue ratably over the terms of our subscription contracts. As a result, a substantial portion of the revenue we report in a period is attributable to orders we received during prior periods. Therefore, increases or decreases in new sales, customer expansion or renewals in a period may not be immediately reflected in revenue for the period.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114" w:lineRule="exact"/>
        <w:rPr>
          <w:sz w:val="20"/>
          <w:szCs w:val="20"/>
          <w:color w:val="auto"/>
        </w:rPr>
      </w:pPr>
    </w:p>
    <w:p>
      <w:pPr>
        <w:ind w:left="260" w:right="40" w:firstLine="437"/>
        <w:spacing w:after="0" w:line="301" w:lineRule="auto"/>
        <w:rPr>
          <w:sz w:val="20"/>
          <w:szCs w:val="20"/>
          <w:color w:val="auto"/>
        </w:rPr>
      </w:pPr>
      <w:r>
        <w:rPr>
          <w:rFonts w:ascii="Arial" w:cs="Arial" w:eastAsia="Arial" w:hAnsi="Arial"/>
          <w:sz w:val="17"/>
          <w:szCs w:val="17"/>
          <w:color w:val="auto"/>
        </w:rPr>
        <w:t>Our quarterly cost of revenue has generally increased quarter-over-quarter in each period presented above primarily as a result of third-party cloud infrastructure hosting and software costs as well as increased headcount, which resulted in increased personnel expenses.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Quarterly Gross Margin Trends</w:t>
      </w:r>
    </w:p>
    <w:p>
      <w:pPr>
        <w:spacing w:after="0" w:line="114" w:lineRule="exact"/>
        <w:rPr>
          <w:sz w:val="20"/>
          <w:szCs w:val="20"/>
          <w:color w:val="auto"/>
        </w:rPr>
      </w:pPr>
    </w:p>
    <w:p>
      <w:pPr>
        <w:ind w:left="260" w:right="260" w:firstLine="437"/>
        <w:spacing w:after="0" w:line="307" w:lineRule="auto"/>
        <w:rPr>
          <w:sz w:val="20"/>
          <w:szCs w:val="20"/>
          <w:color w:val="auto"/>
        </w:rPr>
      </w:pPr>
      <w:r>
        <w:rPr>
          <w:rFonts w:ascii="Arial" w:cs="Arial" w:eastAsia="Arial" w:hAnsi="Arial"/>
          <w:sz w:val="16"/>
          <w:szCs w:val="16"/>
          <w:color w:val="auto"/>
        </w:rPr>
        <w:t>Our quarterly gross margins have fluctuated between 73% and 79% in each period presented. While our quarterly gross margins declined in the last three quarters ended March 31, 2019 as a result of the timing and amount of our investments to expand the capacity of our third-party cloud infrastructure providers, it increased in the quarter ended June 30, 2019 as a result of increased revenue and better optimization of cloud spend.</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14" w:lineRule="exact"/>
        <w:rPr>
          <w:sz w:val="20"/>
          <w:szCs w:val="20"/>
          <w:color w:val="auto"/>
        </w:rPr>
      </w:pPr>
    </w:p>
    <w:p>
      <w:pPr>
        <w:ind w:left="260" w:right="200" w:firstLine="437"/>
        <w:spacing w:after="0" w:line="282" w:lineRule="auto"/>
        <w:rPr>
          <w:sz w:val="20"/>
          <w:szCs w:val="20"/>
          <w:color w:val="auto"/>
        </w:rPr>
      </w:pPr>
      <w:r>
        <w:rPr>
          <w:rFonts w:ascii="Arial" w:cs="Arial" w:eastAsia="Arial" w:hAnsi="Arial"/>
          <w:sz w:val="17"/>
          <w:szCs w:val="17"/>
          <w:color w:val="auto"/>
        </w:rPr>
        <w:t>Operating expenses have generally increased in each sequential quarter presented above primarily due to the increased headcount, infrastructure and related costs to support our growth. We intend to continue to make significant investments in research and development as we add features and enhance our platform. We also intend to invest in our sales and marketing organization to drive future revenue growth.</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Quarterly Other Income (Expense), Net Trends</w:t>
      </w:r>
    </w:p>
    <w:p>
      <w:pPr>
        <w:spacing w:after="0" w:line="114" w:lineRule="exact"/>
        <w:rPr>
          <w:sz w:val="20"/>
          <w:szCs w:val="20"/>
          <w:color w:val="auto"/>
        </w:rPr>
      </w:pPr>
    </w:p>
    <w:p>
      <w:pPr>
        <w:ind w:left="260" w:right="460" w:firstLine="437"/>
        <w:spacing w:after="0" w:line="271" w:lineRule="auto"/>
        <w:rPr>
          <w:sz w:val="20"/>
          <w:szCs w:val="20"/>
          <w:color w:val="auto"/>
        </w:rPr>
      </w:pPr>
      <w:r>
        <w:rPr>
          <w:rFonts w:ascii="Arial" w:cs="Arial" w:eastAsia="Arial" w:hAnsi="Arial"/>
          <w:sz w:val="18"/>
          <w:szCs w:val="18"/>
          <w:color w:val="auto"/>
        </w:rPr>
        <w:t>Other income (expense), net stayed flat over the periods presented, and mainly consists of interest income generated from our money market funds.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260" w:right="380" w:firstLine="437"/>
        <w:spacing w:after="0" w:line="271" w:lineRule="auto"/>
        <w:rPr>
          <w:sz w:val="20"/>
          <w:szCs w:val="20"/>
          <w:color w:val="auto"/>
        </w:rPr>
      </w:pPr>
      <w:r>
        <w:rPr>
          <w:rFonts w:ascii="Arial" w:cs="Arial" w:eastAsia="Arial" w:hAnsi="Arial"/>
          <w:sz w:val="18"/>
          <w:szCs w:val="18"/>
          <w:color w:val="auto"/>
        </w:rPr>
        <w:t>We have financed operations primarily through sales of subscriptions and the net proceeds we have received from sales of equity securities as further detailed below since inception. As of December 31, 2018 and June 30,</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6"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80"/>
        <w:spacing w:after="0" w:line="286" w:lineRule="auto"/>
        <w:rPr>
          <w:sz w:val="20"/>
          <w:szCs w:val="20"/>
          <w:color w:val="auto"/>
        </w:rPr>
      </w:pPr>
      <w:r>
        <w:rPr>
          <w:rFonts w:ascii="Arial" w:cs="Arial" w:eastAsia="Arial" w:hAnsi="Arial"/>
          <w:sz w:val="16"/>
          <w:szCs w:val="16"/>
          <w:color w:val="auto"/>
        </w:rPr>
        <w:t>2019, our principal sources of liquidity were cash and cash equivalents totaling $53.6 and $52.3 million, respectively. 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and the continuing market adoption of our platform.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8" w:lineRule="exact"/>
        <w:rPr>
          <w:sz w:val="20"/>
          <w:szCs w:val="20"/>
          <w:color w:val="auto"/>
        </w:rPr>
      </w:pPr>
    </w:p>
    <w:p>
      <w:pPr>
        <w:ind w:left="260" w:right="260" w:firstLine="437"/>
        <w:spacing w:after="0" w:line="254" w:lineRule="auto"/>
        <w:rPr>
          <w:sz w:val="20"/>
          <w:szCs w:val="20"/>
          <w:color w:val="auto"/>
        </w:rPr>
      </w:pPr>
      <w:r>
        <w:rPr>
          <w:rFonts w:ascii="Arial" w:cs="Arial" w:eastAsia="Arial" w:hAnsi="Arial"/>
          <w:sz w:val="18"/>
          <w:szCs w:val="18"/>
          <w:color w:val="auto"/>
        </w:rPr>
        <w:t>Therefore, a substantial source of our cash is from our deferred revenue, which is included in the liabilities section of our consolidated balance sheet. Deferred revenue consists of the unearned portion of customer billings, which is recognized as revenue in accordance with our revenue recognition policy. As of December 31, 2018 and June 30, 2019, we had deferred revenue of $70.7 million and $105.2 million, respectively, of which $69.3 million and $101.8 million was recorded as a current liability and expected to be recognized as revenue in the next 12 months, respectively, provided all other revenue recognition criteria have been met.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70"/>
        </w:trPr>
        <w:tc>
          <w:tcPr>
            <w:tcW w:w="4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41"/>
        </w:trPr>
        <w:tc>
          <w:tcPr>
            <w:tcW w:w="4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49"/>
              <w:spacing w:after="0" w:line="141"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bottom w:val="single" w:sz="8" w:color="auto"/>
            </w:tcBorders>
          </w:tcPr>
          <w:p>
            <w:pPr>
              <w:jc w:val="right"/>
              <w:ind w:right="98"/>
              <w:spacing w:after="0" w:line="141"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29"/>
              <w:spacing w:after="0" w:line="141"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bottom w:val="single" w:sz="8" w:color="auto"/>
            </w:tcBorders>
          </w:tcPr>
          <w:p>
            <w:pPr>
              <w:jc w:val="right"/>
              <w:ind w:right="75"/>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1"/>
        </w:trPr>
        <w:tc>
          <w:tcPr>
            <w:tcW w:w="4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gridSpan w:val="4"/>
          </w:tcPr>
          <w:p>
            <w:pPr>
              <w:jc w:val="right"/>
              <w:ind w:right="609"/>
              <w:spacing w:after="0" w:line="141"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10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$ 13,832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$ 10,829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$10,635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$ 2,980</w:t>
            </w:r>
          </w:p>
        </w:tc>
        <w:tc>
          <w:tcPr>
            <w:tcW w:w="100" w:type="dxa"/>
            <w:vAlign w:val="bottom"/>
            <w:shd w:val="clear" w:color="auto" w:fill="CCEEFF"/>
          </w:tcPr>
          <w:p>
            <w:pPr>
              <w:spacing w:after="0"/>
              <w:rPr>
                <w:sz w:val="18"/>
                <w:szCs w:val="18"/>
                <w:color w:val="auto"/>
              </w:rPr>
            </w:pPr>
          </w:p>
        </w:tc>
      </w:tr>
      <w:tr>
        <w:trPr>
          <w:trHeight w:val="214"/>
        </w:trPr>
        <w:tc>
          <w:tcPr>
            <w:tcW w:w="48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100" w:type="dxa"/>
            <w:vAlign w:val="bottom"/>
            <w:gridSpan w:val="2"/>
          </w:tcPr>
          <w:p>
            <w:pPr>
              <w:jc w:val="right"/>
              <w:ind w:right="109"/>
              <w:spacing w:after="0"/>
              <w:rPr>
                <w:sz w:val="20"/>
                <w:szCs w:val="20"/>
                <w:color w:val="auto"/>
              </w:rPr>
            </w:pPr>
            <w:r>
              <w:rPr>
                <w:rFonts w:ascii="Arial" w:cs="Arial" w:eastAsia="Arial" w:hAnsi="Arial"/>
                <w:sz w:val="18"/>
                <w:szCs w:val="18"/>
                <w:color w:val="auto"/>
              </w:rPr>
              <w:t>(12,760)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(17,456)</w:t>
            </w:r>
          </w:p>
        </w:tc>
        <w:tc>
          <w:tcPr>
            <w:tcW w:w="1020" w:type="dxa"/>
            <w:vAlign w:val="bottom"/>
            <w:gridSpan w:val="2"/>
          </w:tcPr>
          <w:p>
            <w:pPr>
              <w:jc w:val="right"/>
              <w:ind w:right="109"/>
              <w:spacing w:after="0"/>
              <w:rPr>
                <w:sz w:val="20"/>
                <w:szCs w:val="20"/>
                <w:color w:val="auto"/>
              </w:rPr>
            </w:pPr>
            <w:r>
              <w:rPr>
                <w:rFonts w:ascii="Arial" w:cs="Arial" w:eastAsia="Arial" w:hAnsi="Arial"/>
                <w:sz w:val="18"/>
                <w:szCs w:val="18"/>
                <w:color w:val="auto"/>
              </w:rPr>
              <w:t>(9,135)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(9,387)</w:t>
            </w:r>
          </w:p>
        </w:tc>
      </w:tr>
      <w:tr>
        <w:trPr>
          <w:trHeight w:val="214"/>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10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462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4,076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1" w:lineRule="exact"/>
        <w:rPr>
          <w:sz w:val="20"/>
          <w:szCs w:val="20"/>
          <w:color w:val="auto"/>
        </w:rPr>
      </w:pPr>
    </w:p>
    <w:p>
      <w:pPr>
        <w:ind w:left="260" w:right="260" w:firstLine="437"/>
        <w:spacing w:after="0" w:line="282" w:lineRule="auto"/>
        <w:rPr>
          <w:sz w:val="20"/>
          <w:szCs w:val="20"/>
          <w:color w:val="auto"/>
        </w:rPr>
      </w:pPr>
      <w:r>
        <w:rPr>
          <w:rFonts w:ascii="Arial" w:cs="Arial" w:eastAsia="Arial" w:hAnsi="Arial"/>
          <w:sz w:val="17"/>
          <w:szCs w:val="17"/>
          <w:color w:val="auto"/>
        </w:rPr>
        <w:t>Our largest source of operating cash is cash collection from sales of subscriptions to our customers. Our primary uses of cash from operating activities are for personnel expenses, marketing expenses, hosting expenses and allocated overhead expenses. We have generated negative cash flows and have supplemented working capital requirements through net proceeds from the sale of equity securities.</w:t>
      </w:r>
    </w:p>
    <w:p>
      <w:pPr>
        <w:spacing w:after="0" w:line="167" w:lineRule="exact"/>
        <w:rPr>
          <w:sz w:val="20"/>
          <w:szCs w:val="20"/>
          <w:color w:val="auto"/>
        </w:rPr>
      </w:pPr>
    </w:p>
    <w:p>
      <w:pPr>
        <w:ind w:left="260" w:right="20" w:firstLine="437"/>
        <w:spacing w:after="0" w:line="287" w:lineRule="auto"/>
        <w:rPr>
          <w:sz w:val="20"/>
          <w:szCs w:val="20"/>
          <w:color w:val="auto"/>
        </w:rPr>
      </w:pPr>
      <w:r>
        <w:rPr>
          <w:rFonts w:ascii="Arial" w:cs="Arial" w:eastAsia="Arial" w:hAnsi="Arial"/>
          <w:sz w:val="16"/>
          <w:szCs w:val="16"/>
          <w:color w:val="auto"/>
        </w:rPr>
        <w:t>Cash provided by operating activities for the six months ended June 30, 2019 of $3.0 million was primarily related to our net loss of $13.4 million, adjusted for non-cash charges of $17.5 million and net cash outflows of $1.1 million provided by changes in our operating assets and liabilities. Non-cash charges primarily consisted of stock-based compensation, depreciation and amortization of property and equipment, amortization of capitalized software, and amortization of acquired intangibles. The main drivers of the changes in operating assets and liabilities were related to a $34.5 million increase in deferred revenue, resulting primarily from increased billings for subscriptions and a $7.5 million increase in accounts payable. These amounts were partially offset by a $8.6 million decrease in accrued expenses and other liabilities, a $12.2 million increase in accounts receivable, net, due to increases in sales, a $12.2 million increase in prepaid expenses and other current assets, primarily driven by prepaid hosting services, a $6.1 million increase in deferred contract costs related to commissions paid on new bookings, and a $4.0 million increase in other assets.</w:t>
      </w:r>
    </w:p>
    <w:p>
      <w:pPr>
        <w:spacing w:after="0" w:line="167" w:lineRule="exact"/>
        <w:rPr>
          <w:sz w:val="20"/>
          <w:szCs w:val="20"/>
          <w:color w:val="auto"/>
        </w:rPr>
      </w:pPr>
    </w:p>
    <w:p>
      <w:pPr>
        <w:ind w:left="260" w:right="20" w:firstLine="437"/>
        <w:spacing w:after="0" w:line="255" w:lineRule="auto"/>
        <w:rPr>
          <w:sz w:val="20"/>
          <w:szCs w:val="20"/>
          <w:color w:val="auto"/>
        </w:rPr>
      </w:pPr>
      <w:r>
        <w:rPr>
          <w:rFonts w:ascii="Arial" w:cs="Arial" w:eastAsia="Arial" w:hAnsi="Arial"/>
          <w:sz w:val="18"/>
          <w:szCs w:val="18"/>
          <w:color w:val="auto"/>
        </w:rPr>
        <w:t>Cash provided by operating activities for the six months ended June 30, 2018 of $10.6 million was primarily related to our net income of $0.5 million, adjusted for non-cash charges of $5.4 million and net cash inflows of $4.7 million provided by changes in our operating assets and liabilities. Non-cash charges primarily consisted of stock-based compensation, depreciation and amortization of property and equipment, amortization of capitalized</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6"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spacing w:after="0" w:line="252" w:lineRule="auto"/>
        <w:rPr>
          <w:sz w:val="20"/>
          <w:szCs w:val="20"/>
          <w:color w:val="auto"/>
        </w:rPr>
      </w:pPr>
      <w:r>
        <w:rPr>
          <w:rFonts w:ascii="Arial" w:cs="Arial" w:eastAsia="Arial" w:hAnsi="Arial"/>
          <w:sz w:val="18"/>
          <w:szCs w:val="18"/>
          <w:color w:val="auto"/>
        </w:rPr>
        <w:t>software, and amortization of acquired intangibles. The main drivers of the changes in operating assets and liabilities were related to a $22.0 million increase in deferred revenue, resulting primarily from increased billings for subscriptions, a $3.6 million increase in accounts payable, and a $2.5 million increase in accrued expenses and other liabilities, due to an increase in headcount. These amounts were partially offset by a $14.3 million increase in accounts receivable, net, due to increases in sales, a $1.6 million increase in prepaid expenses and other current assets, primarily driven by prepaid hosting services, a $3.6 million increase in deferred contract costs related to commissions paid on new bookings, and a $4.0 million increase in other assets.</w:t>
      </w:r>
    </w:p>
    <w:p>
      <w:pPr>
        <w:spacing w:after="0" w:line="195"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Cash provided by operating activities for the fiscal year ended December 31, 2018 of $10.8 million was primarily related to our net loss of $10.8 million, adjusted for non-cash charges of $14.4 million and net cash inflows of $7.2 million provided by changes in our operating assets and liabilities. Non-cash charges primarily consisted of stock-based compensation, net of amounts capitalized, depreciation and amortization of property and equipment, amortization of capitalized software, and amortization of acquired intangibles. The main drivers of the changes in operating assets and liabilities were related to a $31.6 million increase in deferred revenue, resulting primarily from increased billings for subscriptions, a $7.2 million increase in accounts payable, and a $10.9 million increase in accrued expenses and other liabilities, due to an increase in headcount. These amounts were partially offset by a $25.3 million increase in accounts receivable, net, due to increases in sales, a $1.3 million increase in prepaid expenses and other current assets, primarily driven by prepaid hosting services, an $8.9 million increase in deferred contract costs related to commissions paid on new bookings, and a $7.0 million increase in other assets.</w:t>
      </w:r>
    </w:p>
    <w:p>
      <w:pPr>
        <w:spacing w:after="0" w:line="184" w:lineRule="exact"/>
        <w:rPr>
          <w:sz w:val="20"/>
          <w:szCs w:val="20"/>
          <w:color w:val="auto"/>
        </w:rPr>
      </w:pPr>
    </w:p>
    <w:p>
      <w:pPr>
        <w:ind w:left="260" w:right="40" w:firstLine="437"/>
        <w:spacing w:after="0" w:line="251" w:lineRule="auto"/>
        <w:rPr>
          <w:sz w:val="20"/>
          <w:szCs w:val="20"/>
          <w:color w:val="auto"/>
        </w:rPr>
      </w:pPr>
      <w:r>
        <w:rPr>
          <w:rFonts w:ascii="Arial" w:cs="Arial" w:eastAsia="Arial" w:hAnsi="Arial"/>
          <w:sz w:val="18"/>
          <w:szCs w:val="18"/>
          <w:color w:val="auto"/>
        </w:rPr>
        <w:t>Cash provided by operating activities for the fiscal year ended December 31, 2017 of $13.8 million was primarily related to our net loss of $2.6 million, adjusted for non-cash charges of $7.4 million and net cash inflows of $9.0 million provided by changes in our operating assets and liabilities. Non-cash charges primarily consisted of stock-based compensation, net of amounts capitalized, depreciation and amortization of property and equipment, amortization of capitalized software, and amortization of acquired intangibles. The main drivers of the changes in operating assets and liabilities were related to a $29.8 million increase in deferred revenue, resulting primarily from increased billings for subscriptions, a $4.6 million increase in accounts payable, and a $2.9 million increase in accrued expenses and other liabilities, due to an increase in headcount. These amounts were partially offset by a $19.3 million increase in accounts receivable, net, due to increases in sales, a $4.3 million increase in prepaid expenses and other current assets, a $3.4 million increase in deferred contract costs related to commissions paid on new bookings, and a $1.5 million increase in other assets.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1" w:lineRule="exact"/>
        <w:rPr>
          <w:sz w:val="20"/>
          <w:szCs w:val="20"/>
          <w:color w:val="auto"/>
        </w:rPr>
      </w:pPr>
    </w:p>
    <w:p>
      <w:pPr>
        <w:ind w:left="260" w:right="60" w:firstLine="437"/>
        <w:spacing w:after="0" w:line="255" w:lineRule="auto"/>
        <w:rPr>
          <w:sz w:val="20"/>
          <w:szCs w:val="20"/>
          <w:color w:val="auto"/>
        </w:rPr>
      </w:pPr>
      <w:r>
        <w:rPr>
          <w:rFonts w:ascii="Arial" w:cs="Arial" w:eastAsia="Arial" w:hAnsi="Arial"/>
          <w:sz w:val="18"/>
          <w:szCs w:val="18"/>
          <w:color w:val="auto"/>
        </w:rPr>
        <w:t>Cash used in investing activities during the fiscal years ended December 31, 2017 and 2018, and for the six months ended June 30, 2018, and 2019, was $12.8 million, $17.5 million, $9.1 million, and $9.4 million, respectively, primarily as a result of increases in capital expenditures to purchase property and equipment to support additional office space and site operations, increases in capitalization of software development costs and increases in acquired intangibles.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1" w:lineRule="exact"/>
        <w:rPr>
          <w:sz w:val="20"/>
          <w:szCs w:val="20"/>
          <w:color w:val="auto"/>
        </w:rPr>
      </w:pPr>
    </w:p>
    <w:p>
      <w:pPr>
        <w:jc w:val="both"/>
        <w:ind w:left="260" w:right="300" w:firstLine="437"/>
        <w:spacing w:after="0" w:line="307" w:lineRule="auto"/>
        <w:rPr>
          <w:sz w:val="20"/>
          <w:szCs w:val="20"/>
          <w:color w:val="auto"/>
        </w:rPr>
      </w:pPr>
      <w:r>
        <w:rPr>
          <w:rFonts w:ascii="Arial" w:cs="Arial" w:eastAsia="Arial" w:hAnsi="Arial"/>
          <w:sz w:val="16"/>
          <w:szCs w:val="16"/>
          <w:color w:val="auto"/>
        </w:rPr>
        <w:t>Cash provided by financing activities for the fiscal years ended December 31, 2017 and 2018, and for the six months ended June 30, 2018, and 2019, was $0.5 million, $7.8 million, $4.1 million, and $5.0 million, respectively, and was primarily the result of proceeds from the exercise of stock options. The cash provided for the six months ended June 30, 2019 was partially offset by a $0.2 million payment of initial public offering costs.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Non-GAAP Free Cash Flow</w:t>
      </w:r>
    </w:p>
    <w:p>
      <w:pPr>
        <w:spacing w:after="0" w:line="225" w:lineRule="exact"/>
        <w:rPr>
          <w:sz w:val="20"/>
          <w:szCs w:val="20"/>
          <w:color w:val="auto"/>
        </w:rPr>
      </w:pPr>
    </w:p>
    <w:p>
      <w:pPr>
        <w:jc w:val="both"/>
        <w:ind w:left="260" w:right="360" w:firstLine="437"/>
        <w:spacing w:after="0" w:line="259" w:lineRule="auto"/>
        <w:rPr>
          <w:sz w:val="20"/>
          <w:szCs w:val="20"/>
          <w:color w:val="auto"/>
        </w:rPr>
      </w:pPr>
      <w:r>
        <w:rPr>
          <w:rFonts w:ascii="Arial" w:cs="Arial" w:eastAsia="Arial" w:hAnsi="Arial"/>
          <w:sz w:val="18"/>
          <w:szCs w:val="18"/>
          <w:color w:val="auto"/>
        </w:rPr>
        <w:t>We report our financial results in accordance with generally accepted accounting principles in the United States, or GAAP. To supplement our consolidated financial statements, we provide investors with the amount of free cash flow, which is a non-GAAP financial measure. Free cash flow represents net cash used in operating</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6"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80"/>
        <w:spacing w:after="0" w:line="266" w:lineRule="auto"/>
        <w:rPr>
          <w:sz w:val="20"/>
          <w:szCs w:val="20"/>
          <w:color w:val="auto"/>
        </w:rPr>
      </w:pPr>
      <w:r>
        <w:rPr>
          <w:rFonts w:ascii="Arial" w:cs="Arial" w:eastAsia="Arial" w:hAnsi="Arial"/>
          <w:sz w:val="17"/>
          <w:szCs w:val="17"/>
          <w:color w:val="auto"/>
        </w:rPr>
        <w:t>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86" w:lineRule="exact"/>
        <w:rPr>
          <w:sz w:val="20"/>
          <w:szCs w:val="20"/>
          <w:color w:val="auto"/>
        </w:rPr>
      </w:pPr>
    </w:p>
    <w:p>
      <w:pPr>
        <w:ind w:left="260" w:right="480" w:firstLine="437"/>
        <w:spacing w:after="0" w:line="271"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(used in) provided by operating activities, the most directly comparable financial measure calculated in accordance with GAAP:</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jc w:val="right"/>
              <w:ind w:right="502"/>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241"/>
              <w:spacing w:after="0"/>
              <w:rPr>
                <w:sz w:val="20"/>
                <w:szCs w:val="20"/>
                <w:color w:val="auto"/>
              </w:rPr>
            </w:pPr>
            <w:r>
              <w:rPr>
                <w:rFonts w:ascii="Arial" w:cs="Arial" w:eastAsia="Arial" w:hAnsi="Arial"/>
                <w:sz w:val="14"/>
                <w:szCs w:val="14"/>
                <w:b w:val="1"/>
                <w:bCs w:val="1"/>
                <w:color w:val="auto"/>
                <w:w w:val="98"/>
              </w:rPr>
              <w:t>Six Months Ended</w:t>
            </w:r>
          </w:p>
        </w:tc>
      </w:tr>
      <w:tr>
        <w:trPr>
          <w:trHeight w:val="170"/>
        </w:trPr>
        <w:tc>
          <w:tcPr>
            <w:tcW w:w="7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jc w:val="right"/>
              <w:ind w:right="44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June 30,</w:t>
            </w:r>
          </w:p>
        </w:tc>
      </w:tr>
      <w:tr>
        <w:trPr>
          <w:trHeight w:val="141"/>
        </w:trPr>
        <w:tc>
          <w:tcPr>
            <w:tcW w:w="7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8"/>
              <w:spacing w:after="0" w:line="141"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80"/>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8"/>
              <w:spacing w:after="0" w:line="141"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71"/>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1"/>
        </w:trPr>
        <w:tc>
          <w:tcPr>
            <w:tcW w:w="7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520"/>
              <w:spacing w:after="0" w:line="141"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4"/>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13,832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10,635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$ 2,980</w:t>
            </w:r>
          </w:p>
        </w:tc>
        <w:tc>
          <w:tcPr>
            <w:tcW w:w="100" w:type="dxa"/>
            <w:vAlign w:val="bottom"/>
            <w:shd w:val="clear" w:color="auto" w:fill="CCEEFF"/>
          </w:tcPr>
          <w:p>
            <w:pPr>
              <w:spacing w:after="0"/>
              <w:rPr>
                <w:sz w:val="18"/>
                <w:szCs w:val="18"/>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Less: purchases of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(2,351)</w:t>
            </w:r>
          </w:p>
        </w:tc>
        <w:tc>
          <w:tcPr>
            <w:tcW w:w="900" w:type="dxa"/>
            <w:vAlign w:val="bottom"/>
            <w:gridSpan w:val="3"/>
          </w:tcPr>
          <w:p>
            <w:pPr>
              <w:jc w:val="right"/>
              <w:ind w:right="42"/>
              <w:spacing w:after="0"/>
              <w:rPr>
                <w:sz w:val="20"/>
                <w:szCs w:val="20"/>
                <w:color w:val="auto"/>
              </w:rPr>
            </w:pPr>
            <w:r>
              <w:rPr>
                <w:rFonts w:ascii="Arial" w:cs="Arial" w:eastAsia="Arial" w:hAnsi="Arial"/>
                <w:sz w:val="18"/>
                <w:szCs w:val="18"/>
                <w:color w:val="auto"/>
              </w:rPr>
              <w:t>(9,662)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(6,548)</w:t>
            </w:r>
          </w:p>
        </w:tc>
        <w:tc>
          <w:tcPr>
            <w:tcW w:w="800" w:type="dxa"/>
            <w:vAlign w:val="bottom"/>
            <w:gridSpan w:val="3"/>
          </w:tcPr>
          <w:p>
            <w:pPr>
              <w:jc w:val="right"/>
              <w:ind w:right="21"/>
              <w:spacing w:after="0"/>
              <w:rPr>
                <w:sz w:val="20"/>
                <w:szCs w:val="20"/>
                <w:color w:val="auto"/>
              </w:rPr>
            </w:pPr>
            <w:r>
              <w:rPr>
                <w:rFonts w:ascii="Arial" w:cs="Arial" w:eastAsia="Arial" w:hAnsi="Arial"/>
                <w:sz w:val="18"/>
                <w:szCs w:val="18"/>
                <w:color w:val="auto"/>
              </w:rPr>
              <w:t>(4,979)</w:t>
            </w:r>
          </w:p>
        </w:tc>
      </w:tr>
      <w:tr>
        <w:trPr>
          <w:trHeight w:val="214"/>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capitalized software development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(5,452)</w:t>
            </w:r>
          </w:p>
        </w:tc>
        <w:tc>
          <w:tcPr>
            <w:tcW w:w="90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(6,176)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(2,587)</w:t>
            </w:r>
          </w:p>
        </w:tc>
        <w:tc>
          <w:tcPr>
            <w:tcW w:w="8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(4,408)</w:t>
            </w:r>
          </w:p>
        </w:tc>
      </w:tr>
      <w:tr>
        <w:trPr>
          <w:trHeight w:val="221"/>
        </w:trPr>
        <w:tc>
          <w:tcPr>
            <w:tcW w:w="7520" w:type="dxa"/>
            <w:vAlign w:val="bottom"/>
          </w:tcPr>
          <w:p>
            <w:pPr>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(5,009</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(6,407</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1"/>
              </w:rPr>
              <w:t>Payments Due By Period</w:t>
            </w: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tcPr>
          <w:p>
            <w:pPr>
              <w:ind w:left="460"/>
              <w:spacing w:after="0" w:line="118" w:lineRule="exact"/>
              <w:rPr>
                <w:sz w:val="20"/>
                <w:szCs w:val="20"/>
                <w:color w:val="auto"/>
              </w:rPr>
            </w:pPr>
            <w:r>
              <w:rPr>
                <w:rFonts w:ascii="Arial" w:cs="Arial" w:eastAsia="Arial" w:hAnsi="Arial"/>
                <w:sz w:val="13"/>
                <w:szCs w:val="13"/>
                <w:b w:val="1"/>
                <w:bCs w:val="1"/>
                <w:color w:val="auto"/>
                <w:w w:val="95"/>
              </w:rPr>
              <w:t>Less than 1</w:t>
            </w:r>
          </w:p>
        </w:tc>
        <w:tc>
          <w:tcPr>
            <w:tcW w:w="460" w:type="dxa"/>
            <w:vAlign w:val="bottom"/>
          </w:tcPr>
          <w:p>
            <w:pPr>
              <w:spacing w:after="0"/>
              <w:rPr>
                <w:sz w:val="10"/>
                <w:szCs w:val="10"/>
                <w:color w:val="auto"/>
              </w:rPr>
            </w:pPr>
          </w:p>
        </w:tc>
        <w:tc>
          <w:tcPr>
            <w:tcW w:w="10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1-3 Years</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3-5 Years</w:t>
            </w:r>
          </w:p>
        </w:tc>
        <w:tc>
          <w:tcPr>
            <w:tcW w:w="1220" w:type="dxa"/>
            <w:vAlign w:val="bottom"/>
            <w:gridSpan w:val="3"/>
          </w:tcPr>
          <w:p>
            <w:pPr>
              <w:ind w:left="460"/>
              <w:spacing w:after="0" w:line="118"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8"/>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w w:val="89"/>
              </w:rPr>
              <w:t>(in thousands)</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$31,803</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$32,022</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Purchase commitments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31,851</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13,687</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123,213</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45,490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32,022</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right="20" w:firstLine="437"/>
        <w:spacing w:after="0" w:line="254"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Our operating lease commitments relate primarily to our office space. The significant operating lease obligations relate to leases for our New York, Boston, Paris and Dublin office spaces. Purchase commitments relate mainly to hosting agreements as well as computer software used to facilitate our operations at the enterprise level.</w:t>
      </w:r>
    </w:p>
    <w:p>
      <w:pPr>
        <w:spacing w:after="0" w:line="189" w:lineRule="exact"/>
        <w:rPr>
          <w:sz w:val="20"/>
          <w:szCs w:val="20"/>
          <w:color w:val="auto"/>
        </w:rPr>
      </w:pPr>
    </w:p>
    <w:p>
      <w:pPr>
        <w:ind w:left="260" w:right="100" w:firstLine="437"/>
        <w:spacing w:after="0" w:line="254" w:lineRule="auto"/>
        <w:rPr>
          <w:sz w:val="20"/>
          <w:szCs w:val="20"/>
          <w:color w:val="auto"/>
        </w:rPr>
      </w:pPr>
      <w:r>
        <w:rPr>
          <w:rFonts w:ascii="Arial" w:cs="Arial" w:eastAsia="Arial" w:hAnsi="Arial"/>
          <w:sz w:val="18"/>
          <w:szCs w:val="18"/>
          <w:color w:val="auto"/>
        </w:rPr>
        <w:t>The table does not reflect the enterprise agreement and addendum for cloud hosting that we entered into with AWS in April 2019, or the AWS Agreement. Under the AWS Agreement, we are required to purchase an aggregate of at least $225.0 million of cloud services from AWS through April 2022. Except in limited circumstances, such as our termination of the AWS Agreement for cause, if we fail to meet the minimum purchase commitment during any year, we are required to pay the difference. Neither party may terminate the AWS Agreement for convenience during this three-year term. In addition to AWS, we operate on other cloud hosting providers.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6"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80" w:firstLine="437"/>
        <w:spacing w:after="0" w:line="272" w:lineRule="auto"/>
        <w:rPr>
          <w:sz w:val="20"/>
          <w:szCs w:val="20"/>
          <w:color w:val="auto"/>
        </w:rPr>
      </w:pPr>
      <w:r>
        <w:rPr>
          <w:rFonts w:ascii="Arial" w:cs="Arial" w:eastAsia="Arial" w:hAnsi="Arial"/>
          <w:sz w:val="17"/>
          <w:szCs w:val="17"/>
          <w:color w:val="auto"/>
        </w:rPr>
        <w:t>We reported other liabilities of $1.4 million in the consolidated balance sheet at December 31, 2018, which principally consists of unrecognized tax benefits (see Note 11 to our consolidated financial statements). We have excluded these long-term liabilities from the contractual obligations table above. A variety of factors could affect the timing of payments for the liabilities related to unrecognized tax benefits. Therefore, we cannot reasonably estimate the timing of such payments. We believe that these matters will likely not be resolved in the next twelve months and accordingly we have classified the estimated liability as non-current in the consolidated balance sheet.</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ind w:left="260" w:right="40" w:firstLine="437"/>
        <w:spacing w:after="0" w:line="307"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5" w:lineRule="exact"/>
        <w:rPr>
          <w:sz w:val="20"/>
          <w:szCs w:val="20"/>
          <w:color w:val="auto"/>
        </w:rPr>
      </w:pPr>
    </w:p>
    <w:p>
      <w:pPr>
        <w:ind w:left="260" w:right="100" w:firstLine="437"/>
        <w:spacing w:after="0" w:line="25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1" w:lineRule="exact"/>
        <w:rPr>
          <w:sz w:val="20"/>
          <w:szCs w:val="20"/>
          <w:color w:val="auto"/>
        </w:rPr>
      </w:pPr>
    </w:p>
    <w:p>
      <w:pPr>
        <w:ind w:left="260" w:right="40" w:firstLine="437"/>
        <w:spacing w:after="0" w:line="275" w:lineRule="auto"/>
        <w:rPr>
          <w:sz w:val="20"/>
          <w:szCs w:val="20"/>
          <w:color w:val="auto"/>
        </w:rPr>
      </w:pPr>
      <w:r>
        <w:rPr>
          <w:rFonts w:ascii="Arial" w:cs="Arial" w:eastAsia="Arial" w:hAnsi="Arial"/>
          <w:sz w:val="17"/>
          <w:szCs w:val="17"/>
          <w:color w:val="auto"/>
        </w:rPr>
        <w:t>As of June 30, 2019, we had $52.3 million of cash equivalents invested in money market funds. In addition, we had $11.3 million of restricted cash due to the outstanding letters of credit established in connection with lease agreements for our facilities. Our cash and cash equivalents are held for working capital purposes. We do not enter into investments for trading or speculative purposes. As of June 30, 2019, a hypothetical 10% relative change in interest rates would not have a material impact on our consolidated financial statements.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1" w:lineRule="exact"/>
        <w:rPr>
          <w:sz w:val="20"/>
          <w:szCs w:val="20"/>
          <w:color w:val="auto"/>
        </w:rPr>
      </w:pPr>
    </w:p>
    <w:p>
      <w:pPr>
        <w:ind w:left="260" w:firstLine="437"/>
        <w:spacing w:after="0" w:line="288"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the United Kingdom, Japan and Australia.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ind w:left="260" w:right="20" w:firstLine="437"/>
        <w:spacing w:after="0" w:line="252" w:lineRule="auto"/>
        <w:rPr>
          <w:sz w:val="20"/>
          <w:szCs w:val="20"/>
          <w:color w:val="auto"/>
        </w:rPr>
      </w:pPr>
      <w:r>
        <w:rPr>
          <w:rFonts w:ascii="Arial" w:cs="Arial" w:eastAsia="Arial" w:hAnsi="Arial"/>
          <w:sz w:val="18"/>
          <w:szCs w:val="18"/>
          <w:color w:val="auto"/>
        </w:rPr>
        <w:t>Our consolidated financial statements and the related notes thereto included elsewhere in this prospectus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95" w:lineRule="exact"/>
        <w:rPr>
          <w:sz w:val="20"/>
          <w:szCs w:val="20"/>
          <w:color w:val="auto"/>
        </w:rPr>
      </w:pPr>
    </w:p>
    <w:p>
      <w:pPr>
        <w:ind w:left="260" w:right="100" w:firstLine="437"/>
        <w:spacing w:after="0" w:line="335" w:lineRule="auto"/>
        <w:rPr>
          <w:sz w:val="20"/>
          <w:szCs w:val="20"/>
          <w:color w:val="auto"/>
        </w:rPr>
      </w:pPr>
      <w:r>
        <w:rPr>
          <w:rFonts w:ascii="Arial" w:cs="Arial" w:eastAsia="Arial" w:hAnsi="Arial"/>
          <w:sz w:val="16"/>
          <w:szCs w:val="16"/>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60"/>
          </w:cols>
          <w:pgMar w:left="24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1" w:lineRule="exact"/>
        <w:rPr>
          <w:sz w:val="20"/>
          <w:szCs w:val="20"/>
          <w:color w:val="auto"/>
        </w:rPr>
      </w:pPr>
    </w:p>
    <w:p>
      <w:pPr>
        <w:ind w:left="260" w:right="280" w:firstLine="437"/>
        <w:spacing w:after="0" w:line="290" w:lineRule="auto"/>
        <w:rPr>
          <w:sz w:val="20"/>
          <w:szCs w:val="20"/>
          <w:color w:val="auto"/>
        </w:rPr>
      </w:pPr>
      <w:r>
        <w:rPr>
          <w:rFonts w:ascii="Arial" w:cs="Arial" w:eastAsia="Arial" w:hAnsi="Arial"/>
          <w:sz w:val="16"/>
          <w:szCs w:val="16"/>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65" w:lineRule="exact"/>
        <w:rPr>
          <w:sz w:val="20"/>
          <w:szCs w:val="20"/>
          <w:color w:val="auto"/>
        </w:rPr>
      </w:pPr>
    </w:p>
    <w:p>
      <w:pPr>
        <w:ind w:left="260" w:right="140" w:firstLine="437"/>
        <w:spacing w:after="0" w:line="259" w:lineRule="auto"/>
        <w:rPr>
          <w:sz w:val="20"/>
          <w:szCs w:val="20"/>
          <w:color w:val="auto"/>
        </w:rPr>
      </w:pPr>
      <w:r>
        <w:rPr>
          <w:rFonts w:ascii="Arial" w:cs="Arial" w:eastAsia="Arial" w:hAnsi="Arial"/>
          <w:sz w:val="18"/>
          <w:szCs w:val="18"/>
          <w:color w:val="auto"/>
        </w:rPr>
        <w:t xml:space="preserve">We elected to early adopt Financial Accounting Standards Board, or FASB, Accounting Standards Codification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or Topic 606, effective January 1, 2017, using the full retrospective method of adoption. As such,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present revenue in accordance with Topic 606 for the period presented.</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account for revenue contracts with customers through the following steps:</w:t>
      </w:r>
    </w:p>
    <w:p>
      <w:pPr>
        <w:spacing w:after="0" w:line="128" w:lineRule="exact"/>
        <w:rPr>
          <w:sz w:val="20"/>
          <w:szCs w:val="20"/>
          <w:color w:val="auto"/>
        </w:rPr>
      </w:pPr>
    </w:p>
    <w:p>
      <w:pPr>
        <w:ind w:left="1220" w:hanging="537"/>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recognize revenue when or as, we satisfy a performance obligation.</w:t>
      </w:r>
    </w:p>
    <w:p>
      <w:pPr>
        <w:spacing w:after="0" w:line="221" w:lineRule="exact"/>
        <w:rPr>
          <w:sz w:val="20"/>
          <w:szCs w:val="20"/>
          <w:color w:val="auto"/>
        </w:rPr>
      </w:pPr>
    </w:p>
    <w:p>
      <w:pPr>
        <w:ind w:left="260" w:right="160" w:firstLine="437"/>
        <w:spacing w:after="0" w:line="254" w:lineRule="auto"/>
        <w:rPr>
          <w:sz w:val="20"/>
          <w:szCs w:val="20"/>
          <w:color w:val="auto"/>
        </w:rPr>
      </w:pPr>
      <w:r>
        <w:rPr>
          <w:rFonts w:ascii="Arial" w:cs="Arial" w:eastAsia="Arial" w:hAnsi="Arial"/>
          <w:sz w:val="18"/>
          <w:szCs w:val="18"/>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189" w:lineRule="exact"/>
        <w:rPr>
          <w:sz w:val="20"/>
          <w:szCs w:val="20"/>
          <w:color w:val="auto"/>
        </w:rPr>
      </w:pPr>
    </w:p>
    <w:p>
      <w:pPr>
        <w:jc w:val="both"/>
        <w:ind w:left="260" w:right="400" w:firstLine="437"/>
        <w:spacing w:after="0" w:line="307" w:lineRule="auto"/>
        <w:rPr>
          <w:sz w:val="20"/>
          <w:szCs w:val="20"/>
          <w:color w:val="auto"/>
        </w:rPr>
      </w:pPr>
      <w:r>
        <w:rPr>
          <w:rFonts w:ascii="Arial" w:cs="Arial" w:eastAsia="Arial" w:hAnsi="Arial"/>
          <w:sz w:val="16"/>
          <w:szCs w:val="16"/>
          <w:color w:val="auto"/>
        </w:rPr>
        <w:t>Revenue is recognized when control of these services is transferred to customers, in an amount that reflects the consideration we expect to be entitled to receive in exchange for those services. We determined an output method to be the most appropriate measure of progress because it most faithfully represents when the value of the services are simultaneously received and consumed by the customer, and control is transferred.</w:t>
      </w:r>
    </w:p>
    <w:p>
      <w:pPr>
        <w:spacing w:after="0" w:line="150" w:lineRule="exact"/>
        <w:rPr>
          <w:sz w:val="20"/>
          <w:szCs w:val="20"/>
          <w:color w:val="auto"/>
        </w:rPr>
      </w:pPr>
    </w:p>
    <w:p>
      <w:pPr>
        <w:ind w:left="260" w:firstLine="437"/>
        <w:spacing w:after="0" w:line="282" w:lineRule="auto"/>
        <w:rPr>
          <w:sz w:val="20"/>
          <w:szCs w:val="20"/>
          <w:color w:val="auto"/>
        </w:rPr>
      </w:pPr>
      <w:r>
        <w:rPr>
          <w:rFonts w:ascii="Arial" w:cs="Arial" w:eastAsia="Arial" w:hAnsi="Arial"/>
          <w:sz w:val="17"/>
          <w:szCs w:val="17"/>
          <w:color w:val="auto"/>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1" w:lineRule="exact"/>
        <w:rPr>
          <w:sz w:val="20"/>
          <w:szCs w:val="20"/>
          <w:color w:val="auto"/>
        </w:rPr>
      </w:pPr>
    </w:p>
    <w:p>
      <w:pPr>
        <w:ind w:left="260" w:right="80" w:firstLine="437"/>
        <w:spacing w:after="0" w:line="255" w:lineRule="auto"/>
        <w:rPr>
          <w:sz w:val="20"/>
          <w:szCs w:val="20"/>
          <w:color w:val="auto"/>
        </w:rPr>
      </w:pPr>
      <w:r>
        <w:rPr>
          <w:rFonts w:ascii="Arial" w:cs="Arial" w:eastAsia="Arial" w:hAnsi="Arial"/>
          <w:sz w:val="18"/>
          <w:szCs w:val="18"/>
          <w:color w:val="auto"/>
        </w:rPr>
        <w:t>Compensation expense related to stock-based transactions, including employee, consultant, and non-employee director stock option awards, is measured and recognized in the consolidated financial statements based on fair value. The fair value of each option award is estimated on the grant date using the Black Scholes option-pricing model. Expense is recognized on a straight-line basis over the vesting period of the award. Forfeitures are accounted for in the period in which the awards are forfeited.</w:t>
      </w:r>
    </w:p>
    <w:p>
      <w:pPr>
        <w:spacing w:after="0" w:line="191" w:lineRule="exact"/>
        <w:rPr>
          <w:sz w:val="20"/>
          <w:szCs w:val="20"/>
          <w:color w:val="auto"/>
        </w:rPr>
      </w:pPr>
    </w:p>
    <w:p>
      <w:pPr>
        <w:ind w:left="260" w:right="380" w:firstLine="437"/>
        <w:spacing w:after="0" w:line="259" w:lineRule="auto"/>
        <w:rPr>
          <w:sz w:val="20"/>
          <w:szCs w:val="20"/>
          <w:color w:val="auto"/>
        </w:rPr>
      </w:pPr>
      <w:r>
        <w:rPr>
          <w:rFonts w:ascii="Arial" w:cs="Arial" w:eastAsia="Arial" w:hAnsi="Arial"/>
          <w:sz w:val="18"/>
          <w:szCs w:val="18"/>
          <w:color w:val="auto"/>
        </w:rPr>
        <w:t>Our option-pricing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60"/>
          </w:cols>
          <w:pgMar w:left="24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260" w:right="540"/>
        <w:spacing w:after="0" w:line="335" w:lineRule="auto"/>
        <w:rPr>
          <w:sz w:val="20"/>
          <w:szCs w:val="20"/>
          <w:color w:val="auto"/>
        </w:rPr>
      </w:pPr>
      <w:r>
        <w:rPr>
          <w:rFonts w:ascii="Arial" w:cs="Arial" w:eastAsia="Arial" w:hAnsi="Arial"/>
          <w:sz w:val="16"/>
          <w:szCs w:val="16"/>
          <w:color w:val="auto"/>
        </w:rPr>
        <w:t>option-pricing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assumptions are estimated as follows:</w:t>
      </w:r>
    </w:p>
    <w:p>
      <w:pPr>
        <w:spacing w:after="0" w:line="128" w:lineRule="exact"/>
        <w:rPr>
          <w:sz w:val="20"/>
          <w:szCs w:val="20"/>
          <w:color w:val="auto"/>
        </w:rPr>
      </w:pPr>
    </w:p>
    <w:p>
      <w:pPr>
        <w:jc w:val="both"/>
        <w:ind w:left="1220" w:right="60" w:hanging="537"/>
        <w:spacing w:after="0" w:line="259" w:lineRule="auto"/>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Fair value</w:t>
      </w:r>
      <w:r>
        <w:rPr>
          <w:rFonts w:ascii="Arial" w:cs="Arial" w:eastAsia="Arial" w:hAnsi="Arial"/>
          <w:sz w:val="18"/>
          <w:szCs w:val="18"/>
          <w:color w:val="auto"/>
        </w:rPr>
        <w:t>. Because our common stock is not yet publicly traded, we must estimate the fair value of common stock.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numerous objective and subjective factors to determine the fair value of our common stock at each meeting in which awards are approved.</w:t>
      </w:r>
    </w:p>
    <w:p>
      <w:pPr>
        <w:spacing w:after="0" w:line="92" w:lineRule="exact"/>
        <w:rPr>
          <w:rFonts w:ascii="Arial" w:cs="Arial" w:eastAsia="Arial" w:hAnsi="Arial"/>
          <w:sz w:val="18"/>
          <w:szCs w:val="18"/>
          <w:color w:val="auto"/>
        </w:rPr>
      </w:pPr>
    </w:p>
    <w:p>
      <w:pPr>
        <w:ind w:left="1220" w:right="140" w:hanging="537"/>
        <w:spacing w:after="0" w:line="307" w:lineRule="auto"/>
        <w:tabs>
          <w:tab w:leader="none" w:pos="12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Expected volatility is a measure of the amount by which the stock price is expected to fluctuate. Since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56" w:lineRule="exact"/>
        <w:rPr>
          <w:rFonts w:ascii="Arial" w:cs="Arial" w:eastAsia="Arial" w:hAnsi="Arial"/>
          <w:sz w:val="16"/>
          <w:szCs w:val="16"/>
          <w:color w:val="auto"/>
        </w:rPr>
      </w:pPr>
    </w:p>
    <w:p>
      <w:pPr>
        <w:ind w:left="1220" w:right="20" w:hanging="537"/>
        <w:spacing w:after="0" w:line="255" w:lineRule="auto"/>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We determine the expected term based on the average period the stock options are expected to remain outstanding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97" w:lineRule="exact"/>
        <w:rPr>
          <w:rFonts w:ascii="Arial" w:cs="Arial" w:eastAsia="Arial" w:hAnsi="Arial"/>
          <w:sz w:val="18"/>
          <w:szCs w:val="18"/>
          <w:color w:val="auto"/>
        </w:rPr>
      </w:pPr>
    </w:p>
    <w:p>
      <w:pPr>
        <w:ind w:left="1220" w:hanging="537"/>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 We use the U.S. Treasury yield for our risk-free interest rate that corresponds with the expected term.</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 We utilize a dividend yield of zero, as we do not currently issue dividends, nor do we expect to do so in the future.</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assumptions were used to calculate the fair value of stock options granted to employees:</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1"/>
              </w:rPr>
              <w:t>Six Months Ended June 30,</w:t>
            </w:r>
          </w:p>
        </w:tc>
        <w:tc>
          <w:tcPr>
            <w:tcW w:w="640" w:type="dxa"/>
            <w:vAlign w:val="bottom"/>
            <w:tcBorders>
              <w:bottom w:val="single" w:sz="8" w:color="auto"/>
            </w:tcBorders>
          </w:tcPr>
          <w:p>
            <w:pPr>
              <w:spacing w:after="0"/>
              <w:rPr>
                <w:sz w:val="14"/>
                <w:szCs w:val="14"/>
                <w:color w:val="auto"/>
              </w:rPr>
            </w:pPr>
          </w:p>
        </w:tc>
      </w:tr>
      <w:tr>
        <w:trPr>
          <w:trHeight w:val="141"/>
        </w:trPr>
        <w:tc>
          <w:tcPr>
            <w:tcW w:w="492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2"/>
          </w:tcPr>
          <w:p>
            <w:pPr>
              <w:jc w:val="right"/>
              <w:ind w:right="495"/>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89"/>
              </w:rPr>
              <w:t>2019</w:t>
            </w:r>
          </w:p>
        </w:tc>
      </w:tr>
      <w:tr>
        <w:trPr>
          <w:trHeight w:val="20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4"/>
        </w:trPr>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37.1%</w:t>
            </w:r>
          </w:p>
        </w:tc>
        <w:tc>
          <w:tcPr>
            <w:tcW w:w="780" w:type="dxa"/>
            <w:vAlign w:val="bottom"/>
          </w:tcPr>
          <w:p>
            <w:pPr>
              <w:ind w:left="20"/>
              <w:spacing w:after="0"/>
              <w:rPr>
                <w:sz w:val="20"/>
                <w:szCs w:val="20"/>
                <w:color w:val="auto"/>
              </w:rPr>
            </w:pPr>
            <w:r>
              <w:rPr>
                <w:rFonts w:ascii="Arial" w:cs="Arial" w:eastAsia="Arial" w:hAnsi="Arial"/>
                <w:sz w:val="18"/>
                <w:szCs w:val="18"/>
                <w:color w:val="auto"/>
              </w:rPr>
              <w:t>- 38.8%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38.5% - 38.9%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r>
              <w:rPr>
                <w:rFonts w:ascii="Arial" w:cs="Arial" w:eastAsia="Arial" w:hAnsi="Arial"/>
                <w:sz w:val="18"/>
                <w:szCs w:val="18"/>
                <w:color w:val="auto"/>
              </w:rPr>
              <w:t>39.2%</w:t>
            </w:r>
          </w:p>
        </w:tc>
      </w:tr>
      <w:tr>
        <w:trPr>
          <w:trHeight w:val="214"/>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5.9 -6.1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r>
      <w:tr>
        <w:trPr>
          <w:trHeight w:val="227"/>
        </w:trPr>
        <w:tc>
          <w:tcPr>
            <w:tcW w:w="4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780" w:type="dxa"/>
            <w:vAlign w:val="bottom"/>
          </w:tcPr>
          <w:p>
            <w:pPr>
              <w:ind w:left="20"/>
              <w:spacing w:after="0"/>
              <w:rPr>
                <w:sz w:val="20"/>
                <w:szCs w:val="20"/>
                <w:color w:val="auto"/>
              </w:rPr>
            </w:pPr>
            <w:r>
              <w:rPr>
                <w:rFonts w:ascii="Arial" w:cs="Arial" w:eastAsia="Arial" w:hAnsi="Arial"/>
                <w:sz w:val="18"/>
                <w:szCs w:val="18"/>
                <w:color w:val="auto"/>
              </w:rPr>
              <w:t>- 2.2%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2.6% - 2.8%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r>
              <w:rPr>
                <w:rFonts w:ascii="Arial" w:cs="Arial" w:eastAsia="Arial" w:hAnsi="Arial"/>
                <w:sz w:val="18"/>
                <w:szCs w:val="18"/>
                <w:color w:val="auto"/>
              </w:rPr>
              <w:t>2.6%</w:t>
            </w:r>
          </w:p>
        </w:tc>
      </w:tr>
    </w:tbl>
    <w:p>
      <w:pPr>
        <w:spacing w:after="0" w:line="187" w:lineRule="exact"/>
        <w:rPr>
          <w:sz w:val="20"/>
          <w:szCs w:val="20"/>
          <w:color w:val="auto"/>
        </w:rPr>
      </w:pPr>
    </w:p>
    <w:p>
      <w:pPr>
        <w:ind w:left="260" w:right="140" w:firstLine="437"/>
        <w:spacing w:after="0" w:line="271" w:lineRule="auto"/>
        <w:rPr>
          <w:sz w:val="20"/>
          <w:szCs w:val="20"/>
          <w:color w:val="auto"/>
        </w:rPr>
      </w:pPr>
      <w:r>
        <w:rPr>
          <w:rFonts w:ascii="Arial" w:cs="Arial" w:eastAsia="Arial" w:hAnsi="Arial"/>
          <w:sz w:val="18"/>
          <w:szCs w:val="18"/>
          <w:color w:val="auto"/>
        </w:rPr>
        <w:t>Assumptions used in valuing non-employee stock options are generally consistent with those used for employee stock options with the exception that the expected term is over the contractual life, or 10 years.</w:t>
      </w:r>
    </w:p>
    <w:p>
      <w:pPr>
        <w:spacing w:after="0" w:line="175" w:lineRule="exact"/>
        <w:rPr>
          <w:sz w:val="20"/>
          <w:szCs w:val="20"/>
          <w:color w:val="auto"/>
        </w:rPr>
      </w:pPr>
    </w:p>
    <w:p>
      <w:pPr>
        <w:ind w:left="260" w:right="20" w:firstLine="437"/>
        <w:spacing w:after="0" w:line="259"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86" w:lineRule="exact"/>
        <w:rPr>
          <w:sz w:val="20"/>
          <w:szCs w:val="20"/>
          <w:color w:val="auto"/>
        </w:rPr>
      </w:pPr>
    </w:p>
    <w:p>
      <w:pPr>
        <w:ind w:left="260" w:right="80" w:firstLine="437"/>
        <w:spacing w:after="0" w:line="282" w:lineRule="auto"/>
        <w:rPr>
          <w:sz w:val="20"/>
          <w:szCs w:val="20"/>
          <w:color w:val="auto"/>
        </w:rPr>
      </w:pPr>
      <w:r>
        <w:rPr>
          <w:rFonts w:ascii="Arial" w:cs="Arial" w:eastAsia="Arial" w:hAnsi="Arial"/>
          <w:sz w:val="17"/>
          <w:szCs w:val="17"/>
          <w:color w:val="auto"/>
        </w:rPr>
        <w:t>Prior to January 1, 2018, we estimated a forfeiture rate to calculate stock-based compensation. We adopted ASU No. 2016-09 effective January 1, 2018 and elected to account for forfeitures as they occur, rather than estimating expected forfeitures over the course of a vesting period. The Company recognized a cumulative effect of $0.8 million to accumulated deficit as of January 1, 2018 upon adoption.</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21" w:lineRule="exact"/>
        <w:rPr>
          <w:sz w:val="20"/>
          <w:szCs w:val="20"/>
          <w:color w:val="auto"/>
        </w:rPr>
      </w:pPr>
    </w:p>
    <w:p>
      <w:pPr>
        <w:ind w:left="260" w:right="20" w:firstLine="437"/>
        <w:spacing w:after="0" w:line="307" w:lineRule="auto"/>
        <w:rPr>
          <w:sz w:val="20"/>
          <w:szCs w:val="20"/>
          <w:color w:val="auto"/>
        </w:rPr>
      </w:pPr>
      <w:r>
        <w:rPr>
          <w:rFonts w:ascii="Arial" w:cs="Arial" w:eastAsia="Arial" w:hAnsi="Arial"/>
          <w:sz w:val="16"/>
          <w:szCs w:val="16"/>
          <w:color w:val="auto"/>
        </w:rPr>
        <w:t>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56"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59" w:lineRule="auto"/>
        <w:rPr>
          <w:sz w:val="20"/>
          <w:szCs w:val="20"/>
          <w:color w:val="auto"/>
        </w:rPr>
      </w:pPr>
      <w:r>
        <w:rPr>
          <w:rFonts w:ascii="Arial" w:cs="Arial" w:eastAsia="Arial" w:hAnsi="Arial"/>
          <w:sz w:val="18"/>
          <w:szCs w:val="18"/>
          <w:color w:val="auto"/>
        </w:rPr>
        <w:t xml:space="preserve">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our board of directors exercised reasonable judgment and considered numerous objective and subjective factors to determine the best estimate of the fair value of our common stock at each grant date. These factors include:</w:t>
      </w:r>
    </w:p>
    <w:p>
      <w:pPr>
        <w:spacing w:after="0" w:line="93" w:lineRule="exact"/>
        <w:rPr>
          <w:sz w:val="20"/>
          <w:szCs w:val="20"/>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prices, rights, preferences, and privileges of our redeemable convertible preferred stock relative to those of our common stock;</w:t>
      </w:r>
    </w:p>
    <w:p>
      <w:pPr>
        <w:spacing w:after="0" w:line="139" w:lineRule="exact"/>
        <w:rPr>
          <w:rFonts w:ascii="Arial" w:cs="Arial" w:eastAsia="Arial" w:hAnsi="Arial"/>
          <w:sz w:val="17"/>
          <w:szCs w:val="17"/>
          <w:color w:val="auto"/>
        </w:rPr>
      </w:pPr>
    </w:p>
    <w:p>
      <w:pPr>
        <w:ind w:left="1220" w:right="80" w:hanging="537"/>
        <w:spacing w:after="0" w:line="271" w:lineRule="auto"/>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prices of common or convertible preferred stock sold to third-party investors by us and in secondary transactions or repurchased by us in arm’s-length transactions;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history of the company and the introduction of new products;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27" w:lineRule="exact"/>
        <w:rPr>
          <w:rFonts w:ascii="Arial" w:cs="Arial" w:eastAsia="Arial" w:hAnsi="Arial"/>
          <w:sz w:val="18"/>
          <w:szCs w:val="18"/>
          <w:color w:val="auto"/>
        </w:rPr>
      </w:pPr>
    </w:p>
    <w:p>
      <w:pPr>
        <w:ind w:left="1220" w:right="540" w:hanging="537"/>
        <w:spacing w:after="0" w:line="271" w:lineRule="auto"/>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IPO, or a merger or acquisition of our company given prevailing market conditions;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21" w:lineRule="exact"/>
        <w:rPr>
          <w:sz w:val="20"/>
          <w:szCs w:val="20"/>
          <w:color w:val="auto"/>
        </w:rPr>
      </w:pPr>
    </w:p>
    <w:p>
      <w:pPr>
        <w:ind w:left="260" w:firstLine="437"/>
        <w:spacing w:after="0" w:line="254"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w:t>
      </w:r>
    </w:p>
    <w:p>
      <w:pPr>
        <w:spacing w:after="0" w:line="189" w:lineRule="exact"/>
        <w:rPr>
          <w:sz w:val="20"/>
          <w:szCs w:val="20"/>
          <w:color w:val="auto"/>
        </w:rPr>
      </w:pPr>
    </w:p>
    <w:p>
      <w:pPr>
        <w:jc w:val="both"/>
        <w:ind w:left="260" w:right="220" w:firstLine="437"/>
        <w:spacing w:after="0" w:line="259" w:lineRule="auto"/>
        <w:rPr>
          <w:sz w:val="20"/>
          <w:szCs w:val="20"/>
          <w:color w:val="auto"/>
        </w:rPr>
      </w:pPr>
      <w:r>
        <w:rPr>
          <w:rFonts w:ascii="Arial" w:cs="Arial" w:eastAsia="Arial" w:hAnsi="Arial"/>
          <w:sz w:val="18"/>
          <w:szCs w:val="18"/>
          <w:color w:val="auto"/>
        </w:rPr>
        <w:t>For each valuation, the equity value determined by the income and market approaches was then allocated to the common stock using either the option pricing method, or OPM, or a hybrid method. The hybrid method is a hybrid of the probability weighted expected return method, or PWERM, and OPM.</w:t>
      </w:r>
    </w:p>
    <w:p>
      <w:pPr>
        <w:spacing w:after="0" w:line="186" w:lineRule="exact"/>
        <w:rPr>
          <w:sz w:val="20"/>
          <w:szCs w:val="20"/>
          <w:color w:val="auto"/>
        </w:rPr>
      </w:pPr>
    </w:p>
    <w:p>
      <w:pPr>
        <w:ind w:left="260" w:firstLine="437"/>
        <w:spacing w:after="0" w:line="268" w:lineRule="auto"/>
        <w:rPr>
          <w:sz w:val="20"/>
          <w:szCs w:val="20"/>
          <w:color w:val="auto"/>
        </w:rPr>
      </w:pPr>
      <w:r>
        <w:rPr>
          <w:rFonts w:ascii="Arial" w:cs="Arial" w:eastAsia="Arial" w:hAnsi="Arial"/>
          <w:sz w:val="17"/>
          <w:szCs w:val="17"/>
          <w:color w:val="auto"/>
        </w:rPr>
        <w:t>The option pricing method is based on a binomial lattice model, which allows for the identification of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IPO, as well as non-IPO market-based outcomes. Determining the fair value of the enterprise using the PWERM requires us to develop assumptions and estimates for both the probability of an IPO liquidity event and stay private outcomes, as well as the values we expect those outcomes could yield. Our valuations prior to September 2018 were based on the OPM. Beginning in September 2018, we valued our common stock based on a hybrid method of the PWERM and the OPM.</w:t>
      </w:r>
    </w:p>
    <w:p>
      <w:pPr>
        <w:spacing w:after="0" w:line="181" w:lineRule="exact"/>
        <w:rPr>
          <w:sz w:val="20"/>
          <w:szCs w:val="20"/>
          <w:color w:val="auto"/>
        </w:rPr>
      </w:pPr>
    </w:p>
    <w:p>
      <w:pPr>
        <w:ind w:left="260" w:firstLine="437"/>
        <w:spacing w:after="0" w:line="255"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240" w:top="456"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firstLine="437"/>
        <w:spacing w:after="0" w:line="275"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75" w:lineRule="exact"/>
        <w:rPr>
          <w:sz w:val="20"/>
          <w:szCs w:val="20"/>
          <w:color w:val="auto"/>
        </w:rPr>
      </w:pPr>
    </w:p>
    <w:p>
      <w:pPr>
        <w:jc w:val="both"/>
        <w:ind w:left="260" w:right="60" w:firstLine="437"/>
        <w:spacing w:after="0" w:line="259"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6" w:lineRule="exact"/>
        <w:rPr>
          <w:sz w:val="20"/>
          <w:szCs w:val="20"/>
          <w:color w:val="auto"/>
        </w:rPr>
      </w:pPr>
    </w:p>
    <w:p>
      <w:pPr>
        <w:jc w:val="both"/>
        <w:ind w:left="260" w:right="40" w:firstLine="437"/>
        <w:spacing w:after="0" w:line="259" w:lineRule="auto"/>
        <w:rPr>
          <w:sz w:val="20"/>
          <w:szCs w:val="20"/>
          <w:color w:val="auto"/>
        </w:rPr>
      </w:pPr>
      <w:r>
        <w:rPr>
          <w:rFonts w:ascii="Arial" w:cs="Arial" w:eastAsia="Arial" w:hAnsi="Arial"/>
          <w:sz w:val="18"/>
          <w:szCs w:val="18"/>
          <w:color w:val="auto"/>
        </w:rPr>
        <w:t>Based on the assumed initial public offering price per share of $25.00, which is the midpoint of the estimated offering price range set forth on the cover page of this prospectus, the aggregate intrinsic value of our outstanding stock options as of June 30, 2019 was $812.6 million, with $402.5 million related to vested stock options.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21" w:lineRule="exact"/>
        <w:rPr>
          <w:sz w:val="20"/>
          <w:szCs w:val="20"/>
          <w:color w:val="auto"/>
        </w:rPr>
      </w:pPr>
    </w:p>
    <w:p>
      <w:pPr>
        <w:ind w:left="260" w:right="140" w:firstLine="437"/>
        <w:spacing w:after="0" w:line="267" w:lineRule="auto"/>
        <w:rPr>
          <w:sz w:val="20"/>
          <w:szCs w:val="20"/>
          <w:color w:val="auto"/>
        </w:rPr>
      </w:pPr>
      <w:r>
        <w:rPr>
          <w:rFonts w:ascii="Arial" w:cs="Arial" w:eastAsia="Arial" w:hAnsi="Arial"/>
          <w:sz w:val="17"/>
          <w:szCs w:val="17"/>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two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84" w:lineRule="exact"/>
        <w:rPr>
          <w:sz w:val="20"/>
          <w:szCs w:val="20"/>
          <w:color w:val="auto"/>
        </w:rPr>
      </w:pPr>
    </w:p>
    <w:p>
      <w:pPr>
        <w:ind w:left="260" w:right="220" w:firstLine="437"/>
        <w:spacing w:after="0" w:line="297" w:lineRule="auto"/>
        <w:rPr>
          <w:sz w:val="20"/>
          <w:szCs w:val="20"/>
          <w:color w:val="auto"/>
        </w:rPr>
      </w:pPr>
      <w:r>
        <w:rPr>
          <w:rFonts w:ascii="Arial" w:cs="Arial" w:eastAsia="Arial" w:hAnsi="Arial"/>
          <w:sz w:val="16"/>
          <w:szCs w:val="16"/>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ind w:left="260" w:right="100" w:firstLine="437"/>
        <w:spacing w:after="0" w:line="301" w:lineRule="auto"/>
        <w:rPr>
          <w:sz w:val="20"/>
          <w:szCs w:val="20"/>
          <w:color w:val="auto"/>
        </w:rPr>
      </w:pPr>
      <w:r>
        <w:rPr>
          <w:rFonts w:ascii="Arial" w:cs="Arial" w:eastAsia="Arial" w:hAnsi="Arial"/>
          <w:sz w:val="17"/>
          <w:szCs w:val="17"/>
          <w:color w:val="auto"/>
        </w:rPr>
        <w:t>See the sections titled “Basis of Presentation and Summary of Significant Accounting Policies</w:t>
      </w:r>
      <w:r>
        <w:rPr>
          <w:rFonts w:ascii="Arial" w:cs="Arial" w:eastAsia="Arial" w:hAnsi="Arial"/>
          <w:sz w:val="17"/>
          <w:szCs w:val="17"/>
          <w:i w:val="1"/>
          <w:iCs w:val="1"/>
          <w:color w:val="auto"/>
        </w:rPr>
        <w:t>—</w:t>
      </w:r>
      <w:r>
        <w:rPr>
          <w:rFonts w:ascii="Arial" w:cs="Arial" w:eastAsia="Arial" w:hAnsi="Arial"/>
          <w:sz w:val="17"/>
          <w:szCs w:val="17"/>
          <w:color w:val="auto"/>
        </w:rPr>
        <w:t>Accounting Pronouncements Recently Adopted” and “—Accounting Pronouncements Not Yet Adopted” in Note 2 to our consolidated financial statements for more information.</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JOBS Act Accounting Election</w:t>
      </w:r>
    </w:p>
    <w:p>
      <w:pPr>
        <w:spacing w:after="0" w:line="225" w:lineRule="exact"/>
        <w:rPr>
          <w:sz w:val="20"/>
          <w:szCs w:val="20"/>
          <w:color w:val="auto"/>
        </w:rPr>
      </w:pPr>
    </w:p>
    <w:p>
      <w:pPr>
        <w:ind w:left="260" w:right="80" w:firstLine="437"/>
        <w:spacing w:after="0" w:line="270"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24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Letter from Alexis Le-Quoc and Olivier Pomel</w:t>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Chief Technology Officer, Chief Executive Officer and Founders</w:t>
      </w:r>
    </w:p>
    <w:p>
      <w:pPr>
        <w:spacing w:after="0" w:line="208" w:lineRule="exact"/>
        <w:rPr>
          <w:sz w:val="20"/>
          <w:szCs w:val="20"/>
          <w:color w:val="auto"/>
        </w:rPr>
      </w:pPr>
    </w:p>
    <w:p>
      <w:pPr>
        <w:ind w:left="260" w:right="300" w:firstLine="437"/>
        <w:spacing w:after="0" w:line="307" w:lineRule="auto"/>
        <w:rPr>
          <w:sz w:val="20"/>
          <w:szCs w:val="20"/>
          <w:color w:val="auto"/>
        </w:rPr>
      </w:pPr>
      <w:r>
        <w:rPr>
          <w:rFonts w:ascii="Arial" w:cs="Arial" w:eastAsia="Arial" w:hAnsi="Arial"/>
          <w:sz w:val="16"/>
          <w:szCs w:val="16"/>
          <w:color w:val="auto"/>
        </w:rPr>
        <w:t>Datadog was born from a problem we experienced first-hand through our careers in software engineering. In a previous life, we, Alexis and Olivier, stood on opposite sides of the dev and ops divide and witnessed how hard it was to get those two teams to understand their systems the same way and solve problems together. We started Datadog to fix this by breaking down silos across systems, teams and functions.</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Deployed Everywhere, Used by everyone</w:t>
      </w:r>
    </w:p>
    <w:p>
      <w:pPr>
        <w:spacing w:after="0" w:line="118" w:lineRule="exact"/>
        <w:rPr>
          <w:sz w:val="20"/>
          <w:szCs w:val="20"/>
          <w:color w:val="auto"/>
        </w:rPr>
      </w:pPr>
    </w:p>
    <w:p>
      <w:pPr>
        <w:ind w:left="260" w:firstLine="437"/>
        <w:spacing w:after="0" w:line="268" w:lineRule="auto"/>
        <w:rPr>
          <w:sz w:val="20"/>
          <w:szCs w:val="20"/>
          <w:color w:val="auto"/>
        </w:rPr>
      </w:pPr>
      <w:r>
        <w:rPr>
          <w:rFonts w:ascii="Arial" w:cs="Arial" w:eastAsia="Arial" w:hAnsi="Arial"/>
          <w:sz w:val="17"/>
          <w:szCs w:val="17"/>
          <w:color w:val="auto"/>
        </w:rPr>
        <w:t>Neither of us came from the ITOM industry; we didn’t aim at building a better mousetrap. We instead set out in 2010 to build a real-time data integration platform to turn chaos from disparate sources into digestible and actionable insights. Our first transactional use case was born from observing early users of our platform, and the immediate and acute pain they experienced when setting up cloud infrastructures. In 2012, we launched our Infrastructure Monitoring product, purpose-built to handle increasingly ephemeral cloud-native architectures. This made Datadog our customers’ first call after their public or private cloud provider and a critical part of their cloud journey. Our infrastructure-first approach also allowed us to be deployed on our customers’ entire cloud IT environment, and our focus on appeal and usability across functions gave our product broad usage across Dev, Ops and Business teams. These two design choices — to be deployed everywhere and used by everyone — along with the common data platform underlying our products, form the basis of our current and future platform expansion.</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single platform to fight complexity</w:t>
      </w:r>
    </w:p>
    <w:p>
      <w:pPr>
        <w:spacing w:after="0" w:line="118" w:lineRule="exact"/>
        <w:rPr>
          <w:sz w:val="20"/>
          <w:szCs w:val="20"/>
          <w:color w:val="auto"/>
        </w:rPr>
      </w:pPr>
    </w:p>
    <w:p>
      <w:pPr>
        <w:ind w:left="260" w:right="160" w:firstLine="437"/>
        <w:spacing w:after="0" w:line="290" w:lineRule="auto"/>
        <w:rPr>
          <w:sz w:val="20"/>
          <w:szCs w:val="20"/>
          <w:color w:val="auto"/>
        </w:rPr>
      </w:pPr>
      <w:r>
        <w:rPr>
          <w:rFonts w:ascii="Arial" w:cs="Arial" w:eastAsia="Arial" w:hAnsi="Arial"/>
          <w:sz w:val="16"/>
          <w:szCs w:val="16"/>
          <w:color w:val="auto"/>
        </w:rPr>
        <w:t>Our mission to break down silos didn’t end at cloud infrastructure monitoring. From the very early days, we saw our customers integrate additional data sources into their Datadog accounts. We saw them bring data in from their logs, networks, end-users, applications and many other sources, and build their own tooling on top of our platform. This made the broader set of problems we could solve for them very clear, and in 2017 we launched our APM product, designed to be broadly deployed in very distributed, microservices architectures. In 2018, we were the first to combine the “three pillars of observability” with the introduction of our log management product. And in 2019 we announced user experience and network performance products to offer end-to-end monitoring and analytics, powered by a common data model that is extensible for new use cases.</w:t>
      </w:r>
    </w:p>
    <w:p>
      <w:pPr>
        <w:spacing w:after="0" w:line="165" w:lineRule="exact"/>
        <w:rPr>
          <w:sz w:val="20"/>
          <w:szCs w:val="20"/>
          <w:color w:val="auto"/>
        </w:rPr>
      </w:pPr>
    </w:p>
    <w:p>
      <w:pPr>
        <w:ind w:left="260" w:right="60" w:firstLine="437"/>
        <w:spacing w:after="0" w:line="275" w:lineRule="auto"/>
        <w:rPr>
          <w:sz w:val="20"/>
          <w:szCs w:val="20"/>
          <w:color w:val="auto"/>
        </w:rPr>
      </w:pPr>
      <w:r>
        <w:rPr>
          <w:rFonts w:ascii="Arial" w:cs="Arial" w:eastAsia="Arial" w:hAnsi="Arial"/>
          <w:sz w:val="17"/>
          <w:szCs w:val="17"/>
          <w:color w:val="auto"/>
        </w:rPr>
        <w:t>The problem we solve for our customers is, at its core, the explosion of complexity faced by their teams as they become software companies, and as the cloud technology innovation cycles keep accelerating. Our long-term vision for addressing this problem is the same as when we started: it doesn’t make sense for data and teams to live in silos when technical and business issues rarely stop at the boundaries between tools. So the most important characteristics of a platform to solve this new complexity are that it be broadly deployed and broadly used.</w:t>
      </w:r>
    </w:p>
    <w:p>
      <w:pPr>
        <w:spacing w:after="0" w:line="175" w:lineRule="exact"/>
        <w:rPr>
          <w:sz w:val="20"/>
          <w:szCs w:val="20"/>
          <w:color w:val="auto"/>
        </w:rPr>
      </w:pPr>
    </w:p>
    <w:p>
      <w:pPr>
        <w:ind w:left="260" w:right="40" w:firstLine="437"/>
        <w:spacing w:after="0" w:line="255" w:lineRule="auto"/>
        <w:rPr>
          <w:sz w:val="20"/>
          <w:szCs w:val="20"/>
          <w:color w:val="auto"/>
        </w:rPr>
      </w:pPr>
      <w:r>
        <w:rPr>
          <w:rFonts w:ascii="Arial" w:cs="Arial" w:eastAsia="Arial" w:hAnsi="Arial"/>
          <w:sz w:val="18"/>
          <w:szCs w:val="18"/>
          <w:color w:val="auto"/>
        </w:rPr>
        <w:t>Even though our product lines today mimic the historical ITOM categories—split between infrastructure, applications, logs, etc.—there is no clear boundary between them in our platform, and there is no doubt in our minds that these splits will lose relevance over time. The future according to Datadog is a broad, unified category, bringing together all data relevant to Ops, Dev and Business users. Deployed Everywhere. Used by Everyone. To fight complexity.</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focus on solving valuable customer problems</w:t>
      </w:r>
    </w:p>
    <w:p>
      <w:pPr>
        <w:spacing w:after="0" w:line="118" w:lineRule="exact"/>
        <w:rPr>
          <w:sz w:val="20"/>
          <w:szCs w:val="20"/>
          <w:color w:val="auto"/>
        </w:rPr>
      </w:pPr>
    </w:p>
    <w:p>
      <w:pPr>
        <w:ind w:left="260" w:right="180" w:firstLine="437"/>
        <w:spacing w:after="0" w:line="254" w:lineRule="auto"/>
        <w:rPr>
          <w:sz w:val="20"/>
          <w:szCs w:val="20"/>
          <w:color w:val="auto"/>
        </w:rPr>
      </w:pPr>
      <w:r>
        <w:rPr>
          <w:rFonts w:ascii="Arial" w:cs="Arial" w:eastAsia="Arial" w:hAnsi="Arial"/>
          <w:sz w:val="18"/>
          <w:szCs w:val="18"/>
          <w:color w:val="auto"/>
        </w:rPr>
        <w:t>A lot of our strengths as a company were born out of necessity. Datadog was not an obvious winner in 2010: Our market had large incumbents. Neither of us had direct experience building or selling monitoring. And we were based in New York, which wasn’t where most of the other infrastructure players were. All of this made fundraising difficult. In retrospect, this forced us to focus on two really important things: First, on making sure we solved a real, valuable, hard problem for our customers. Second, on understanding our unit economics and constantly finding a path to providing more value to our customers.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6"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80" w:firstLine="437"/>
        <w:spacing w:after="0" w:line="255" w:lineRule="auto"/>
        <w:rPr>
          <w:sz w:val="20"/>
          <w:szCs w:val="20"/>
          <w:color w:val="auto"/>
        </w:rPr>
      </w:pPr>
      <w:r>
        <w:rPr>
          <w:rFonts w:ascii="Arial" w:cs="Arial" w:eastAsia="Arial" w:hAnsi="Arial"/>
          <w:sz w:val="18"/>
          <w:szCs w:val="18"/>
          <w:color w:val="auto"/>
        </w:rPr>
        <w:t>Today, as a company, we are relentlessly seeking to understand the problems we need to solve for our customers and how we can bring value to them, however gnarly these problems might turn out to be. This focus on customer problems is our true north, and we pride ourselves on having built a highly functional environment, where employees are engaged for the long term and we can innovate at scale. Datadog-the-product can only ever be as good as Datadog-the-company.</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momentous opportunity</w:t>
      </w:r>
    </w:p>
    <w:p>
      <w:pPr>
        <w:spacing w:after="0" w:line="118" w:lineRule="exact"/>
        <w:rPr>
          <w:sz w:val="20"/>
          <w:szCs w:val="20"/>
          <w:color w:val="auto"/>
        </w:rPr>
      </w:pPr>
    </w:p>
    <w:p>
      <w:pPr>
        <w:ind w:left="260" w:firstLine="437"/>
        <w:spacing w:after="0" w:line="271" w:lineRule="auto"/>
        <w:rPr>
          <w:sz w:val="20"/>
          <w:szCs w:val="20"/>
          <w:color w:val="auto"/>
        </w:rPr>
      </w:pPr>
      <w:r>
        <w:rPr>
          <w:rFonts w:ascii="Arial" w:cs="Arial" w:eastAsia="Arial" w:hAnsi="Arial"/>
          <w:sz w:val="18"/>
          <w:szCs w:val="18"/>
          <w:color w:val="auto"/>
        </w:rPr>
        <w:t>As exciting as our business may be today, we are convinced that we are barely scratching the surface. We would love you to join us as an investor on our journey to break down silos and fight complexity for our customers.</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240" w:top="456" w:right="5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BUSINESS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1" w:lineRule="exact"/>
        <w:rPr>
          <w:sz w:val="20"/>
          <w:szCs w:val="20"/>
          <w:color w:val="auto"/>
        </w:rPr>
      </w:pPr>
    </w:p>
    <w:p>
      <w:pPr>
        <w:ind w:left="260" w:right="80" w:firstLine="437"/>
        <w:spacing w:after="0" w:line="275" w:lineRule="auto"/>
        <w:rPr>
          <w:sz w:val="20"/>
          <w:szCs w:val="20"/>
          <w:color w:val="auto"/>
        </w:rPr>
      </w:pPr>
      <w:r>
        <w:rPr>
          <w:rFonts w:ascii="Arial" w:cs="Arial" w:eastAsia="Arial" w:hAnsi="Arial"/>
          <w:sz w:val="17"/>
          <w:szCs w:val="17"/>
          <w:color w:val="auto"/>
        </w:rPr>
        <w:t>Our SaaS platform integrates and automates infrastructure monitoring, application performance monitoring and log management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75"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Software applications are transforming how organizations engage with customers and operate their businesses. Companies across all industries are re-platforming their businesses to cloud infrastructures to enable this digital transformation. Historically, engineering teams have been siloed, making the development of next generation applications on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w:t>
      </w:r>
    </w:p>
    <w:p>
      <w:pPr>
        <w:spacing w:after="0" w:line="195" w:lineRule="exact"/>
        <w:rPr>
          <w:sz w:val="20"/>
          <w:szCs w:val="20"/>
          <w:color w:val="auto"/>
        </w:rPr>
      </w:pPr>
    </w:p>
    <w:p>
      <w:pPr>
        <w:ind w:left="260" w:right="180" w:firstLine="437"/>
        <w:spacing w:after="0" w:line="287" w:lineRule="auto"/>
        <w:rPr>
          <w:sz w:val="20"/>
          <w:szCs w:val="20"/>
          <w:color w:val="auto"/>
        </w:rPr>
      </w:pPr>
      <w:r>
        <w:rPr>
          <w:rFonts w:ascii="Arial" w:cs="Arial" w:eastAsia="Arial" w:hAnsi="Arial"/>
          <w:sz w:val="16"/>
          <w:szCs w:val="16"/>
          <w:color w:val="auto"/>
        </w:rPr>
        <w:t>From our founding goal of breaking down silos between Dev and Ops, we set out in 2010 to build a real-time data integration platform to turn chaos from disparate sources into digestible and actionable insights. In 2012, we launched our first use case with infrastructure monitoring, purpose-built to handle increasingly ephemeral cloud-native architectures. This enabled us to be deployed on our customers’ entire cloud IT environments and gave our product broad usage across Dev, Ops and business teams, in turn allowing us to address a bigger set of challenges through our platform. In 2017 we launched our APM product, designed to be broadly deployed in very distributed, micro-services architectures. In 2018, we were the first to combine the “three pillars of observability” with the introduction of our log management product. To allow for full-stack observability, in 2019, we launched user experience monitoring and announced network performance monitoring. Today, we offer end-to-end monitoring and analytics, powered by a common data model that is extensible for potential new use cases.</w:t>
      </w:r>
    </w:p>
    <w:p>
      <w:pPr>
        <w:spacing w:after="0" w:line="167" w:lineRule="exact"/>
        <w:rPr>
          <w:sz w:val="20"/>
          <w:szCs w:val="20"/>
          <w:color w:val="auto"/>
        </w:rPr>
      </w:pPr>
    </w:p>
    <w:p>
      <w:pPr>
        <w:ind w:left="260" w:right="160" w:firstLine="437"/>
        <w:spacing w:after="0" w:line="297" w:lineRule="auto"/>
        <w:rPr>
          <w:sz w:val="20"/>
          <w:szCs w:val="20"/>
          <w:color w:val="auto"/>
        </w:rPr>
      </w:pPr>
      <w:r>
        <w:rPr>
          <w:rFonts w:ascii="Arial" w:cs="Arial" w:eastAsia="Arial" w:hAnsi="Arial"/>
          <w:sz w:val="16"/>
          <w:szCs w:val="16"/>
          <w:color w:val="auto"/>
        </w:rPr>
        <w:t>Our proprietary platform combines the power of metrics, traces and logs to provide a unified view of infrastructure and application performance and the real-time events impacting this performance. Datadog is designed to be cloud agnostic and easy to deploy, with hundreds of out-of-the-box integrations, a built-in understanding of modern technology stacks and endless customizability. Customers can deploy our platform across their entire infrastructure, making it ubiquitous and a daily part of the lives of developers, operations engineers and business leaders.</w:t>
      </w:r>
    </w:p>
    <w:p>
      <w:pPr>
        <w:spacing w:after="0" w:line="160" w:lineRule="exact"/>
        <w:rPr>
          <w:sz w:val="20"/>
          <w:szCs w:val="20"/>
          <w:color w:val="auto"/>
        </w:rPr>
      </w:pPr>
    </w:p>
    <w:p>
      <w:pPr>
        <w:ind w:left="260" w:firstLine="437"/>
        <w:spacing w:after="0" w:line="269" w:lineRule="auto"/>
        <w:rPr>
          <w:sz w:val="20"/>
          <w:szCs w:val="20"/>
          <w:color w:val="auto"/>
        </w:rPr>
      </w:pPr>
      <w:r>
        <w:rPr>
          <w:rFonts w:ascii="Arial" w:cs="Arial" w:eastAsia="Arial" w:hAnsi="Arial"/>
          <w:sz w:val="17"/>
          <w:szCs w:val="17"/>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 Our ability to expand within our customer base is best demonstrated by our dollar-based net retention rate. As of June 30, 2018 and 2019, our dollar-based net retention rate was 146%, and as of December 31, 2017 and 2018, it was 141% and 151%, respectively. See “Management’s Discussion and Analysis of Financial Condition and Results of Operations—Factors Affecting Our Performance” for additional information regarding our dollar-based net retention rate.</w:t>
      </w:r>
    </w:p>
    <w:p>
      <w:pPr>
        <w:spacing w:after="0" w:line="179" w:lineRule="exact"/>
        <w:rPr>
          <w:sz w:val="20"/>
          <w:szCs w:val="20"/>
          <w:color w:val="auto"/>
        </w:rPr>
      </w:pPr>
    </w:p>
    <w:p>
      <w:pPr>
        <w:ind w:left="260" w:right="420" w:firstLine="437"/>
        <w:spacing w:after="0" w:line="271" w:lineRule="auto"/>
        <w:rPr>
          <w:sz w:val="20"/>
          <w:szCs w:val="20"/>
          <w:color w:val="auto"/>
        </w:rPr>
      </w:pPr>
      <w:r>
        <w:rPr>
          <w:rFonts w:ascii="Arial" w:cs="Arial" w:eastAsia="Arial" w:hAnsi="Arial"/>
          <w:sz w:val="18"/>
          <w:szCs w:val="18"/>
          <w:color w:val="auto"/>
        </w:rPr>
        <w:t>We have a highly efficient go-to-market model, which consists of a self-service tier, a high velocity inside sales team, and an enterprise sales force. As of June 30, 2019, we had approximately 8,800 customers, increasing</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240" w:top="456"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69" w:lineRule="auto"/>
        <w:rPr>
          <w:sz w:val="20"/>
          <w:szCs w:val="20"/>
          <w:color w:val="auto"/>
        </w:rPr>
      </w:pPr>
      <w:r>
        <w:rPr>
          <w:rFonts w:ascii="Arial" w:cs="Arial" w:eastAsia="Arial" w:hAnsi="Arial"/>
          <w:sz w:val="17"/>
          <w:szCs w:val="17"/>
          <w:color w:val="auto"/>
        </w:rPr>
        <w:t>from approximately 7,700, 5,400 and 3,800 customers as of December 31, 2018, 2017 and 2016, respectively. Approximately 590 of our customers as of June 30, 2019 had annual run-rate revenue, or ARR, of $100,000 or more, increasing from approximately 450, 240 and 130 customers as of December 31, 2018, 2017 and 2016, respectively, accounting for approximately 72%, 68%, 60% and 48% of our ARR, respectively. Further, as of June 30, 2019, we had 42 customers with ARR of $1.0 million or more, up from 29, 12 and two customers as of December 31, 2018, 2017 and 2016, respectively. As of June 30, 2019, our 10 largest customers represented approximately 14% of our ARR and no single customer represented more than 5% of our ARR. See “Management’s Discussion and Analysis of Financial Condition and Results of Operations—Factors Affecting Our Performance” for additional information regarding ARR.</w:t>
      </w:r>
    </w:p>
    <w:p>
      <w:pPr>
        <w:spacing w:after="0" w:line="179" w:lineRule="exact"/>
        <w:rPr>
          <w:sz w:val="20"/>
          <w:szCs w:val="20"/>
          <w:color w:val="auto"/>
        </w:rPr>
      </w:pPr>
    </w:p>
    <w:p>
      <w:pPr>
        <w:ind w:left="260" w:right="40" w:firstLine="437"/>
        <w:spacing w:after="0" w:line="267" w:lineRule="auto"/>
        <w:rPr>
          <w:sz w:val="20"/>
          <w:szCs w:val="20"/>
          <w:color w:val="auto"/>
        </w:rPr>
      </w:pPr>
      <w:r>
        <w:rPr>
          <w:rFonts w:ascii="Arial" w:cs="Arial" w:eastAsia="Arial" w:hAnsi="Arial"/>
          <w:sz w:val="17"/>
          <w:szCs w:val="17"/>
          <w:color w:val="auto"/>
        </w:rPr>
        <w:t>Our business has experienced rapid growth and is capital efficient. Since inception, we have raised $92.0 million of capital, net of share repurchases, and we had $63.6 million of cash, cash equivalents and restricted cash as of June 30, 2019. We generated revenue of $100.8 million and $198.1 million in 2017 and 2018, respectively, representing year-over-year growth of 97%. Our revenue was $85.4 million in the six months ended June 30, 2018 compared to $153.3 million in the six months ended June 30, 2019, representing period-over-period growth of 79%. Substantially all of our revenue is subscription software sales. Our net (loss) income was $(2.6) million, $(10.8) million, $0.5 million and $(13.4) million for the years ended December 31, 2017 and 2018 and the six months ended June 30, 2018 and 2019, respectively. We generated operating cash flow of $13.8 million, $10.8 million, $10.6 million and $3.0 million in 2017 and 2018 and the six months ended June 30, 2018 and 2019, respectively. Our free cash flow was $6.0 million, $(5.0) million, $1.5 million and $(6.4) million in 2017 and 2018 and the six months ended June 30, 2018 and 2019, respectively. See the section titled “Management’s Discussion and Analysis of Financial Condition and Results of Operations—Non-GAAP Free Cash Flow”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217170</wp:posOffset>
            </wp:positionV>
            <wp:extent cx="6958965" cy="4478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58965" cy="447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Monitoring software is at the foundation of an organization’s IT stack. Without monitoring, organizations are blind to factors that impact performance, reliability, scalability and availability of systems in which they have invested large amounts of resources. Once installed, monitoring becomes integral to an organization’s performance and deeply embedded into business and operational workflows. There are a number of important industry trends that are transforming the way organizations use, deploy and manage software applications and their underlying technology infrastructure. These trends are creating a significant opportunity to displace existing monitoring solutions and reshape the corresponding product categories, and include:</w:t>
      </w:r>
    </w:p>
    <w:p>
      <w:pPr>
        <w:spacing w:after="0" w:line="101" w:lineRule="exact"/>
        <w:rPr>
          <w:sz w:val="20"/>
          <w:szCs w:val="20"/>
          <w:color w:val="auto"/>
        </w:rPr>
      </w:pPr>
    </w:p>
    <w:p>
      <w:pPr>
        <w:ind w:left="1220" w:right="100" w:hanging="537"/>
        <w:spacing w:after="0" w:line="267" w:lineRule="auto"/>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Organizations must digitally transform their businesses to compete</w:t>
      </w:r>
      <w:r>
        <w:rPr>
          <w:rFonts w:ascii="Arial" w:cs="Arial" w:eastAsia="Arial" w:hAnsi="Arial"/>
          <w:sz w:val="17"/>
          <w:szCs w:val="17"/>
          <w:color w:val="auto"/>
        </w:rPr>
        <w:t>. There has been a fundamental shift in the way organizations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to interact with their customers and compete in the marketplace. Today, software applications are a critical driver of business performance and software developers are becoming increasingly influential. This rise in influence is directly correlated to the increased amounts of resources organizations are dedicating to building differentiated mission-critical software. Poor technology performance negatively impacts user experience and results in lost revenue, customer churn, negative brand perception and reduced employee productivity. Therefore, companies across all industries are heavily investing to digitally transform their businesses and enhance the experience of their customers. At the same time, companies are significantly growing their investments to monitor this digital transformation. According to Gartner, enterprises will quadruple their use of APM due to increasingly digitalized business processes from 2018 through 2021 to reach 20% of all business applications.</w:t>
      </w:r>
    </w:p>
    <w:p>
      <w:pPr>
        <w:spacing w:after="0" w:line="90" w:lineRule="exact"/>
        <w:rPr>
          <w:rFonts w:ascii="Arial" w:cs="Arial" w:eastAsia="Arial" w:hAnsi="Arial"/>
          <w:sz w:val="17"/>
          <w:szCs w:val="17"/>
          <w:color w:val="auto"/>
        </w:rPr>
      </w:pPr>
    </w:p>
    <w:p>
      <w:pPr>
        <w:ind w:left="1220" w:hanging="537"/>
        <w:spacing w:after="0" w:line="267" w:lineRule="auto"/>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We are in the early days of seismic shift to the cloud</w:t>
      </w:r>
      <w:r>
        <w:rPr>
          <w:rFonts w:ascii="Arial" w:cs="Arial" w:eastAsia="Arial" w:hAnsi="Arial"/>
          <w:sz w:val="17"/>
          <w:szCs w:val="17"/>
          <w:color w:val="auto"/>
        </w:rPr>
        <w:t>. There is a seismic shift from static on-premise IT architectures to distributed,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dynamic multi-cloud and hybrid cloud architectures with ephemeral technologies such as containers, microservices and serverless architectures becoming increasingly common. According to Gartner, as the cloud becomes increasingly mainstream from 2018 to 2022, it will influence greater portions of enterprise IT decisions, with more than $1 trillion in enterprise IT spend at stake in 2019. The shift allows companies to improve agility, accelerate innovation and better manage costs. As companies migrate to the cloud and their underlying infrastructure changes, so does the monitoring of this infrastructure. We are still in the early days of this massive transformation. According to Gartner, only 5% of applications were monitored as of 2018. Worldwide spend on public cloud services, including infrastructure-as-a-service and platform-as-a-service is expected to increase from $60 billion in 2018 to approximately $173 billion in 2022, according to the IDC, representing a 30% compound annual growth rate.</w:t>
      </w:r>
    </w:p>
    <w:p>
      <w:pPr>
        <w:spacing w:after="0" w:line="90" w:lineRule="exact"/>
        <w:rPr>
          <w:rFonts w:ascii="Arial" w:cs="Arial" w:eastAsia="Arial" w:hAnsi="Arial"/>
          <w:sz w:val="17"/>
          <w:szCs w:val="17"/>
          <w:color w:val="auto"/>
        </w:rPr>
      </w:pPr>
    </w:p>
    <w:p>
      <w:pPr>
        <w:ind w:left="1220" w:right="60" w:hanging="537"/>
        <w:spacing w:after="0" w:line="267" w:lineRule="auto"/>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Modern technologies create significant challenges for IT</w:t>
      </w:r>
      <w:r>
        <w:rPr>
          <w:rFonts w:ascii="Arial" w:cs="Arial" w:eastAsia="Arial" w:hAnsi="Arial"/>
          <w:sz w:val="17"/>
          <w:szCs w:val="17"/>
          <w:color w:val="auto"/>
        </w:rPr>
        <w:t>. Technologies such as containers, microservices and serverless computing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 IT environments that are highly ephemeral in nature compared to static legacy on-premise environments. The number of SaaS platforms and open source tools available to IT organizations has exploded providing significant choices to developers to use the most powerful and agile services compared to a few standardized vendor suites in the on-premise world. The scale of computing resources required in the cloud has increased exponentially and is often called upon in quick, sometimes unpredictable, bursts of expanded computing capacity compared to the static nature and smaller scale required of legacy data centers. The rate of change of application development in the cloud has increased dramatically as applications are being updated in days and minutes compared to months and years. These challenges have made it extremely difficult to gain visibility and insight into infrastructure and application performance and legacy monitoring tools have struggled to adapt.</w:t>
      </w:r>
    </w:p>
    <w:p>
      <w:pPr>
        <w:spacing w:after="0" w:line="90" w:lineRule="exact"/>
        <w:rPr>
          <w:rFonts w:ascii="Arial" w:cs="Arial" w:eastAsia="Arial" w:hAnsi="Arial"/>
          <w:sz w:val="17"/>
          <w:szCs w:val="17"/>
          <w:color w:val="auto"/>
        </w:rPr>
      </w:pPr>
    </w:p>
    <w:p>
      <w:pPr>
        <w:ind w:left="1220" w:right="40" w:hanging="537"/>
        <w:spacing w:after="0" w:line="252"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Collaboration of development and operations teams is critically important</w:t>
      </w:r>
      <w:r>
        <w:rPr>
          <w:rFonts w:ascii="Arial" w:cs="Arial" w:eastAsia="Arial" w:hAnsi="Arial"/>
          <w:sz w:val="18"/>
          <w:szCs w:val="18"/>
          <w:color w:val="auto"/>
        </w:rPr>
        <w:t>. DevOps is a practice and culture characterized by developers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 operations teams working together collaboratively, each with ownership of the entire product development cycle. DevOps is essential to achieving the agility and speed required for developing and maintaining modern applications, but they have been historically siloed. In the static, on-premise world, developers and IT operations personnel functioned independently with separate goals, priorities and tools. Developers would focus on writing code to create the best applications and operations teams would be responsible for testing, scaling and deploying the applications. These teams generally did not collaborate and had separate systems and tools to track performance. Often the lack of</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60"/>
          </w:cols>
          <w:pgMar w:left="24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40" w:right="20"/>
        <w:spacing w:after="0" w:line="288" w:lineRule="auto"/>
        <w:rPr>
          <w:sz w:val="20"/>
          <w:szCs w:val="20"/>
          <w:color w:val="auto"/>
        </w:rPr>
      </w:pPr>
      <w:r>
        <w:rPr>
          <w:rFonts w:ascii="Arial" w:cs="Arial" w:eastAsia="Arial" w:hAnsi="Arial"/>
          <w:sz w:val="16"/>
          <w:szCs w:val="16"/>
          <w:color w:val="auto"/>
        </w:rPr>
        <w:t>communication between Dev and Ops teams would lead to problems in application performance as the code may not have been written with the most efficient deployment in mind, leading to difficulty scaling, latency and other performance issues. The cycle of code rewrites could be lengthy, but acceptable in the static world where software releases happened once a year. In the cloud age, where the frequency of software updates is days or minutes, this communication and coordination between Dev and Ops is essential to ensuring rapid execution and optimizing business performance. With mission-critical processes being powered by software, Dev and Ops teams must collaborate to optimize both technology and business performance. As a result, Dev and Ops teams need tools that provide a unified view of both technology and business performance in order to collaborate in real-time to optimize business results.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Limitations of Existing Offerings</w:t>
      </w:r>
    </w:p>
    <w:p>
      <w:pPr>
        <w:spacing w:after="0" w:line="225" w:lineRule="exact"/>
        <w:rPr>
          <w:sz w:val="20"/>
          <w:szCs w:val="20"/>
          <w:color w:val="auto"/>
        </w:rPr>
      </w:pPr>
    </w:p>
    <w:p>
      <w:pPr>
        <w:ind w:left="260" w:right="80" w:firstLine="437"/>
        <w:spacing w:after="0" w:line="271" w:lineRule="auto"/>
        <w:rPr>
          <w:sz w:val="20"/>
          <w:szCs w:val="20"/>
          <w:color w:val="auto"/>
        </w:rPr>
      </w:pPr>
      <w:r>
        <w:rPr>
          <w:rFonts w:ascii="Arial" w:cs="Arial" w:eastAsia="Arial" w:hAnsi="Arial"/>
          <w:sz w:val="18"/>
          <w:szCs w:val="18"/>
          <w:color w:val="auto"/>
        </w:rPr>
        <w:t>Legacy commercial and homegrown technologies were designed to work with monolithic, static and on-premise environments. These approaches typically exhibit the following critical limitations:</w:t>
      </w:r>
    </w:p>
    <w:p>
      <w:pPr>
        <w:spacing w:after="0" w:line="81" w:lineRule="exact"/>
        <w:rPr>
          <w:sz w:val="20"/>
          <w:szCs w:val="20"/>
          <w:color w:val="auto"/>
        </w:rPr>
      </w:pPr>
    </w:p>
    <w:p>
      <w:pPr>
        <w:ind w:left="1220" w:hanging="537"/>
        <w:spacing w:after="0" w:line="259" w:lineRule="auto"/>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Not built for dynamic and ephemeral infrastructure</w:t>
      </w:r>
      <w:r>
        <w:rPr>
          <w:rFonts w:ascii="Arial" w:cs="Arial" w:eastAsia="Arial" w:hAnsi="Arial"/>
          <w:sz w:val="18"/>
          <w:szCs w:val="18"/>
          <w:color w:val="auto"/>
        </w:rPr>
        <w:t>. Other offerings were built for static infrastructures where elements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applications are deployed once and rarely change. These solutions are unable to visualize, and monitor technologies such as clouds, containers and microservices, which are highly dynamic and ephemeral in nature.</w:t>
      </w:r>
    </w:p>
    <w:p>
      <w:pPr>
        <w:spacing w:after="0" w:line="92" w:lineRule="exact"/>
        <w:rPr>
          <w:rFonts w:ascii="Arial" w:cs="Arial" w:eastAsia="Arial" w:hAnsi="Arial"/>
          <w:sz w:val="18"/>
          <w:szCs w:val="18"/>
          <w:color w:val="auto"/>
        </w:rPr>
      </w:pPr>
    </w:p>
    <w:p>
      <w:pPr>
        <w:ind w:left="1220" w:hanging="537"/>
        <w:spacing w:after="0" w:line="307" w:lineRule="auto"/>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Not built to work with a broad set of technologies</w:t>
      </w:r>
      <w:r>
        <w:rPr>
          <w:rFonts w:ascii="Arial" w:cs="Arial" w:eastAsia="Arial" w:hAnsi="Arial"/>
          <w:sz w:val="16"/>
          <w:szCs w:val="16"/>
          <w:color w:val="auto"/>
        </w:rPr>
        <w:t>. Legacy technologies are not designed to operate in heterogeneous environments,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myriad of vendors, applications and technologies. Instead, these offerings are built to work with a limited number of legacy, on-premise vendor suites and cannot take advantage of modern SaaS and open source technologies that the industry has recently adopted.</w:t>
      </w:r>
    </w:p>
    <w:p>
      <w:pPr>
        <w:spacing w:after="0" w:line="56" w:lineRule="exact"/>
        <w:rPr>
          <w:rFonts w:ascii="Arial" w:cs="Arial" w:eastAsia="Arial" w:hAnsi="Arial"/>
          <w:sz w:val="16"/>
          <w:szCs w:val="16"/>
          <w:color w:val="auto"/>
        </w:rPr>
      </w:pPr>
    </w:p>
    <w:p>
      <w:pPr>
        <w:ind w:left="1220" w:right="180" w:hanging="537"/>
        <w:spacing w:after="0" w:line="282" w:lineRule="auto"/>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Not built for development and operations teams collaboration</w:t>
      </w:r>
      <w:r>
        <w:rPr>
          <w:rFonts w:ascii="Arial" w:cs="Arial" w:eastAsia="Arial" w:hAnsi="Arial"/>
          <w:sz w:val="17"/>
          <w:szCs w:val="17"/>
          <w:color w:val="auto"/>
        </w:rPr>
        <w:t>. Legacy offerings often force development and operations teams to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disparate monitoring technologies that do not share a common framework or set of data and analytics. This makes collaboration between Dev and Ops teams challenging and can frequently cause sub-optimal business results.</w:t>
      </w:r>
    </w:p>
    <w:p>
      <w:pPr>
        <w:spacing w:after="0" w:line="73" w:lineRule="exact"/>
        <w:rPr>
          <w:rFonts w:ascii="Arial" w:cs="Arial" w:eastAsia="Arial" w:hAnsi="Arial"/>
          <w:sz w:val="17"/>
          <w:szCs w:val="17"/>
          <w:color w:val="auto"/>
        </w:rPr>
      </w:pPr>
    </w:p>
    <w:p>
      <w:pPr>
        <w:ind w:left="1220" w:right="160" w:hanging="537"/>
        <w:spacing w:after="0" w:line="271" w:lineRule="auto"/>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Not built for cloud scale</w:t>
      </w:r>
      <w:r>
        <w:rPr>
          <w:rFonts w:ascii="Arial" w:cs="Arial" w:eastAsia="Arial" w:hAnsi="Arial"/>
          <w:sz w:val="18"/>
          <w:szCs w:val="18"/>
          <w:color w:val="auto"/>
        </w:rPr>
        <w:t>. Legacy technologies are not designed for cloud scale environments and quick, sometimes unpredictable, bursts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computing resources required by modern applications.</w:t>
      </w:r>
    </w:p>
    <w:p>
      <w:pPr>
        <w:spacing w:after="0" w:line="81" w:lineRule="exact"/>
        <w:rPr>
          <w:rFonts w:ascii="Arial" w:cs="Arial" w:eastAsia="Arial" w:hAnsi="Arial"/>
          <w:sz w:val="18"/>
          <w:szCs w:val="18"/>
          <w:color w:val="auto"/>
        </w:rPr>
      </w:pPr>
    </w:p>
    <w:p>
      <w:pPr>
        <w:ind w:left="1220" w:right="40" w:hanging="537"/>
        <w:spacing w:after="0" w:line="307" w:lineRule="auto"/>
        <w:tabs>
          <w:tab w:leader="none" w:pos="122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Lack of advanced analytics</w:t>
      </w:r>
      <w:r>
        <w:rPr>
          <w:rFonts w:ascii="Arial" w:cs="Arial" w:eastAsia="Arial" w:hAnsi="Arial"/>
          <w:sz w:val="16"/>
          <w:szCs w:val="16"/>
          <w:color w:val="auto"/>
        </w:rPr>
        <w:t>. Legacy on-premise architectures lack scalability in collecting and processing large comprehensive datasets.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Users of these legacy technologies often need to manually collect and integrate data from disparate systems and IT environments. The lack of data scale and aggregation can make it challenging to train modern machine-learning algorithms resulting in less accurate insights.</w:t>
      </w:r>
    </w:p>
    <w:p>
      <w:pPr>
        <w:spacing w:after="0" w:line="150" w:lineRule="exact"/>
        <w:rPr>
          <w:sz w:val="20"/>
          <w:szCs w:val="20"/>
          <w:color w:val="auto"/>
        </w:rPr>
      </w:pPr>
    </w:p>
    <w:p>
      <w:pPr>
        <w:ind w:left="260" w:right="420" w:firstLine="437"/>
        <w:spacing w:after="0" w:line="271" w:lineRule="auto"/>
        <w:rPr>
          <w:sz w:val="20"/>
          <w:szCs w:val="20"/>
          <w:color w:val="auto"/>
        </w:rPr>
      </w:pPr>
      <w:r>
        <w:rPr>
          <w:rFonts w:ascii="Arial" w:cs="Arial" w:eastAsia="Arial" w:hAnsi="Arial"/>
          <w:sz w:val="18"/>
          <w:szCs w:val="18"/>
          <w:color w:val="auto"/>
        </w:rPr>
        <w:t>There have been a number of modern commercial technologies that have attempted to address the shortcomings of legacy approaches. These approaches typically exhibit the following limitations:</w:t>
      </w:r>
    </w:p>
    <w:p>
      <w:pPr>
        <w:spacing w:after="0" w:line="81" w:lineRule="exact"/>
        <w:rPr>
          <w:sz w:val="20"/>
          <w:szCs w:val="20"/>
          <w:color w:val="auto"/>
        </w:rPr>
      </w:pPr>
    </w:p>
    <w:p>
      <w:pPr>
        <w:ind w:left="1220" w:right="560" w:hanging="537"/>
        <w:spacing w:after="0" w:line="259" w:lineRule="auto"/>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Point solutions lack depth of visibility and insight</w:t>
      </w:r>
      <w:r>
        <w:rPr>
          <w:rFonts w:ascii="Arial" w:cs="Arial" w:eastAsia="Arial" w:hAnsi="Arial"/>
          <w:sz w:val="18"/>
          <w:szCs w:val="18"/>
          <w:color w:val="auto"/>
        </w:rPr>
        <w:t>. Point solutions cannot offer integrated infrastructure monitoring,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monitoring and log management on a single platform and therefore, lack the required visibility, insight and context for optimal collaboration.</w:t>
      </w:r>
    </w:p>
    <w:p>
      <w:pPr>
        <w:spacing w:after="0" w:line="92" w:lineRule="exact"/>
        <w:rPr>
          <w:rFonts w:ascii="Arial" w:cs="Arial" w:eastAsia="Arial" w:hAnsi="Arial"/>
          <w:sz w:val="18"/>
          <w:szCs w:val="18"/>
          <w:color w:val="auto"/>
        </w:rPr>
      </w:pPr>
    </w:p>
    <w:p>
      <w:pPr>
        <w:jc w:val="both"/>
        <w:ind w:left="1220" w:right="260" w:hanging="537"/>
        <w:spacing w:after="0" w:line="282" w:lineRule="auto"/>
        <w:tabs>
          <w:tab w:leader="none" w:pos="122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Monitoring sprawl exacerbates alert fatigue</w:t>
      </w:r>
      <w:r>
        <w:rPr>
          <w:rFonts w:ascii="Arial" w:cs="Arial" w:eastAsia="Arial" w:hAnsi="Arial"/>
          <w:sz w:val="17"/>
          <w:szCs w:val="17"/>
          <w:color w:val="auto"/>
        </w:rPr>
        <w:t>. Disparate tools often exacerbate the alert fatigue suffered by many organizations. Gartner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notes the need for companies to trim down the number of monitoring tools used, which in the case of larger enterprises is more than 30, while some smaller organizations have monitoring tools ranging in number from three to 10.</w:t>
      </w:r>
    </w:p>
    <w:p>
      <w:pPr>
        <w:spacing w:after="0" w:line="73" w:lineRule="exact"/>
        <w:rPr>
          <w:rFonts w:ascii="Arial" w:cs="Arial" w:eastAsia="Arial" w:hAnsi="Arial"/>
          <w:sz w:val="17"/>
          <w:szCs w:val="17"/>
          <w:color w:val="auto"/>
        </w:rPr>
      </w:pPr>
    </w:p>
    <w:p>
      <w:pPr>
        <w:jc w:val="both"/>
        <w:ind w:left="1220" w:right="640" w:hanging="537"/>
        <w:spacing w:after="0" w:line="335" w:lineRule="auto"/>
        <w:tabs>
          <w:tab w:leader="none" w:pos="122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Difficult to install and difficult to use</w:t>
      </w:r>
      <w:r>
        <w:rPr>
          <w:rFonts w:ascii="Arial" w:cs="Arial" w:eastAsia="Arial" w:hAnsi="Arial"/>
          <w:sz w:val="16"/>
          <w:szCs w:val="16"/>
          <w:color w:val="auto"/>
        </w:rPr>
        <w:t>. These technologies often have complicated implementation processes requiring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services. These offerings are complex to use, requiring extensive upfront and ongoing training and time commitment.</w:t>
      </w:r>
    </w:p>
    <w:p>
      <w:pPr>
        <w:spacing w:after="0" w:line="34" w:lineRule="exact"/>
        <w:rPr>
          <w:rFonts w:ascii="Arial" w:cs="Arial" w:eastAsia="Arial" w:hAnsi="Arial"/>
          <w:sz w:val="16"/>
          <w:szCs w:val="16"/>
          <w:color w:val="auto"/>
        </w:rPr>
      </w:pPr>
    </w:p>
    <w:p>
      <w:pPr>
        <w:ind w:left="1220" w:right="140" w:hanging="537"/>
        <w:spacing w:after="0" w:line="259" w:lineRule="auto"/>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Rigid and not extensible</w:t>
      </w:r>
      <w:r>
        <w:rPr>
          <w:rFonts w:ascii="Arial" w:cs="Arial" w:eastAsia="Arial" w:hAnsi="Arial"/>
          <w:sz w:val="18"/>
          <w:szCs w:val="18"/>
          <w:color w:val="auto"/>
        </w:rPr>
        <w:t>. These offerings are designed to address very specific use cases for a small cadre of users and can require heavy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costs and professional services in order to derive value. They are not easily extensible to a broad set of use cases for a greater number of technology and business users.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60"/>
          </w:cols>
          <w:pgMar w:left="24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Solution and Key Strengths</w:t>
      </w:r>
    </w:p>
    <w:p>
      <w:pPr>
        <w:spacing w:after="0" w:line="225" w:lineRule="exact"/>
        <w:rPr>
          <w:sz w:val="20"/>
          <w:szCs w:val="20"/>
          <w:color w:val="auto"/>
        </w:rPr>
      </w:pPr>
    </w:p>
    <w:p>
      <w:pPr>
        <w:ind w:left="260" w:firstLine="437"/>
        <w:spacing w:after="0" w:line="254" w:lineRule="auto"/>
        <w:rPr>
          <w:sz w:val="20"/>
          <w:szCs w:val="20"/>
          <w:color w:val="auto"/>
        </w:rPr>
      </w:pPr>
      <w:r>
        <w:rPr>
          <w:rFonts w:ascii="Arial" w:cs="Arial" w:eastAsia="Arial" w:hAnsi="Arial"/>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cloud-native platform enables development and operations teams to collaborate, quickly build and improve applications, and drive business performance. Empowered by our out-of-the box functionality and simple, self-service installation, our customers are able to rapidly deploy our platform to provide application- and infrastructure-wide visibility, often within minutes.</w:t>
      </w:r>
    </w:p>
    <w:p>
      <w:pPr>
        <w:spacing w:after="0" w:line="96" w:lineRule="exact"/>
        <w:rPr>
          <w:sz w:val="20"/>
          <w:szCs w:val="20"/>
          <w:color w:val="auto"/>
        </w:rPr>
      </w:pPr>
    </w:p>
    <w:p>
      <w:pPr>
        <w:ind w:left="1220" w:right="320" w:hanging="537"/>
        <w:spacing w:after="0" w:line="259" w:lineRule="auto"/>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dynamic cloud infrastructures</w:t>
      </w:r>
      <w:r>
        <w:rPr>
          <w:rFonts w:ascii="Arial" w:cs="Arial" w:eastAsia="Arial" w:hAnsi="Arial"/>
          <w:sz w:val="18"/>
          <w:szCs w:val="18"/>
          <w:color w:val="auto"/>
        </w:rPr>
        <w:t>. Our innovative platform was born in the cloud and was built to work with ephemeral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such as microservices, containers and serverless computing. Our data model was built to work at cloud scale with highly dynamic data sets and can process more than 10 trillion events a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144145</wp:posOffset>
            </wp:positionV>
            <wp:extent cx="6287770" cy="4342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87770" cy="434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240" w:top="456" w:right="5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hanging="537"/>
        <w:spacing w:after="0" w:line="272"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Simple but not simplistic</w:t>
      </w:r>
      <w:r>
        <w:rPr>
          <w:rFonts w:ascii="Arial" w:cs="Arial" w:eastAsia="Arial" w:hAnsi="Arial"/>
          <w:sz w:val="17"/>
          <w:szCs w:val="17"/>
          <w:color w:val="auto"/>
        </w:rPr>
        <w:t>. Our platform is easy-to-use with out-of-the-box integrations, customizable drag-and-drop dashboards, real-time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and business users. As a result, our platform is integral to business operations and used every day, and our users find increasing value in the solution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130175</wp:posOffset>
            </wp:positionV>
            <wp:extent cx="6287770" cy="7732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87770" cy="7732395"/>
                    </a:xfrm>
                    <a:prstGeom prst="rect">
                      <a:avLst/>
                    </a:prstGeom>
                    <a:noFill/>
                  </pic:spPr>
                </pic:pic>
              </a:graphicData>
            </a:graphic>
          </wp:anchor>
        </w:drawing>
      </w:r>
    </w:p>
    <w:p>
      <w:pPr>
        <w:sectPr>
          <w:pgSz w:w="11900" w:h="16838" w:orient="portrait"/>
          <w:cols w:equalWidth="0" w:num="1">
            <w:col w:w="11120"/>
          </w:cols>
          <w:pgMar w:left="240" w:top="45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20"/>
          </w:cols>
          <w:pgMar w:left="240" w:top="456" w:right="5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40" w:hanging="423"/>
        <w:spacing w:after="0" w:line="269" w:lineRule="auto"/>
        <w:tabs>
          <w:tab w:leader="none" w:pos="144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data platform</w:t>
      </w:r>
      <w:r>
        <w:rPr>
          <w:rFonts w:ascii="Arial" w:cs="Arial" w:eastAsia="Arial" w:hAnsi="Arial"/>
          <w:sz w:val="17"/>
          <w:szCs w:val="17"/>
          <w:color w:val="auto"/>
        </w:rPr>
        <w:t>. We were the first to combine the “three pillars of observability” - metrics, traces, and logs -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introduction of our log management solution in 2018. Today, our platform combines infrastructure monitoring, application performance monitoring, log management, user experience monitoring, and network performance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provide the ability to view metrics, traces and logs side-by-side and perform correlation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122555</wp:posOffset>
            </wp:positionV>
            <wp:extent cx="6287770" cy="511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87770" cy="511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240" w:top="456" w:right="5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hanging="537"/>
        <w:spacing w:after="0" w:line="254" w:lineRule="auto"/>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Built for collaboration</w:t>
      </w:r>
      <w:r>
        <w:rPr>
          <w:rFonts w:ascii="Arial" w:cs="Arial" w:eastAsia="Arial" w:hAnsi="Arial"/>
          <w:sz w:val="18"/>
          <w:szCs w:val="18"/>
          <w:color w:val="auto"/>
        </w:rPr>
        <w:t>. Our platform was built to break down the silos between developers and operations teams in order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129540</wp:posOffset>
            </wp:positionV>
            <wp:extent cx="6287770" cy="4511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87770" cy="451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240" w:top="456" w:right="5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right="80" w:hanging="537"/>
        <w:spacing w:after="0" w:line="335" w:lineRule="auto"/>
        <w:tabs>
          <w:tab w:leader="none" w:pos="122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Cloud agnostic</w:t>
      </w:r>
      <w:r>
        <w:rPr>
          <w:rFonts w:ascii="Arial" w:cs="Arial" w:eastAsia="Arial" w:hAnsi="Arial"/>
          <w:sz w:val="16"/>
          <w:szCs w:val="16"/>
          <w:color w:val="auto"/>
        </w:rPr>
        <w:t>. Our platform is designed to be deployable across all environments, including public cloud, private cloud, on-premise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multi-cloud hybrid environments, allowing organizations to diversify their infrastructure and reduce single vendor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243840</wp:posOffset>
            </wp:positionV>
            <wp:extent cx="6287770" cy="5403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87770" cy="540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20" w:right="100" w:hanging="537"/>
        <w:spacing w:after="0" w:line="254" w:lineRule="auto"/>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Ubiquitous</w:t>
      </w:r>
      <w:r>
        <w:rPr>
          <w:rFonts w:ascii="Arial" w:cs="Arial" w:eastAsia="Arial" w:hAnsi="Arial"/>
          <w:sz w:val="18"/>
          <w:szCs w:val="18"/>
          <w:color w:val="auto"/>
        </w:rPr>
        <w:t>. Datadog is frequently deployed across a customer’s entire infrastructure, making it ubiquitous. Compared to legacy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often used only by a few users in an organization’s IT operations team, Datadog is a daily part of the lives of developers, operations engineers and business leaders. For example, a leading communications software technology provider has almost 800 Datadog users, about half of the company’s total employee count and greater than the total number of the company’s engineers. Further, a Fortune 500 financial services firm has over 3,000 Datadog users.</w:t>
      </w:r>
    </w:p>
    <w:p>
      <w:pPr>
        <w:spacing w:after="0" w:line="95" w:lineRule="exact"/>
        <w:rPr>
          <w:rFonts w:ascii="Arial" w:cs="Arial" w:eastAsia="Arial" w:hAnsi="Arial"/>
          <w:sz w:val="18"/>
          <w:szCs w:val="18"/>
          <w:color w:val="auto"/>
        </w:rPr>
      </w:pPr>
    </w:p>
    <w:p>
      <w:pPr>
        <w:ind w:left="1220" w:hanging="537"/>
        <w:spacing w:after="0" w:line="297" w:lineRule="auto"/>
        <w:tabs>
          <w:tab w:leader="none" w:pos="122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Integrates with our customers’ complex environments</w:t>
      </w:r>
      <w:r>
        <w:rPr>
          <w:rFonts w:ascii="Arial" w:cs="Arial" w:eastAsia="Arial" w:hAnsi="Arial"/>
          <w:sz w:val="16"/>
          <w:szCs w:val="16"/>
          <w:color w:val="auto"/>
        </w:rPr>
        <w:t>. We enable development and operations teams to harness the full spectrum of SaaS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open source tools. We have over 350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240" w:top="456"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202565</wp:posOffset>
            </wp:positionV>
            <wp:extent cx="6809105" cy="5353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9105" cy="535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20" w:right="160" w:hanging="537"/>
        <w:spacing w:after="0" w:line="307" w:lineRule="auto"/>
        <w:tabs>
          <w:tab w:leader="none" w:pos="122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Powered by robust analytics and machine-learning</w:t>
      </w:r>
      <w:r>
        <w:rPr>
          <w:rFonts w:ascii="Arial" w:cs="Arial" w:eastAsia="Arial" w:hAnsi="Arial"/>
          <w:sz w:val="16"/>
          <w:szCs w:val="16"/>
          <w:color w:val="auto"/>
        </w:rPr>
        <w:t>. Our platform ingests massive amounts of data into our unified data warehouse.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actionable insights using our advanced analytics capabilities. Our platform features machine learning that can cross-correlate metrics, traces and logs to identify outliers and notify users of potential anomalies before they impact the business.</w:t>
      </w:r>
    </w:p>
    <w:p>
      <w:pPr>
        <w:spacing w:after="0" w:line="56" w:lineRule="exact"/>
        <w:rPr>
          <w:rFonts w:ascii="Arial" w:cs="Arial" w:eastAsia="Arial" w:hAnsi="Arial"/>
          <w:sz w:val="16"/>
          <w:szCs w:val="16"/>
          <w:color w:val="auto"/>
        </w:rPr>
      </w:pPr>
    </w:p>
    <w:p>
      <w:pPr>
        <w:ind w:left="1220" w:hanging="537"/>
        <w:spacing w:after="0" w:line="307" w:lineRule="auto"/>
        <w:tabs>
          <w:tab w:leader="none" w:pos="122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Scalable</w:t>
      </w:r>
      <w:r>
        <w:rPr>
          <w:rFonts w:ascii="Arial" w:cs="Arial" w:eastAsia="Arial" w:hAnsi="Arial"/>
          <w:sz w:val="16"/>
          <w:szCs w:val="16"/>
          <w:color w:val="auto"/>
        </w:rPr>
        <w:t>. Our SaaS platform is highly scalable and is delivered through the cloud. Our platform is massively scalable currently monitoring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10 trillion events a day and millions of servers and containers at any point in time. We offer secure, easily accessible data retention at full granularity for extensive periods of time, which can provide customers with a complete view of their historical data.</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Key Benefits to Our Customers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platform provides the following key benefits to our customers:</w:t>
      </w:r>
    </w:p>
    <w:p>
      <w:pPr>
        <w:spacing w:after="0" w:line="128" w:lineRule="exact"/>
        <w:rPr>
          <w:sz w:val="20"/>
          <w:szCs w:val="20"/>
          <w:color w:val="auto"/>
        </w:rPr>
      </w:pPr>
    </w:p>
    <w:p>
      <w:pPr>
        <w:ind w:left="1220" w:right="180" w:hanging="537"/>
        <w:spacing w:after="0" w:line="255" w:lineRule="auto"/>
        <w:tabs>
          <w:tab w:leader="none" w:pos="122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digital transformation</w:t>
      </w:r>
      <w:r>
        <w:rPr>
          <w:rFonts w:ascii="Arial" w:cs="Arial" w:eastAsia="Arial" w:hAnsi="Arial"/>
          <w:sz w:val="18"/>
          <w:szCs w:val="18"/>
          <w:color w:val="auto"/>
        </w:rPr>
        <w:t>. We enable customers to take full advantage of the cloud to develop and maintain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97" w:lineRule="exact"/>
        <w:rPr>
          <w:rFonts w:ascii="Arial" w:cs="Arial" w:eastAsia="Arial" w:hAnsi="Arial"/>
          <w:sz w:val="18"/>
          <w:szCs w:val="18"/>
          <w:color w:val="auto"/>
        </w:rPr>
      </w:pPr>
    </w:p>
    <w:p>
      <w:pPr>
        <w:ind w:left="1220" w:right="60" w:hanging="537"/>
        <w:spacing w:after="0" w:line="252" w:lineRule="auto"/>
        <w:tabs>
          <w:tab w:leader="none" w:pos="122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Reduce time to problem detection and resolution</w:t>
      </w:r>
      <w:r>
        <w:rPr>
          <w:rFonts w:ascii="Arial" w:cs="Arial" w:eastAsia="Arial" w:hAnsi="Arial"/>
          <w:sz w:val="18"/>
          <w:szCs w:val="18"/>
          <w:color w:val="auto"/>
        </w:rPr>
        <w:t>. Using infrastructure, APM and log data in our unified platform, our customers are 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quickly isolate the root cause of application issues in one place where they otherwise would be required to spend hours trying to investigate using multiple tools. Additionally, our machine learning algorithms are trained on the enormous amount of data that our customers send us to detect anomalies and predict failures in customer systems in real time, something that is impossible to do manually. The reduction in mean time to detection, or MTTD, and mean time to resolution, or MTTR, helps our customers avoid lost revenues and enhance customer experience.</w:t>
      </w:r>
    </w:p>
    <w:p>
      <w:pPr>
        <w:sectPr>
          <w:pgSz w:w="11900" w:h="16838" w:orient="portrait"/>
          <w:cols w:equalWidth="0" w:num="1">
            <w:col w:w="11120"/>
          </w:cols>
          <w:pgMar w:left="240" w:top="456" w:right="539" w:bottom="1440" w:gutter="0" w:footer="0" w:header="0"/>
        </w:sectPr>
      </w:pPr>
    </w:p>
    <w:p>
      <w:pPr>
        <w:spacing w:after="0" w:line="12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20"/>
          </w:cols>
          <w:pgMar w:left="240" w:top="456" w:right="5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right="220" w:hanging="537"/>
        <w:spacing w:after="0" w:line="270" w:lineRule="auto"/>
        <w:tabs>
          <w:tab w:leader="none" w:pos="122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Improve agility of development, operations and business teams</w:t>
      </w:r>
      <w:r>
        <w:rPr>
          <w:rFonts w:ascii="Arial" w:cs="Arial" w:eastAsia="Arial" w:hAnsi="Arial"/>
          <w:sz w:val="17"/>
          <w:szCs w:val="17"/>
          <w:color w:val="auto"/>
        </w:rPr>
        <w:t>. We eliminate the historical silos of development and operations teams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provide a platform that enables efficient and agile development through the adoption of DevOps. Our platform enables development and operations teams to collaborate closely with a shared understanding of data and analytics. This helps them develop a joint understanding of application performance and shared insights into the infrastructure supporting the applications. Additionally, for businesses, our customizable and easy-to-understand dashboards can be shared with business teams to provide them with real-time actionable insights into business performance.</w:t>
      </w:r>
    </w:p>
    <w:p>
      <w:pPr>
        <w:spacing w:after="0" w:line="85" w:lineRule="exact"/>
        <w:rPr>
          <w:rFonts w:ascii="Arial" w:cs="Arial" w:eastAsia="Arial" w:hAnsi="Arial"/>
          <w:sz w:val="17"/>
          <w:szCs w:val="17"/>
          <w:color w:val="auto"/>
        </w:rPr>
      </w:pPr>
    </w:p>
    <w:p>
      <w:pPr>
        <w:ind w:left="1220" w:right="140" w:hanging="537"/>
        <w:spacing w:after="0" w:line="290" w:lineRule="auto"/>
        <w:tabs>
          <w:tab w:leader="none" w:pos="122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Enable operational efficiency</w:t>
      </w:r>
      <w:r>
        <w:rPr>
          <w:rFonts w:ascii="Arial" w:cs="Arial" w:eastAsia="Arial" w:hAnsi="Arial"/>
          <w:sz w:val="16"/>
          <w:szCs w:val="16"/>
          <w:color w:val="auto"/>
        </w:rPr>
        <w:t>. Our solution is easy to install, which eliminates the need for heavy implementation costs and professional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We have over 350 out-of-the-box integrations with key technologies, from which our customers can derive significant value, avoiding internal development costs and professional services required to create those integrations. Our customer-centric pricing model is tailored to customers’ desired usage needs. For example, our log management solution has differentiated pricing for logs indexed versus logs ingested. Our platform empowers customers to better understand the operational needs of their applications and IT environments, enabling greater efficiency in resource allocation and spend on cloud infrastructure.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customers span a variety of industries and their deployments of our platform include a variety of use cases. Customer success stories include:</w:t>
      </w:r>
    </w:p>
    <w:p>
      <w:pPr>
        <w:spacing w:after="0" w:line="151" w:lineRule="exact"/>
        <w:rPr>
          <w:sz w:val="20"/>
          <w:szCs w:val="20"/>
          <w:color w:val="auto"/>
        </w:rPr>
      </w:pPr>
    </w:p>
    <w:p>
      <w:pPr>
        <w:ind w:left="1220" w:right="180" w:hanging="537"/>
        <w:spacing w:after="0" w:line="301" w:lineRule="auto"/>
        <w:tabs>
          <w:tab w:leader="none" w:pos="1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large financial services institution consolidated numerous monitoring tools into a single platform, reducing operational complexity and overhead and offering executives a single source of truth about the health of their business and IT environment.</w:t>
      </w:r>
    </w:p>
    <w:p>
      <w:pPr>
        <w:spacing w:after="0" w:line="58" w:lineRule="exact"/>
        <w:rPr>
          <w:rFonts w:ascii="Arial" w:cs="Arial" w:eastAsia="Arial" w:hAnsi="Arial"/>
          <w:sz w:val="17"/>
          <w:szCs w:val="17"/>
          <w:color w:val="auto"/>
        </w:rPr>
      </w:pPr>
    </w:p>
    <w:p>
      <w:pPr>
        <w:ind w:left="1220" w:right="220" w:hanging="537"/>
        <w:spacing w:after="0" w:line="335" w:lineRule="auto"/>
        <w:tabs>
          <w:tab w:leader="none" w:pos="1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Fortune 100 pharmaceutical company monitors across public cloud, containerized and on-premise environments, helping eliminate engineers’ alert fatigue from disparate tools, reducing mean time to resolution and improving compliance with service-level agreements.</w:t>
      </w:r>
    </w:p>
    <w:p>
      <w:pPr>
        <w:spacing w:after="0" w:line="34" w:lineRule="exact"/>
        <w:rPr>
          <w:rFonts w:ascii="Arial" w:cs="Arial" w:eastAsia="Arial" w:hAnsi="Arial"/>
          <w:sz w:val="16"/>
          <w:szCs w:val="16"/>
          <w:color w:val="auto"/>
        </w:rPr>
      </w:pPr>
    </w:p>
    <w:p>
      <w:pPr>
        <w:ind w:left="1220" w:right="420" w:hanging="537"/>
        <w:spacing w:after="0" w:line="271" w:lineRule="auto"/>
        <w:tabs>
          <w:tab w:leader="none" w:pos="1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global shipping and logistics company accelerates the delivery and development of applications, providing them the ability to drive efficiencies in their supply chain, such as fuel cost planning and tracking of shipments.</w:t>
      </w:r>
    </w:p>
    <w:p>
      <w:pPr>
        <w:spacing w:after="0" w:line="81" w:lineRule="exact"/>
        <w:rPr>
          <w:rFonts w:ascii="Arial" w:cs="Arial" w:eastAsia="Arial" w:hAnsi="Arial"/>
          <w:sz w:val="18"/>
          <w:szCs w:val="18"/>
          <w:color w:val="auto"/>
        </w:rPr>
      </w:pPr>
    </w:p>
    <w:p>
      <w:pPr>
        <w:ind w:left="1220" w:hanging="537"/>
        <w:spacing w:after="0" w:line="271" w:lineRule="auto"/>
        <w:tabs>
          <w:tab w:leader="none" w:pos="1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large retailer and e-commerce company avoids website outages that cause lost revenue and enables flexible capacity planning to scale-up infrastructure during peak customer demand.</w:t>
      </w:r>
    </w:p>
    <w:p>
      <w:pPr>
        <w:spacing w:after="0" w:line="81" w:lineRule="exact"/>
        <w:rPr>
          <w:rFonts w:ascii="Arial" w:cs="Arial" w:eastAsia="Arial" w:hAnsi="Arial"/>
          <w:sz w:val="18"/>
          <w:szCs w:val="18"/>
          <w:color w:val="auto"/>
        </w:rPr>
      </w:pPr>
    </w:p>
    <w:p>
      <w:pPr>
        <w:ind w:left="1220" w:right="60" w:hanging="537"/>
        <w:spacing w:after="0" w:line="271" w:lineRule="auto"/>
        <w:tabs>
          <w:tab w:leader="none" w:pos="1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large hospitality company improves development and operations teams collaboration and reduces mean time to resolution by visualizing service inter-dependencies, to ultimately improve customer satisfaction.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Opportunity</w:t>
      </w:r>
    </w:p>
    <w:p>
      <w:pPr>
        <w:spacing w:after="0" w:line="225" w:lineRule="exact"/>
        <w:rPr>
          <w:sz w:val="20"/>
          <w:szCs w:val="20"/>
          <w:color w:val="auto"/>
        </w:rPr>
      </w:pPr>
    </w:p>
    <w:p>
      <w:pPr>
        <w:ind w:left="260" w:right="20" w:firstLine="437"/>
        <w:spacing w:after="0" w:line="252" w:lineRule="auto"/>
        <w:rPr>
          <w:sz w:val="20"/>
          <w:szCs w:val="20"/>
          <w:color w:val="auto"/>
        </w:rPr>
      </w:pPr>
      <w:r>
        <w:rPr>
          <w:rFonts w:ascii="Arial" w:cs="Arial" w:eastAsia="Arial" w:hAnsi="Arial"/>
          <w:sz w:val="18"/>
          <w:szCs w:val="18"/>
          <w:color w:val="auto"/>
        </w:rPr>
        <w:t>Our platform provides comprehensive visibility and insights into IT infrastructure, application performance and the real time events impacting this performance. Our platform is employed across public cloud, private cloud, on-premise and multi-cloud hybrid environments. We believe that our platform currently addresses a significant portion of the IT Operations Management market. According to Gartner, the IT Operations Management market represents a $37 billion opportunity in 2023. We believe a large portion of this spend is for legacy on-premise and private cloud environments, but does not fully include the opportunity in modern multi-cloud and hybrid cloud environments. Our platform is designed to address both legacy and modern environments.</w:t>
      </w:r>
    </w:p>
    <w:p>
      <w:pPr>
        <w:spacing w:after="0" w:line="195" w:lineRule="exact"/>
        <w:rPr>
          <w:sz w:val="20"/>
          <w:szCs w:val="20"/>
          <w:color w:val="auto"/>
        </w:rPr>
      </w:pPr>
    </w:p>
    <w:p>
      <w:pPr>
        <w:jc w:val="both"/>
        <w:ind w:left="260" w:right="60" w:firstLine="437"/>
        <w:spacing w:after="0" w:line="275" w:lineRule="auto"/>
        <w:rPr>
          <w:sz w:val="20"/>
          <w:szCs w:val="20"/>
          <w:color w:val="auto"/>
        </w:rPr>
      </w:pPr>
      <w:r>
        <w:rPr>
          <w:rFonts w:ascii="Arial" w:cs="Arial" w:eastAsia="Arial" w:hAnsi="Arial"/>
          <w:sz w:val="17"/>
          <w:szCs w:val="17"/>
          <w:color w:val="auto"/>
        </w:rPr>
        <w:t>We estimate our current market opportunity to be approximately $35 billion. We calculate this figure using the total number of global companies with 200 or more employees, which we determined by referencing independent industry data from the S&amp;P Capital IQ database. We then segment these companies into two cohorts based on the number of employees: companies that have between 200 and 999 employees and companies that have 1,000 or more employees. We then multiply the number of companies in each cohort by the average ARR</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6"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40"/>
        <w:spacing w:after="0" w:line="259" w:lineRule="auto"/>
        <w:rPr>
          <w:sz w:val="20"/>
          <w:szCs w:val="20"/>
          <w:color w:val="auto"/>
        </w:rPr>
      </w:pPr>
      <w:r>
        <w:rPr>
          <w:rFonts w:ascii="Arial" w:cs="Arial" w:eastAsia="Arial" w:hAnsi="Arial"/>
          <w:sz w:val="18"/>
          <w:szCs w:val="18"/>
          <w:color w:val="auto"/>
        </w:rPr>
        <w:t>per customer for each of our platform products. Our average ARR per customer is defined as the ARR in each platform product, for customers in the corresponding cohort of employee count, divided by the total number of customers in the corresponding platform product and cohort of employee count, as of June 30, 2019.</w:t>
      </w:r>
    </w:p>
    <w:p>
      <w:pPr>
        <w:spacing w:after="0" w:line="186" w:lineRule="exact"/>
        <w:rPr>
          <w:sz w:val="20"/>
          <w:szCs w:val="20"/>
          <w:color w:val="auto"/>
        </w:rPr>
      </w:pPr>
    </w:p>
    <w:p>
      <w:pPr>
        <w:ind w:left="260" w:right="420" w:firstLine="437"/>
        <w:spacing w:after="0" w:line="335" w:lineRule="auto"/>
        <w:rPr>
          <w:sz w:val="20"/>
          <w:szCs w:val="20"/>
          <w:color w:val="auto"/>
        </w:rPr>
      </w:pPr>
      <w:r>
        <w:rPr>
          <w:rFonts w:ascii="Arial" w:cs="Arial" w:eastAsia="Arial" w:hAnsi="Arial"/>
          <w:sz w:val="16"/>
          <w:szCs w:val="16"/>
          <w:color w:val="auto"/>
        </w:rPr>
        <w:t>We believe that we are currently underpenetrated in our existing customer base. We expect our estimated market opportunity will continue to expand as customers deploy our solution across a larger portion of their IT environments and adopt a greater number of our platform products.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Growth Strategies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intend to pursue the following growth strategies:</w:t>
      </w:r>
    </w:p>
    <w:p>
      <w:pPr>
        <w:spacing w:after="0" w:line="128" w:lineRule="exact"/>
        <w:rPr>
          <w:sz w:val="20"/>
          <w:szCs w:val="20"/>
          <w:color w:val="auto"/>
        </w:rPr>
      </w:pPr>
    </w:p>
    <w:p>
      <w:pPr>
        <w:ind w:left="1220" w:right="240" w:hanging="537"/>
        <w:spacing w:after="0" w:line="259" w:lineRule="auto"/>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by acquiring new customers</w:t>
      </w:r>
      <w:r>
        <w:rPr>
          <w:rFonts w:ascii="Arial" w:cs="Arial" w:eastAsia="Arial" w:hAnsi="Arial"/>
          <w:sz w:val="18"/>
          <w:szCs w:val="18"/>
          <w:color w:val="auto"/>
        </w:rPr>
        <w:t>. Our market penetration is low. We believe there is a substantial opportunity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our customer base. We intend to drive new customer additions by expanding our sales and marketing efforts in the markets we serve.</w:t>
      </w:r>
    </w:p>
    <w:p>
      <w:pPr>
        <w:spacing w:after="0" w:line="92" w:lineRule="exact"/>
        <w:rPr>
          <w:rFonts w:ascii="Arial" w:cs="Arial" w:eastAsia="Arial" w:hAnsi="Arial"/>
          <w:sz w:val="18"/>
          <w:szCs w:val="18"/>
          <w:color w:val="auto"/>
        </w:rPr>
      </w:pPr>
    </w:p>
    <w:p>
      <w:pPr>
        <w:ind w:left="1220" w:hanging="537"/>
        <w:spacing w:after="0" w:line="254" w:lineRule="auto"/>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existing customer base through broader deployments, new use cases and new product adoption</w:t>
      </w:r>
      <w:r>
        <w:rPr>
          <w:rFonts w:ascii="Arial" w:cs="Arial" w:eastAsia="Arial" w:hAnsi="Arial"/>
          <w:sz w:val="18"/>
          <w:szCs w:val="18"/>
          <w:color w:val="auto"/>
        </w:rPr>
        <w:t>.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8,800 customers represents a significant opportunity for further sales expansion. For example, for the six months ended June 30, 2019, over 35% of new ARR came from our newer platform products, APM and logs, up from over 10% in the same period a year earlier. We plan to continue to increase sales within our existing customer base through increased usage of our platform and the cross selling of additional products.</w:t>
      </w:r>
    </w:p>
    <w:p>
      <w:pPr>
        <w:spacing w:after="0" w:line="95" w:lineRule="exact"/>
        <w:rPr>
          <w:rFonts w:ascii="Arial" w:cs="Arial" w:eastAsia="Arial" w:hAnsi="Arial"/>
          <w:sz w:val="18"/>
          <w:szCs w:val="18"/>
          <w:color w:val="auto"/>
        </w:rPr>
      </w:pPr>
    </w:p>
    <w:p>
      <w:pPr>
        <w:ind w:left="1220" w:right="40" w:hanging="537"/>
        <w:spacing w:after="0" w:line="288" w:lineRule="auto"/>
        <w:tabs>
          <w:tab w:leader="none" w:pos="122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technology leadership through continued investment and new products</w:t>
      </w:r>
      <w:r>
        <w:rPr>
          <w:rFonts w:ascii="Arial" w:cs="Arial" w:eastAsia="Arial" w:hAnsi="Arial"/>
          <w:sz w:val="16"/>
          <w:szCs w:val="16"/>
          <w:color w:val="auto"/>
        </w:rPr>
        <w:t>. Our goal is to expand our platform over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beyond our current three pillars of observability. We intend to invest in expanding the functionality of our current platform and adding capabilities that address new market opportunities. We have a history of continued innovation. For example, in 2017 we launched APM, in 2018 we launched log management, and in 2019 we launched user experience monitoring as well as announced network performance monitoring. This innovation strategy will provide new avenues for growth and allow us to continue to deliver differentiated outcomes to our customers. We have also selectively pursued acquisitions and strategic investments in businesses and technologies to drive product and market expansion and will continue to evaluate strategic acquisitions and investments on a case-by-case basis.</w:t>
      </w:r>
    </w:p>
    <w:p>
      <w:pPr>
        <w:spacing w:after="0" w:line="73" w:lineRule="exact"/>
        <w:rPr>
          <w:rFonts w:ascii="Arial" w:cs="Arial" w:eastAsia="Arial" w:hAnsi="Arial"/>
          <w:sz w:val="16"/>
          <w:szCs w:val="16"/>
          <w:color w:val="auto"/>
        </w:rPr>
      </w:pPr>
    </w:p>
    <w:p>
      <w:pPr>
        <w:ind w:left="1220" w:right="100" w:hanging="537"/>
        <w:spacing w:after="0" w:line="254" w:lineRule="auto"/>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customer base internationally</w:t>
      </w:r>
      <w:r>
        <w:rPr>
          <w:rFonts w:ascii="Arial" w:cs="Arial" w:eastAsia="Arial" w:hAnsi="Arial"/>
          <w:sz w:val="18"/>
          <w:szCs w:val="18"/>
          <w:color w:val="auto"/>
        </w:rPr>
        <w:t>. We believe there is a significant opportunity to expand usage of our platform outside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as international markets have increased the shift of their IT spend to the cloud. We have made significant investments in expanding our presence in EMEA and APAC. As of December 31, 2018, approximately 24% of our ARR came from customers outside of North America. We intend to add international sales team members to take advantage of this market opportunity while refining our go-to-market approach based on local market dynamics.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Platform</w:t>
      </w:r>
    </w:p>
    <w:p>
      <w:pPr>
        <w:spacing w:after="0" w:line="225" w:lineRule="exact"/>
        <w:rPr>
          <w:sz w:val="20"/>
          <w:szCs w:val="20"/>
          <w:color w:val="auto"/>
        </w:rPr>
      </w:pPr>
    </w:p>
    <w:p>
      <w:pPr>
        <w:ind w:left="260" w:right="160" w:firstLine="437"/>
        <w:spacing w:after="0" w:line="269" w:lineRule="auto"/>
        <w:rPr>
          <w:sz w:val="20"/>
          <w:szCs w:val="20"/>
          <w:color w:val="auto"/>
        </w:rPr>
      </w:pPr>
      <w:r>
        <w:rPr>
          <w:rFonts w:ascii="Arial" w:cs="Arial" w:eastAsia="Arial" w:hAnsi="Arial"/>
          <w:sz w:val="17"/>
          <w:szCs w:val="17"/>
          <w:color w:val="auto"/>
        </w:rPr>
        <w:t>Our proprietary platform provides real-time insights into software applications and IT infrastructure performance to enable better user experiences, faster problem detection and resolution and smarter, more impactful business decisions. Our platform is also modular and includes infrastructure monitoring, application performance monitoring, log management, user experience monitoring and network performance monitoring, as well as a range of shared features such as sophisticated dashboards, advanced analytics, collaboration tools and alerting capabilities. Each of our products is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79" w:lineRule="exact"/>
        <w:rPr>
          <w:sz w:val="20"/>
          <w:szCs w:val="20"/>
          <w:color w:val="auto"/>
        </w:rPr>
      </w:pPr>
    </w:p>
    <w:p>
      <w:pPr>
        <w:ind w:left="260" w:right="20" w:firstLine="437"/>
        <w:spacing w:after="0" w:line="271" w:lineRule="auto"/>
        <w:rPr>
          <w:sz w:val="20"/>
          <w:szCs w:val="20"/>
          <w:color w:val="auto"/>
        </w:rPr>
      </w:pPr>
      <w:r>
        <w:rPr>
          <w:rFonts w:ascii="Arial" w:cs="Arial" w:eastAsia="Arial" w:hAnsi="Arial"/>
          <w:sz w:val="18"/>
          <w:szCs w:val="18"/>
          <w:color w:val="auto"/>
        </w:rPr>
        <w:t>Our platform is supported by hundreds of integrations to seamlessly aggregate metrics and events across all of the systems and services that power digital businesses. Our easy-to-use platform is deployed through a self-</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6"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40"/>
        <w:spacing w:after="0" w:line="282" w:lineRule="auto"/>
        <w:rPr>
          <w:sz w:val="20"/>
          <w:szCs w:val="20"/>
          <w:color w:val="auto"/>
        </w:rPr>
      </w:pPr>
      <w:r>
        <w:rPr>
          <w:rFonts w:ascii="Arial" w:cs="Arial" w:eastAsia="Arial" w:hAnsi="Arial"/>
          <w:sz w:val="17"/>
          <w:szCs w:val="17"/>
          <w:color w:val="auto"/>
        </w:rPr>
        <w:t>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more than 10 trillion events a day and millions of servers and containers.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208915</wp:posOffset>
            </wp:positionV>
            <wp:extent cx="6976110" cy="3288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76110" cy="328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key elements that can be leveraged across our platform:</w:t>
      </w:r>
    </w:p>
    <w:p>
      <w:pPr>
        <w:spacing w:after="0" w:line="128" w:lineRule="exact"/>
        <w:rPr>
          <w:sz w:val="20"/>
          <w:szCs w:val="20"/>
          <w:color w:val="auto"/>
        </w:rPr>
      </w:pPr>
    </w:p>
    <w:p>
      <w:pPr>
        <w:ind w:left="1220" w:right="100" w:hanging="537"/>
        <w:spacing w:after="0" w:line="297" w:lineRule="auto"/>
        <w:tabs>
          <w:tab w:leader="none" w:pos="122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Single pane of glass</w:t>
      </w:r>
      <w:r>
        <w:rPr>
          <w:rFonts w:ascii="Arial" w:cs="Arial" w:eastAsia="Arial" w:hAnsi="Arial"/>
          <w:sz w:val="16"/>
          <w:szCs w:val="16"/>
          <w:color w:val="auto"/>
        </w:rPr>
        <w:t>. Our ability to provide a unified source of data enables users to access information from a single platform and easily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explore multiple data sources. Through a single dashboard and with a common data framework, users are able to access and explore all of the relevant performance data from their applications, hosts, containers and services. Users are able to more quickly assess and resolve their issues without having to toggle between multiple products and translate multiple data sources.</w:t>
      </w:r>
    </w:p>
    <w:p>
      <w:pPr>
        <w:spacing w:after="0" w:line="66" w:lineRule="exact"/>
        <w:rPr>
          <w:rFonts w:ascii="Arial" w:cs="Arial" w:eastAsia="Arial" w:hAnsi="Arial"/>
          <w:sz w:val="16"/>
          <w:szCs w:val="16"/>
          <w:color w:val="auto"/>
        </w:rPr>
      </w:pPr>
    </w:p>
    <w:p>
      <w:pPr>
        <w:ind w:left="1220" w:hanging="537"/>
        <w:spacing w:after="0" w:line="269" w:lineRule="auto"/>
        <w:tabs>
          <w:tab w:leader="none" w:pos="122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Robust, deep data set</w:t>
      </w:r>
      <w:r>
        <w:rPr>
          <w:rFonts w:ascii="Arial" w:cs="Arial" w:eastAsia="Arial" w:hAnsi="Arial"/>
          <w:sz w:val="17"/>
          <w:szCs w:val="17"/>
          <w:color w:val="auto"/>
        </w:rPr>
        <w:t>. Our client-side collection technology is built on a unified data model and relies on installation of a single agent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metrics, traces, and logs, allowing for a simple, seamless deployment experience for the customers. We ingest massive amounts of complex data and normalize it. The volume of data associated with combining infrastructure, APM and log management provides for a dramatically more robust data set than any of the individual data sources would provide on their own. Having insight across all of these data points and understanding their measurements leading up to prior incidents provides for a more in-depth understanding of root cause analysis and potential performance issues. We provide code level visibility to identify the specific cause of the issue, allowing for a targeted remediation effort with minimal turnaround time.</w:t>
      </w:r>
    </w:p>
    <w:p>
      <w:pPr>
        <w:spacing w:after="0" w:line="85" w:lineRule="exact"/>
        <w:rPr>
          <w:rFonts w:ascii="Arial" w:cs="Arial" w:eastAsia="Arial" w:hAnsi="Arial"/>
          <w:sz w:val="17"/>
          <w:szCs w:val="17"/>
          <w:color w:val="auto"/>
        </w:rPr>
      </w:pPr>
    </w:p>
    <w:p>
      <w:pPr>
        <w:ind w:left="1220" w:right="480" w:hanging="537"/>
        <w:spacing w:after="0" w:line="301" w:lineRule="auto"/>
        <w:tabs>
          <w:tab w:leader="none" w:pos="122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SaaS Platform</w:t>
      </w:r>
      <w:r>
        <w:rPr>
          <w:rFonts w:ascii="Arial" w:cs="Arial" w:eastAsia="Arial" w:hAnsi="Arial"/>
          <w:sz w:val="17"/>
          <w:szCs w:val="17"/>
          <w:color w:val="auto"/>
        </w:rPr>
        <w:t>. Our cloud based multi-tenant SaaS platform allows for real-time ingestion, and analysis of massive amounts of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our customers needing to worry about the provisioning, sizing and capacity of their monitoring platform.</w:t>
      </w:r>
    </w:p>
    <w:p>
      <w:pPr>
        <w:spacing w:after="0" w:line="58" w:lineRule="exact"/>
        <w:rPr>
          <w:rFonts w:ascii="Arial" w:cs="Arial" w:eastAsia="Arial" w:hAnsi="Arial"/>
          <w:sz w:val="17"/>
          <w:szCs w:val="17"/>
          <w:color w:val="auto"/>
        </w:rPr>
      </w:pPr>
    </w:p>
    <w:p>
      <w:pPr>
        <w:ind w:left="1220" w:right="40" w:hanging="537"/>
        <w:spacing w:after="0" w:line="255" w:lineRule="auto"/>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Unified data model</w:t>
      </w:r>
      <w:r>
        <w:rPr>
          <w:rFonts w:ascii="Arial" w:cs="Arial" w:eastAsia="Arial" w:hAnsi="Arial"/>
          <w:sz w:val="18"/>
          <w:szCs w:val="18"/>
          <w:color w:val="auto"/>
        </w:rPr>
        <w:t>. Our platform automatically combines related monitoring and analytics data such as metrics, APM and log traces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350 disparate, complex sources of data through our technology integrations. Our unified data model enables development and operations teams to quickly troubleshoot and diagnose in one place instead of having to manually track the health and performance of their applications across several different software tools.</w:t>
      </w:r>
    </w:p>
    <w:p>
      <w:pPr>
        <w:spacing w:after="0" w:line="97" w:lineRule="exact"/>
        <w:rPr>
          <w:rFonts w:ascii="Arial" w:cs="Arial" w:eastAsia="Arial" w:hAnsi="Arial"/>
          <w:sz w:val="18"/>
          <w:szCs w:val="18"/>
          <w:color w:val="auto"/>
        </w:rPr>
      </w:pPr>
    </w:p>
    <w:p>
      <w:pPr>
        <w:ind w:left="1220" w:right="500" w:hanging="537"/>
        <w:spacing w:after="0" w:line="271" w:lineRule="auto"/>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Cross-correlation</w:t>
      </w:r>
      <w:r>
        <w:rPr>
          <w:rFonts w:ascii="Arial" w:cs="Arial" w:eastAsia="Arial" w:hAnsi="Arial"/>
          <w:sz w:val="18"/>
          <w:szCs w:val="18"/>
          <w:color w:val="auto"/>
        </w:rPr>
        <w:t>. All of our solutions are integrated and work cohesively to provide a deep level of context and insight into what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occurring in a customer’s IT environment. By integrating infrastructure</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60"/>
          </w:cols>
          <w:pgMar w:left="24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40" w:right="180"/>
        <w:spacing w:after="0" w:line="255" w:lineRule="auto"/>
        <w:rPr>
          <w:sz w:val="20"/>
          <w:szCs w:val="20"/>
          <w:color w:val="auto"/>
        </w:rPr>
      </w:pPr>
      <w:r>
        <w:rPr>
          <w:rFonts w:ascii="Arial" w:cs="Arial" w:eastAsia="Arial" w:hAnsi="Arial"/>
          <w:sz w:val="18"/>
          <w:szCs w:val="18"/>
          <w:color w:val="auto"/>
        </w:rPr>
        <w:t>monitoring, application performance monitoring and log management in a single platform, our clients are able to analyze cross-correlations between metrics, traces and logs in one platform, at a deeper level, and resolve issues more quickly than if the products are used separately. Our platform’s ability to apply machine learning and cross-correlation to all of the data contained in our platform allows for users to predict likely issues, and proactively remediate them before they occur.</w:t>
      </w:r>
    </w:p>
    <w:p>
      <w:pPr>
        <w:spacing w:after="0" w:line="97" w:lineRule="exact"/>
        <w:rPr>
          <w:sz w:val="20"/>
          <w:szCs w:val="20"/>
          <w:color w:val="auto"/>
        </w:rPr>
      </w:pPr>
    </w:p>
    <w:p>
      <w:pPr>
        <w:ind w:left="1220" w:right="140" w:hanging="537"/>
        <w:spacing w:after="0" w:line="255" w:lineRule="auto"/>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Out-of-the-box, actionable insights</w:t>
      </w:r>
      <w:r>
        <w:rPr>
          <w:rFonts w:ascii="Arial" w:cs="Arial" w:eastAsia="Arial" w:hAnsi="Arial"/>
          <w:sz w:val="18"/>
          <w:szCs w:val="18"/>
          <w:color w:val="auto"/>
        </w:rPr>
        <w:t>. From the moment of installation, our platform provides actionable insights through customizable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dashboards, predictive analytics, automated correlations, visualizations and alerting. These insights enable customers to develop and update mission-critical applications with agility and confidence in the face of increasing business and time pressure, as well as increasing complexity of underlying infrastructure.</w:t>
      </w:r>
    </w:p>
    <w:p>
      <w:pPr>
        <w:spacing w:after="0" w:line="97" w:lineRule="exact"/>
        <w:rPr>
          <w:rFonts w:ascii="Arial" w:cs="Arial" w:eastAsia="Arial" w:hAnsi="Arial"/>
          <w:sz w:val="18"/>
          <w:szCs w:val="18"/>
          <w:color w:val="auto"/>
        </w:rPr>
      </w:pPr>
    </w:p>
    <w:p>
      <w:pPr>
        <w:ind w:left="1220" w:right="40" w:hanging="537"/>
        <w:spacing w:after="0" w:line="269" w:lineRule="auto"/>
        <w:tabs>
          <w:tab w:leader="none" w:pos="122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High accuracy machine-learning capabilities and predictive capabilities powered by the network effect</w:t>
      </w:r>
      <w:r>
        <w:rPr>
          <w:rFonts w:ascii="Arial" w:cs="Arial" w:eastAsia="Arial" w:hAnsi="Arial"/>
          <w:sz w:val="17"/>
          <w:szCs w:val="17"/>
          <w:color w:val="auto"/>
        </w:rPr>
        <w:t>. Our multi-tenant cloud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analyzes massive data sets ingested across our customers and their IT environments. It uses machine learning to predict and identify sources of performance or availability issues that customers share due to dependencies on common service providers or third-party services. Additionally, our algorithms look at historical behavior, in context, in order to predict issues before they occur. Our platform allows users to quickly and easily discern if an incident or service impact was caused by code changes, infrastructure degradation or third-party dependencies and provides them with the visibility to identify the scope of business impact and root cause. This allows for a targeted and prioritized remediation plan, reducing time to recovery.</w:t>
      </w:r>
    </w:p>
    <w:p>
      <w:pPr>
        <w:spacing w:after="0" w:line="85" w:lineRule="exact"/>
        <w:rPr>
          <w:rFonts w:ascii="Arial" w:cs="Arial" w:eastAsia="Arial" w:hAnsi="Arial"/>
          <w:sz w:val="17"/>
          <w:szCs w:val="17"/>
          <w:color w:val="auto"/>
        </w:rPr>
      </w:pPr>
    </w:p>
    <w:p>
      <w:pPr>
        <w:ind w:left="1220" w:right="180" w:hanging="537"/>
        <w:spacing w:after="0" w:line="254" w:lineRule="auto"/>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350+ fully supported integrations</w:t>
      </w:r>
      <w:r>
        <w:rPr>
          <w:rFonts w:ascii="Arial" w:cs="Arial" w:eastAsia="Arial" w:hAnsi="Arial"/>
          <w:sz w:val="18"/>
          <w:szCs w:val="18"/>
          <w:color w:val="auto"/>
        </w:rPr>
        <w:t>. We offer more than 350 out-of-the-box integrations including public cloud, private cloud, on-premise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hardware, databases and third-party software. Our integrations normalize complex data streams and are highly robust. We believe we provide more data points than our competitors. These out-of-the-box integrations have easy-to-use APIs that quickly and efficiently connect to a broad range of technologies and the data that they generate. Our integrations do not require any professional services to implement.</w:t>
      </w:r>
    </w:p>
    <w:p>
      <w:pPr>
        <w:spacing w:after="0" w:line="95" w:lineRule="exact"/>
        <w:rPr>
          <w:rFonts w:ascii="Arial" w:cs="Arial" w:eastAsia="Arial" w:hAnsi="Arial"/>
          <w:sz w:val="18"/>
          <w:szCs w:val="18"/>
          <w:color w:val="auto"/>
        </w:rPr>
      </w:pPr>
    </w:p>
    <w:p>
      <w:pPr>
        <w:jc w:val="both"/>
        <w:ind w:left="1220" w:right="120" w:hanging="537"/>
        <w:spacing w:after="0" w:line="259" w:lineRule="auto"/>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alerts</w:t>
      </w:r>
      <w:r>
        <w:rPr>
          <w:rFonts w:ascii="Arial" w:cs="Arial" w:eastAsia="Arial" w:hAnsi="Arial"/>
          <w:sz w:val="18"/>
          <w:szCs w:val="18"/>
          <w:color w:val="auto"/>
        </w:rPr>
        <w:t>. We offer sophisticated real time alerting capabilities in the platform that detects issues, alerts users, and integrates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service management systems. The alerting provides for expressing complex user-defined rules as well as fully-automated, machine-learning based predictions, anomaly and outlier detection.</w:t>
      </w:r>
    </w:p>
    <w:p>
      <w:pPr>
        <w:spacing w:after="0" w:line="92" w:lineRule="exact"/>
        <w:rPr>
          <w:rFonts w:ascii="Arial" w:cs="Arial" w:eastAsia="Arial" w:hAnsi="Arial"/>
          <w:sz w:val="18"/>
          <w:szCs w:val="18"/>
          <w:color w:val="auto"/>
        </w:rPr>
      </w:pPr>
    </w:p>
    <w:p>
      <w:pPr>
        <w:ind w:left="1220" w:right="140" w:hanging="537"/>
        <w:spacing w:after="0" w:line="259" w:lineRule="auto"/>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Trace, log, metric, synthetics correlation</w:t>
      </w:r>
      <w:r>
        <w:rPr>
          <w:rFonts w:ascii="Arial" w:cs="Arial" w:eastAsia="Arial" w:hAnsi="Arial"/>
          <w:sz w:val="18"/>
          <w:szCs w:val="18"/>
          <w:color w:val="auto"/>
        </w:rPr>
        <w:t>. Correlation of infrastructure metrics, APM traces, log data and synthetics not only identifies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what issues may be occurring in an application, but also provides a deeper understanding of the root cause of the issues and powers faster troubleshooting.</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platform consists of five products that can be used individually or as a unified solution, including:</w:t>
      </w:r>
    </w:p>
    <w:p>
      <w:pPr>
        <w:spacing w:after="0" w:line="128" w:lineRule="exact"/>
        <w:rPr>
          <w:sz w:val="20"/>
          <w:szCs w:val="20"/>
          <w:color w:val="auto"/>
        </w:rPr>
      </w:pPr>
    </w:p>
    <w:p>
      <w:pPr>
        <w:ind w:left="1220" w:right="120" w:hanging="537"/>
        <w:spacing w:after="0" w:line="255" w:lineRule="auto"/>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Monitoring</w:t>
      </w:r>
      <w:r>
        <w:rPr>
          <w:rFonts w:ascii="Arial" w:cs="Arial" w:eastAsia="Arial" w:hAnsi="Arial"/>
          <w:sz w:val="18"/>
          <w:szCs w:val="18"/>
          <w:color w:val="auto"/>
        </w:rPr>
        <w:t>. Our platform provides real-time monitoring of IT infrastructure across public cloud, private cloud and hybrid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ensuring performance and availability of applications. All infrastructure data is located in one repository with automatic correlation, regardless of environment size or rate of change, to provide a fulsome view of everything that is occurring across the IT ecosystem. Key features include:</w:t>
      </w:r>
    </w:p>
    <w:p>
      <w:pPr>
        <w:spacing w:after="0" w:line="97" w:lineRule="exact"/>
        <w:rPr>
          <w:rFonts w:ascii="Arial" w:cs="Arial" w:eastAsia="Arial" w:hAnsi="Arial"/>
          <w:sz w:val="18"/>
          <w:szCs w:val="18"/>
          <w:color w:val="auto"/>
        </w:rPr>
      </w:pPr>
    </w:p>
    <w:p>
      <w:pPr>
        <w:ind w:left="1660" w:hanging="429"/>
        <w:spacing w:after="0" w:line="254" w:lineRule="auto"/>
        <w:tabs>
          <w:tab w:leader="none" w:pos="166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Dashboarding and correlation analysis</w:t>
      </w:r>
      <w:r>
        <w:rPr>
          <w:rFonts w:ascii="Arial" w:cs="Arial" w:eastAsia="Arial" w:hAnsi="Arial"/>
          <w:sz w:val="18"/>
          <w:szCs w:val="18"/>
          <w:color w:val="auto"/>
        </w:rPr>
        <w:t>. Our platform centralizes the monitoring of systems and services in easy-to-use,</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customizable dashboards, created by dragging and dropping widgets, and visualizations. Our unified dashboards allow for a common framework across Dev and Ops teams to provide a joint understanding of infrastructure and application performance. Data from integrations and other products can be consolidated in the same dashboard and events can be correlated with metrics data allowing for a deep level of context and insight into IT and business performance.</w:t>
      </w:r>
    </w:p>
    <w:p>
      <w:pPr>
        <w:spacing w:after="0" w:line="95" w:lineRule="exact"/>
        <w:rPr>
          <w:rFonts w:ascii="Arial" w:cs="Arial" w:eastAsia="Arial" w:hAnsi="Arial"/>
          <w:sz w:val="18"/>
          <w:szCs w:val="18"/>
          <w:color w:val="auto"/>
        </w:rPr>
      </w:pPr>
    </w:p>
    <w:p>
      <w:pPr>
        <w:ind w:left="1660" w:right="60" w:hanging="429"/>
        <w:spacing w:after="0" w:line="271" w:lineRule="auto"/>
        <w:tabs>
          <w:tab w:leader="none" w:pos="166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Infrastructure visualization</w:t>
      </w:r>
      <w:r>
        <w:rPr>
          <w:rFonts w:ascii="Arial" w:cs="Arial" w:eastAsia="Arial" w:hAnsi="Arial"/>
          <w:sz w:val="18"/>
          <w:szCs w:val="18"/>
          <w:color w:val="auto"/>
        </w:rPr>
        <w:t>. We offer the capability to discover and assess an entire infrastructure in a single view, from the simplest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most massive ecosystems comprised of hundreds of</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24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thousands of hosts or containers. This allows users to quickly understand the topology and health of their infrastructure assets.</w:t>
      </w:r>
    </w:p>
    <w:p>
      <w:pPr>
        <w:spacing w:after="0" w:line="151" w:lineRule="exact"/>
        <w:rPr>
          <w:sz w:val="20"/>
          <w:szCs w:val="20"/>
          <w:color w:val="auto"/>
        </w:rPr>
      </w:pPr>
    </w:p>
    <w:p>
      <w:pPr>
        <w:ind w:left="1660" w:right="120" w:hanging="429"/>
        <w:spacing w:after="0" w:line="282" w:lineRule="auto"/>
        <w:tabs>
          <w:tab w:leader="none" w:pos="1660"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Data retention</w:t>
      </w:r>
      <w:r>
        <w:rPr>
          <w:rFonts w:ascii="Arial" w:cs="Arial" w:eastAsia="Arial" w:hAnsi="Arial"/>
          <w:sz w:val="17"/>
          <w:szCs w:val="17"/>
          <w:color w:val="auto"/>
        </w:rPr>
        <w:t>. We use our proprietary data storage to retain data at full granularity for brief or extensive periods of time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insight into performance and analyze historical trends. The full granularity of data retention provides for high accuracy machine learning and the unique ability to examine and compare two time periods for highly seasonal businesses.</w:t>
      </w:r>
    </w:p>
    <w:p>
      <w:pPr>
        <w:spacing w:after="0" w:line="73" w:lineRule="exact"/>
        <w:rPr>
          <w:rFonts w:ascii="Arial" w:cs="Arial" w:eastAsia="Arial" w:hAnsi="Arial"/>
          <w:sz w:val="17"/>
          <w:szCs w:val="17"/>
          <w:color w:val="auto"/>
        </w:rPr>
      </w:pPr>
    </w:p>
    <w:p>
      <w:pPr>
        <w:ind w:left="1660" w:right="180" w:hanging="429"/>
        <w:spacing w:after="0" w:line="307" w:lineRule="auto"/>
        <w:tabs>
          <w:tab w:leader="none" w:pos="16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Business metrics</w:t>
      </w:r>
      <w:r>
        <w:rPr>
          <w:rFonts w:ascii="Arial" w:cs="Arial" w:eastAsia="Arial" w:hAnsi="Arial"/>
          <w:sz w:val="16"/>
          <w:szCs w:val="16"/>
          <w:color w:val="auto"/>
        </w:rPr>
        <w:t>. Metrics such as shopping cart purchases, hotel check-ins, or ad impressions served are ingested and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giving users insight not only into their infrastructure and application performance but also business performance. Organizations use these metrics so that a business user can understand and manage mission-critical digital operations.</w:t>
      </w:r>
    </w:p>
    <w:p>
      <w:pPr>
        <w:spacing w:after="0" w:line="56" w:lineRule="exact"/>
        <w:rPr>
          <w:rFonts w:ascii="Arial" w:cs="Arial" w:eastAsia="Arial" w:hAnsi="Arial"/>
          <w:sz w:val="16"/>
          <w:szCs w:val="16"/>
          <w:color w:val="auto"/>
        </w:rPr>
      </w:pPr>
    </w:p>
    <w:p>
      <w:pPr>
        <w:ind w:left="1660" w:hanging="429"/>
        <w:spacing w:after="0" w:line="272" w:lineRule="auto"/>
        <w:tabs>
          <w:tab w:leader="none" w:pos="1660"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Anomaly detection</w:t>
      </w:r>
      <w:r>
        <w:rPr>
          <w:rFonts w:ascii="Arial" w:cs="Arial" w:eastAsia="Arial" w:hAnsi="Arial"/>
          <w:sz w:val="17"/>
          <w:szCs w:val="17"/>
          <w:color w:val="auto"/>
        </w:rPr>
        <w:t>. Our platform provides predictive capabilities that identify potential faults and allow our customers to identify</w:t>
      </w:r>
      <w:r>
        <w:rPr>
          <w:rFonts w:ascii="Arial" w:cs="Arial" w:eastAsia="Arial" w:hAnsi="Arial"/>
          <w:sz w:val="17"/>
          <w:szCs w:val="17"/>
          <w:i w:val="1"/>
          <w:iCs w:val="1"/>
          <w:color w:val="auto"/>
        </w:rPr>
        <w:t xml:space="preserve"> </w:t>
      </w:r>
      <w:r>
        <w:rPr>
          <w:rFonts w:ascii="Arial" w:cs="Arial" w:eastAsia="Arial" w:hAnsi="Arial"/>
          <w:sz w:val="17"/>
          <w:szCs w:val="17"/>
          <w:color w:val="auto"/>
        </w:rPr>
        <w:t>and mitigate potential issues before their businesses are impacted. Our platform observes and correlates historic and real-time signals across combined inputs to identify anomalous behaviors as well as forecast upcoming user facing impact. These combined data provide our machine-learning models deeper understanding of a given application or service, allowing the platform to more quickly identify and raise potential service impact than any single data set would on its own.</w:t>
      </w:r>
    </w:p>
    <w:p>
      <w:pPr>
        <w:spacing w:after="0" w:line="83" w:lineRule="exact"/>
        <w:rPr>
          <w:rFonts w:ascii="Arial" w:cs="Arial" w:eastAsia="Arial" w:hAnsi="Arial"/>
          <w:sz w:val="17"/>
          <w:szCs w:val="17"/>
          <w:color w:val="auto"/>
        </w:rPr>
      </w:pPr>
    </w:p>
    <w:p>
      <w:pPr>
        <w:ind w:left="1660" w:right="80" w:hanging="429"/>
        <w:spacing w:after="0" w:line="282" w:lineRule="auto"/>
        <w:tabs>
          <w:tab w:leader="none" w:pos="1660"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Host monitoring</w:t>
      </w:r>
      <w:r>
        <w:rPr>
          <w:rFonts w:ascii="Arial" w:cs="Arial" w:eastAsia="Arial" w:hAnsi="Arial"/>
          <w:sz w:val="17"/>
          <w:szCs w:val="17"/>
          <w:color w:val="auto"/>
        </w:rPr>
        <w:t>. Our host monitoring functionality provides deep monitoring health and availability of all the servers in a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 Our unique capabilities provide both summary about the hosts as well as detailed information about application components that run on these hosts (e.g. databases, web servers, application servers etc.).</w:t>
      </w:r>
    </w:p>
    <w:p>
      <w:pPr>
        <w:spacing w:after="0" w:line="73" w:lineRule="exact"/>
        <w:rPr>
          <w:rFonts w:ascii="Arial" w:cs="Arial" w:eastAsia="Arial" w:hAnsi="Arial"/>
          <w:sz w:val="17"/>
          <w:szCs w:val="17"/>
          <w:color w:val="auto"/>
        </w:rPr>
      </w:pPr>
    </w:p>
    <w:p>
      <w:pPr>
        <w:ind w:left="1660" w:right="260" w:hanging="429"/>
        <w:spacing w:after="0" w:line="255" w:lineRule="auto"/>
        <w:tabs>
          <w:tab w:leader="none" w:pos="166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Container monitoring</w:t>
      </w:r>
      <w:r>
        <w:rPr>
          <w:rFonts w:ascii="Arial" w:cs="Arial" w:eastAsia="Arial" w:hAnsi="Arial"/>
          <w:sz w:val="18"/>
          <w:szCs w:val="18"/>
          <w:color w:val="auto"/>
        </w:rPr>
        <w:t>. Our container visualization functionality offers real-time insight into the health, resource consumption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containers that enable a global view of a company’s environment, allowing users to dynamically group, filter and explore all containers. This gives users the ability to manage and visualize the ephemeral and complex environments that are increasingly prevalent in modern IT ecosystems.</w:t>
      </w:r>
    </w:p>
    <w:p>
      <w:pPr>
        <w:spacing w:after="0" w:line="97" w:lineRule="exact"/>
        <w:rPr>
          <w:rFonts w:ascii="Arial" w:cs="Arial" w:eastAsia="Arial" w:hAnsi="Arial"/>
          <w:sz w:val="18"/>
          <w:szCs w:val="18"/>
          <w:color w:val="auto"/>
        </w:rPr>
      </w:pPr>
    </w:p>
    <w:p>
      <w:pPr>
        <w:ind w:left="1660" w:right="160" w:hanging="429"/>
        <w:spacing w:after="0" w:line="259" w:lineRule="auto"/>
        <w:tabs>
          <w:tab w:leader="none" w:pos="166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Serverless monitoring</w:t>
      </w:r>
      <w:r>
        <w:rPr>
          <w:rFonts w:ascii="Arial" w:cs="Arial" w:eastAsia="Arial" w:hAnsi="Arial"/>
          <w:sz w:val="18"/>
          <w:szCs w:val="18"/>
          <w:color w:val="auto"/>
        </w:rPr>
        <w:t>. Our customers can search, filter and explore all serverless functions in one central view. Our serverless</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allows users to combine insights across metrics, traces and logs, to ensure serverless functions are performing properly, and troubleshoot issues that arise.</w:t>
      </w:r>
    </w:p>
    <w:p>
      <w:pPr>
        <w:spacing w:after="0" w:line="92" w:lineRule="exact"/>
        <w:rPr>
          <w:rFonts w:ascii="Arial" w:cs="Arial" w:eastAsia="Arial" w:hAnsi="Arial"/>
          <w:sz w:val="18"/>
          <w:szCs w:val="18"/>
          <w:color w:val="auto"/>
        </w:rPr>
      </w:pPr>
    </w:p>
    <w:p>
      <w:pPr>
        <w:ind w:left="1660" w:right="80" w:hanging="429"/>
        <w:spacing w:after="0" w:line="271" w:lineRule="auto"/>
        <w:tabs>
          <w:tab w:leader="none" w:pos="166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Service Level Management</w:t>
      </w:r>
      <w:r>
        <w:rPr>
          <w:rFonts w:ascii="Arial" w:cs="Arial" w:eastAsia="Arial" w:hAnsi="Arial"/>
          <w:sz w:val="18"/>
          <w:szCs w:val="18"/>
          <w:color w:val="auto"/>
        </w:rPr>
        <w:t>. Our customers can easily track SLOs (Service Level Objectives) and performance against error budgets</w:t>
      </w:r>
      <w:r>
        <w:rPr>
          <w:rFonts w:ascii="Arial" w:cs="Arial" w:eastAsia="Arial" w:hAnsi="Arial"/>
          <w:sz w:val="18"/>
          <w:szCs w:val="18"/>
          <w:i w:val="1"/>
          <w:iCs w:val="1"/>
          <w:color w:val="auto"/>
        </w:rPr>
        <w:t xml:space="preserve"> </w:t>
      </w:r>
      <w:r>
        <w:rPr>
          <w:rFonts w:ascii="Arial" w:cs="Arial" w:eastAsia="Arial" w:hAnsi="Arial"/>
          <w:sz w:val="18"/>
          <w:szCs w:val="18"/>
          <w:color w:val="auto"/>
        </w:rPr>
        <w:t>in a simple interface that is relevant to both engineers and business users.</w:t>
      </w:r>
    </w:p>
    <w:p>
      <w:pPr>
        <w:spacing w:after="0" w:line="81" w:lineRule="exact"/>
        <w:rPr>
          <w:rFonts w:ascii="Arial" w:cs="Arial" w:eastAsia="Arial" w:hAnsi="Arial"/>
          <w:sz w:val="18"/>
          <w:szCs w:val="18"/>
          <w:color w:val="auto"/>
        </w:rPr>
      </w:pPr>
    </w:p>
    <w:p>
      <w:pPr>
        <w:ind w:left="1220" w:right="200" w:hanging="537"/>
        <w:spacing w:after="0" w:line="275" w:lineRule="auto"/>
        <w:tabs>
          <w:tab w:leader="none" w:pos="122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Application Performance Monitoring (APM)</w:t>
      </w:r>
      <w:r>
        <w:rPr>
          <w:rFonts w:ascii="Arial" w:cs="Arial" w:eastAsia="Arial" w:hAnsi="Arial"/>
          <w:sz w:val="17"/>
          <w:szCs w:val="17"/>
          <w:color w:val="auto"/>
        </w:rPr>
        <w:t>. We provide full visibility into the health and functioning of applications regardless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deployment environment. Distributed tracing across microservices, hosts, containers and serverless computing functions allows our customers to gain deep insights into application performance. In-context correlation of APM traces to logs and infrastructure metrics provides for faster troubleshooting allowing issues to be resolved in minimal time. Key features include:</w:t>
      </w:r>
    </w:p>
    <w:p>
      <w:pPr>
        <w:spacing w:after="0" w:line="80" w:lineRule="exact"/>
        <w:rPr>
          <w:rFonts w:ascii="Arial" w:cs="Arial" w:eastAsia="Arial" w:hAnsi="Arial"/>
          <w:sz w:val="17"/>
          <w:szCs w:val="17"/>
          <w:color w:val="auto"/>
        </w:rPr>
      </w:pPr>
    </w:p>
    <w:p>
      <w:pPr>
        <w:jc w:val="both"/>
        <w:ind w:left="1660" w:right="20" w:hanging="429"/>
        <w:spacing w:after="0" w:line="259" w:lineRule="auto"/>
        <w:tabs>
          <w:tab w:leader="none" w:pos="166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Trace visualization</w:t>
      </w:r>
      <w:r>
        <w:rPr>
          <w:rFonts w:ascii="Arial" w:cs="Arial" w:eastAsia="Arial" w:hAnsi="Arial"/>
          <w:sz w:val="18"/>
          <w:szCs w:val="18"/>
          <w:color w:val="auto"/>
        </w:rPr>
        <w:t>. Our users can visualize and trace executed code through the various systems that process code to determine how</w:t>
      </w:r>
      <w:r>
        <w:rPr>
          <w:rFonts w:ascii="Arial" w:cs="Arial" w:eastAsia="Arial" w:hAnsi="Arial"/>
          <w:sz w:val="18"/>
          <w:szCs w:val="18"/>
          <w:i w:val="1"/>
          <w:iCs w:val="1"/>
          <w:color w:val="auto"/>
        </w:rPr>
        <w:t xml:space="preserve"> </w:t>
      </w:r>
      <w:r>
        <w:rPr>
          <w:rFonts w:ascii="Arial" w:cs="Arial" w:eastAsia="Arial" w:hAnsi="Arial"/>
          <w:sz w:val="18"/>
          <w:szCs w:val="18"/>
          <w:color w:val="auto"/>
        </w:rPr>
        <w:t>long each system worked to execute a specific request. This functionality allows users to identify exactly where an issue is occurring across the system in order to accelerate time to remediation.</w:t>
      </w:r>
    </w:p>
    <w:p>
      <w:pPr>
        <w:spacing w:after="0" w:line="92" w:lineRule="exact"/>
        <w:rPr>
          <w:rFonts w:ascii="Arial" w:cs="Arial" w:eastAsia="Arial" w:hAnsi="Arial"/>
          <w:sz w:val="18"/>
          <w:szCs w:val="18"/>
          <w:color w:val="auto"/>
        </w:rPr>
      </w:pPr>
    </w:p>
    <w:p>
      <w:pPr>
        <w:ind w:left="1660" w:right="200" w:hanging="429"/>
        <w:spacing w:after="0" w:line="293" w:lineRule="auto"/>
        <w:tabs>
          <w:tab w:leader="none" w:pos="16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App Analytics</w:t>
      </w:r>
      <w:r>
        <w:rPr>
          <w:rFonts w:ascii="Arial" w:cs="Arial" w:eastAsia="Arial" w:hAnsi="Arial"/>
          <w:sz w:val="16"/>
          <w:szCs w:val="16"/>
          <w:color w:val="auto"/>
        </w:rPr>
        <w:t>. App Analytics is a product evolution and rebranding of Trace Search &amp; Analytics. Datadog App Analytics allows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quickly filter down to narrow problematic traces to any service, endpoint, customer, group of customers, or any other subset of data. Customers can then dashboard or alert on these queries alongside their logs, infra and custom metrics within the Datadog platform. These capabilities are available through an easy-to-use GUI interface that does not require a specialized query language, making it accessible to a broad range of users with minimal training or specific expertise.</w:t>
      </w:r>
    </w:p>
    <w:p>
      <w:pPr>
        <w:spacing w:after="0" w:line="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60"/>
          </w:cols>
          <w:pgMar w:left="24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60" w:right="300" w:hanging="429"/>
        <w:spacing w:after="0" w:line="259" w:lineRule="auto"/>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Service map</w:t>
      </w:r>
      <w:r>
        <w:rPr>
          <w:rFonts w:ascii="Arial" w:cs="Arial" w:eastAsia="Arial" w:hAnsi="Arial"/>
          <w:sz w:val="18"/>
          <w:szCs w:val="18"/>
          <w:color w:val="auto"/>
        </w:rPr>
        <w:t>. Automatic and real-time mapping of data flows and dependencies based on distributed traces allows users to</w:t>
      </w:r>
      <w:r>
        <w:rPr>
          <w:rFonts w:ascii="Arial" w:cs="Arial" w:eastAsia="Arial" w:hAnsi="Arial"/>
          <w:sz w:val="18"/>
          <w:szCs w:val="18"/>
          <w:i w:val="1"/>
          <w:iCs w:val="1"/>
          <w:color w:val="auto"/>
        </w:rPr>
        <w:t xml:space="preserve"> </w:t>
      </w:r>
      <w:r>
        <w:rPr>
          <w:rFonts w:ascii="Arial" w:cs="Arial" w:eastAsia="Arial" w:hAnsi="Arial"/>
          <w:sz w:val="18"/>
          <w:szCs w:val="18"/>
          <w:color w:val="auto"/>
        </w:rPr>
        <w:t>dynamically visualize how data flows between services and the volume of data that each service is sending in and out, in order to understand real-time performance health of each service.</w:t>
      </w:r>
    </w:p>
    <w:p>
      <w:pPr>
        <w:spacing w:after="0" w:line="92" w:lineRule="exact"/>
        <w:rPr>
          <w:rFonts w:ascii="Arial" w:cs="Arial" w:eastAsia="Arial" w:hAnsi="Arial"/>
          <w:sz w:val="18"/>
          <w:szCs w:val="18"/>
          <w:color w:val="auto"/>
        </w:rPr>
      </w:pPr>
    </w:p>
    <w:p>
      <w:pPr>
        <w:ind w:left="1660" w:hanging="429"/>
        <w:spacing w:after="0" w:line="259" w:lineRule="auto"/>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Service overview</w:t>
      </w:r>
      <w:r>
        <w:rPr>
          <w:rFonts w:ascii="Arial" w:cs="Arial" w:eastAsia="Arial" w:hAnsi="Arial"/>
          <w:sz w:val="18"/>
          <w:szCs w:val="18"/>
          <w:color w:val="auto"/>
        </w:rPr>
        <w:t>. Users can see all services and high-level KPIs related to each service from a single pane of glass. Service overview</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users with the ability to assess performance details at a highly granular level in order to gain an in-depth view of how the application is working.</w:t>
      </w:r>
    </w:p>
    <w:p>
      <w:pPr>
        <w:spacing w:after="0" w:line="92" w:lineRule="exact"/>
        <w:rPr>
          <w:rFonts w:ascii="Arial" w:cs="Arial" w:eastAsia="Arial" w:hAnsi="Arial"/>
          <w:sz w:val="18"/>
          <w:szCs w:val="18"/>
          <w:color w:val="auto"/>
        </w:rPr>
      </w:pPr>
    </w:p>
    <w:p>
      <w:pPr>
        <w:ind w:left="1660" w:right="20" w:hanging="429"/>
        <w:spacing w:after="0" w:line="335" w:lineRule="auto"/>
        <w:tabs>
          <w:tab w:leader="none" w:pos="1660"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Broad language support</w:t>
      </w:r>
      <w:r>
        <w:rPr>
          <w:rFonts w:ascii="Arial" w:cs="Arial" w:eastAsia="Arial" w:hAnsi="Arial"/>
          <w:sz w:val="16"/>
          <w:szCs w:val="16"/>
          <w:color w:val="auto"/>
        </w:rPr>
        <w:t>. Our APM solution supports the most commonly used programming languages and frameworks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but not limited to, Java, Python, Go, Ruby, .NET, Node.js and PHP, allowing for breadth of deployment across customers of all sizes.</w:t>
      </w:r>
    </w:p>
    <w:p>
      <w:pPr>
        <w:spacing w:after="0" w:line="34" w:lineRule="exact"/>
        <w:rPr>
          <w:rFonts w:ascii="Arial" w:cs="Arial" w:eastAsia="Arial" w:hAnsi="Arial"/>
          <w:sz w:val="16"/>
          <w:szCs w:val="16"/>
          <w:color w:val="auto"/>
        </w:rPr>
      </w:pPr>
    </w:p>
    <w:p>
      <w:pPr>
        <w:ind w:left="1660" w:right="80" w:hanging="429"/>
        <w:spacing w:after="0" w:line="255" w:lineRule="auto"/>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Fully automated anomaly detection</w:t>
      </w:r>
      <w:r>
        <w:rPr>
          <w:rFonts w:ascii="Arial" w:cs="Arial" w:eastAsia="Arial" w:hAnsi="Arial"/>
          <w:sz w:val="18"/>
          <w:szCs w:val="18"/>
          <w:color w:val="auto"/>
        </w:rPr>
        <w:t>. Watchdog is our auto-detection engine that surfaces performance problems in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any manual setup or configuration. Watchdog analyzes all performance data that is ingested, and performs machine learning based anomaly detection to identify any unusual trends or occurrences in this data to predict and alert users to any potential issues ahead of them occurring.</w:t>
      </w:r>
    </w:p>
    <w:p>
      <w:pPr>
        <w:spacing w:after="0" w:line="97" w:lineRule="exact"/>
        <w:rPr>
          <w:rFonts w:ascii="Arial" w:cs="Arial" w:eastAsia="Arial" w:hAnsi="Arial"/>
          <w:sz w:val="18"/>
          <w:szCs w:val="18"/>
          <w:color w:val="auto"/>
        </w:rPr>
      </w:pPr>
    </w:p>
    <w:p>
      <w:pPr>
        <w:ind w:left="1220" w:right="80" w:hanging="537"/>
        <w:spacing w:after="0" w:line="307" w:lineRule="auto"/>
        <w:tabs>
          <w:tab w:leader="none" w:pos="122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Log Management</w:t>
      </w:r>
      <w:r>
        <w:rPr>
          <w:rFonts w:ascii="Arial" w:cs="Arial" w:eastAsia="Arial" w:hAnsi="Arial"/>
          <w:sz w:val="16"/>
          <w:szCs w:val="16"/>
          <w:color w:val="auto"/>
        </w:rPr>
        <w:t>. Log management for applications, systems and cloud platforms ingests data, creates indexes and enables querying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logs with visualizations and alerting to ensure immediate insight into any performance issues. Machine-learning powered pattern detection of frequently occurring logs allows predictive functionality to pre-emptively address issues before they occur. Key features include:</w:t>
      </w:r>
    </w:p>
    <w:p>
      <w:pPr>
        <w:spacing w:after="0" w:line="56" w:lineRule="exact"/>
        <w:rPr>
          <w:rFonts w:ascii="Arial" w:cs="Arial" w:eastAsia="Arial" w:hAnsi="Arial"/>
          <w:sz w:val="16"/>
          <w:szCs w:val="16"/>
          <w:color w:val="auto"/>
        </w:rPr>
      </w:pPr>
    </w:p>
    <w:p>
      <w:pPr>
        <w:ind w:left="1660" w:right="200" w:hanging="429"/>
        <w:spacing w:after="0" w:line="259" w:lineRule="auto"/>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Logging Without Limits</w:t>
      </w:r>
      <w:r>
        <w:rPr>
          <w:rFonts w:ascii="Arial" w:cs="Arial" w:eastAsia="Arial" w:hAnsi="Arial"/>
          <w:sz w:val="18"/>
          <w:szCs w:val="18"/>
          <w:color w:val="auto"/>
        </w:rPr>
        <w:t>. Our product allows customers to decouple the cost of log ingestion from processing. This in turn makes it</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to cost-effectively collect a massive volume of logs and selectively process the ones they need to monitor in real-time. Archived logs can be rehydrated, or reloaded on demand for investigation.</w:t>
      </w:r>
    </w:p>
    <w:p>
      <w:pPr>
        <w:spacing w:after="0" w:line="92" w:lineRule="exact"/>
        <w:rPr>
          <w:rFonts w:ascii="Arial" w:cs="Arial" w:eastAsia="Arial" w:hAnsi="Arial"/>
          <w:sz w:val="18"/>
          <w:szCs w:val="18"/>
          <w:color w:val="auto"/>
        </w:rPr>
      </w:pPr>
    </w:p>
    <w:p>
      <w:pPr>
        <w:ind w:left="1660" w:right="120" w:hanging="429"/>
        <w:spacing w:after="0" w:line="255" w:lineRule="auto"/>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Logs enrichment</w:t>
      </w:r>
      <w:r>
        <w:rPr>
          <w:rFonts w:ascii="Arial" w:cs="Arial" w:eastAsia="Arial" w:hAnsi="Arial"/>
          <w:sz w:val="18"/>
          <w:szCs w:val="18"/>
          <w:color w:val="auto"/>
        </w:rPr>
        <w:t>. Datadog automatically collects, tags, and enriches customer logs with Datadog’s built-in integrations. This in turn</w:t>
      </w:r>
      <w:r>
        <w:rPr>
          <w:rFonts w:ascii="Arial" w:cs="Arial" w:eastAsia="Arial" w:hAnsi="Arial"/>
          <w:sz w:val="18"/>
          <w:szCs w:val="18"/>
          <w:i w:val="1"/>
          <w:iCs w:val="1"/>
          <w:color w:val="auto"/>
        </w:rPr>
        <w:t xml:space="preserve"> </w:t>
      </w:r>
      <w:r>
        <w:rPr>
          <w:rFonts w:ascii="Arial" w:cs="Arial" w:eastAsia="Arial" w:hAnsi="Arial"/>
          <w:sz w:val="18"/>
          <w:szCs w:val="18"/>
          <w:color w:val="auto"/>
        </w:rPr>
        <w:t>helps customers explore, investigate and analyze logs in our platform quickly without complex query logic. Additionally, this functionality allows customers to quickly navigate between logs and the related infrastructure and APM dashboards for root cause analysis.</w:t>
      </w:r>
    </w:p>
    <w:p>
      <w:pPr>
        <w:spacing w:after="0" w:line="97" w:lineRule="exact"/>
        <w:rPr>
          <w:rFonts w:ascii="Arial" w:cs="Arial" w:eastAsia="Arial" w:hAnsi="Arial"/>
          <w:sz w:val="18"/>
          <w:szCs w:val="18"/>
          <w:color w:val="auto"/>
        </w:rPr>
      </w:pPr>
    </w:p>
    <w:p>
      <w:pPr>
        <w:ind w:left="1660" w:right="20" w:hanging="429"/>
        <w:spacing w:after="0" w:line="254" w:lineRule="auto"/>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Log patterns</w:t>
      </w:r>
      <w:r>
        <w:rPr>
          <w:rFonts w:ascii="Arial" w:cs="Arial" w:eastAsia="Arial" w:hAnsi="Arial"/>
          <w:sz w:val="18"/>
          <w:szCs w:val="18"/>
          <w:color w:val="auto"/>
        </w:rPr>
        <w:t>. Log patterns provide real-time analysis and clustering of events, which allows investigations to quickly eliminate noise</w:t>
      </w:r>
      <w:r>
        <w:rPr>
          <w:rFonts w:ascii="Arial" w:cs="Arial" w:eastAsia="Arial" w:hAnsi="Arial"/>
          <w:sz w:val="18"/>
          <w:szCs w:val="18"/>
          <w:i w:val="1"/>
          <w:iCs w:val="1"/>
          <w:color w:val="auto"/>
        </w:rPr>
        <w:t xml:space="preserve"> </w:t>
      </w:r>
      <w:r>
        <w:rPr>
          <w:rFonts w:ascii="Arial" w:cs="Arial" w:eastAsia="Arial" w:hAnsi="Arial"/>
          <w:sz w:val="18"/>
          <w:szCs w:val="18"/>
          <w:color w:val="auto"/>
        </w:rPr>
        <w:t>and identify anomalous or unexpected activities. Our multi-tenant cloud platform analyzes data ingested across customer and ecosystems, to predict and identify faults that customers share due to dependencies on common service providers or third- party services. These features, when combined with Watchdog, allow our platform to identify and raise user-impacting events automatically.</w:t>
      </w:r>
    </w:p>
    <w:p>
      <w:pPr>
        <w:spacing w:after="0" w:line="95" w:lineRule="exact"/>
        <w:rPr>
          <w:rFonts w:ascii="Arial" w:cs="Arial" w:eastAsia="Arial" w:hAnsi="Arial"/>
          <w:sz w:val="18"/>
          <w:szCs w:val="18"/>
          <w:color w:val="auto"/>
        </w:rPr>
      </w:pPr>
    </w:p>
    <w:p>
      <w:pPr>
        <w:ind w:left="1660" w:right="400" w:hanging="429"/>
        <w:spacing w:after="0" w:line="271" w:lineRule="auto"/>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Processing pipelines</w:t>
      </w:r>
      <w:r>
        <w:rPr>
          <w:rFonts w:ascii="Arial" w:cs="Arial" w:eastAsia="Arial" w:hAnsi="Arial"/>
          <w:sz w:val="18"/>
          <w:szCs w:val="18"/>
          <w:color w:val="auto"/>
        </w:rPr>
        <w:t>. Our log processing pipelines capability allows customers to enrich logs with custom data facets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searching and filtering logs intuitive and quick for all users.</w:t>
      </w:r>
    </w:p>
    <w:p>
      <w:pPr>
        <w:spacing w:after="0" w:line="81" w:lineRule="exact"/>
        <w:rPr>
          <w:rFonts w:ascii="Arial" w:cs="Arial" w:eastAsia="Arial" w:hAnsi="Arial"/>
          <w:sz w:val="18"/>
          <w:szCs w:val="18"/>
          <w:color w:val="auto"/>
        </w:rPr>
      </w:pPr>
    </w:p>
    <w:p>
      <w:pPr>
        <w:ind w:left="1220" w:right="140" w:hanging="537"/>
        <w:spacing w:after="0" w:line="259" w:lineRule="auto"/>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User Experience Monitoring. </w:t>
      </w:r>
      <w:r>
        <w:rPr>
          <w:rFonts w:ascii="Arial" w:cs="Arial" w:eastAsia="Arial" w:hAnsi="Arial"/>
          <w:sz w:val="18"/>
          <w:szCs w:val="18"/>
          <w:color w:val="auto"/>
        </w:rPr>
        <w:t>User experience monitoring brings visibility up the stack to monitor the digital experience of the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Datadog user experience monitoring includes both the simulation of customers, through Synthetics, and the monitoring of actual users, through Real User Monitoring. Key features include:</w:t>
      </w:r>
    </w:p>
    <w:p>
      <w:pPr>
        <w:spacing w:after="0" w:line="92" w:lineRule="exact"/>
        <w:rPr>
          <w:rFonts w:ascii="Arial" w:cs="Arial" w:eastAsia="Arial" w:hAnsi="Arial"/>
          <w:sz w:val="18"/>
          <w:szCs w:val="18"/>
          <w:color w:val="auto"/>
        </w:rPr>
      </w:pPr>
    </w:p>
    <w:p>
      <w:pPr>
        <w:ind w:left="1660" w:right="280" w:hanging="429"/>
        <w:spacing w:after="0" w:line="271" w:lineRule="auto"/>
        <w:tabs>
          <w:tab w:leader="none" w:pos="166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Synthetics</w:t>
      </w:r>
      <w:r>
        <w:rPr>
          <w:rFonts w:ascii="Arial" w:cs="Arial" w:eastAsia="Arial" w:hAnsi="Arial"/>
          <w:sz w:val="18"/>
          <w:szCs w:val="18"/>
          <w:color w:val="auto"/>
        </w:rPr>
        <w:t>. Synthetics provides user-experience monitoring of applications and API endpoints via simulated user requests to track</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performance and ensure uptime.</w:t>
      </w:r>
    </w:p>
    <w:p>
      <w:pPr>
        <w:spacing w:after="0" w:line="81" w:lineRule="exact"/>
        <w:rPr>
          <w:rFonts w:ascii="Arial" w:cs="Arial" w:eastAsia="Arial" w:hAnsi="Arial"/>
          <w:sz w:val="18"/>
          <w:szCs w:val="18"/>
          <w:color w:val="auto"/>
        </w:rPr>
      </w:pPr>
    </w:p>
    <w:p>
      <w:pPr>
        <w:ind w:left="2320" w:right="60" w:hanging="647"/>
        <w:spacing w:after="0" w:line="259" w:lineRule="auto"/>
        <w:tabs>
          <w:tab w:leader="none" w:pos="2320" w:val="left"/>
        </w:tabs>
        <w:numPr>
          <w:ilvl w:val="2"/>
          <w:numId w:val="69"/>
        </w:numPr>
        <w:rPr>
          <w:rFonts w:ascii="Arial" w:cs="Arial" w:eastAsia="Arial" w:hAnsi="Arial"/>
          <w:sz w:val="18"/>
          <w:szCs w:val="18"/>
          <w:color w:val="auto"/>
        </w:rPr>
      </w:pPr>
      <w:r>
        <w:rPr>
          <w:rFonts w:ascii="Arial" w:cs="Arial" w:eastAsia="Arial" w:hAnsi="Arial"/>
          <w:sz w:val="18"/>
          <w:szCs w:val="18"/>
          <w:i w:val="1"/>
          <w:iCs w:val="1"/>
          <w:color w:val="auto"/>
        </w:rPr>
        <w:t>API tests</w:t>
      </w:r>
      <w:r>
        <w:rPr>
          <w:rFonts w:ascii="Arial" w:cs="Arial" w:eastAsia="Arial" w:hAnsi="Arial"/>
          <w:sz w:val="18"/>
          <w:szCs w:val="18"/>
          <w:color w:val="auto"/>
        </w:rPr>
        <w:t>. API tests actively simulate an application or user querying an API or accessing a webpage to ensure that web</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are being processed as expected from multiple points around the world, and proactively monitor site availability to reduce mean time to detection and resolution.</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240" w:top="456"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20" w:hanging="647"/>
        <w:spacing w:after="0" w:line="275" w:lineRule="auto"/>
        <w:tabs>
          <w:tab w:leader="none" w:pos="2320" w:val="left"/>
        </w:tabs>
        <w:numPr>
          <w:ilvl w:val="2"/>
          <w:numId w:val="70"/>
        </w:numPr>
        <w:rPr>
          <w:rFonts w:ascii="Arial" w:cs="Arial" w:eastAsia="Arial" w:hAnsi="Arial"/>
          <w:sz w:val="17"/>
          <w:szCs w:val="17"/>
          <w:color w:val="auto"/>
        </w:rPr>
      </w:pPr>
      <w:r>
        <w:rPr>
          <w:rFonts w:ascii="Arial" w:cs="Arial" w:eastAsia="Arial" w:hAnsi="Arial"/>
          <w:sz w:val="17"/>
          <w:szCs w:val="17"/>
          <w:i w:val="1"/>
          <w:iCs w:val="1"/>
          <w:color w:val="auto"/>
        </w:rPr>
        <w:t>Browser tests</w:t>
      </w:r>
      <w:r>
        <w:rPr>
          <w:rFonts w:ascii="Arial" w:cs="Arial" w:eastAsia="Arial" w:hAnsi="Arial"/>
          <w:sz w:val="17"/>
          <w:szCs w:val="17"/>
          <w:color w:val="auto"/>
        </w:rPr>
        <w:t>. Browser tests monitor user experience, ensuring web pages are fully functional by simulating step-by-step</w:t>
      </w:r>
      <w:r>
        <w:rPr>
          <w:rFonts w:ascii="Arial" w:cs="Arial" w:eastAsia="Arial" w:hAnsi="Arial"/>
          <w:sz w:val="17"/>
          <w:szCs w:val="17"/>
          <w:i w:val="1"/>
          <w:iCs w:val="1"/>
          <w:color w:val="auto"/>
        </w:rPr>
        <w:t xml:space="preserve"> </w:t>
      </w:r>
      <w:r>
        <w:rPr>
          <w:rFonts w:ascii="Arial" w:cs="Arial" w:eastAsia="Arial" w:hAnsi="Arial"/>
          <w:sz w:val="17"/>
          <w:szCs w:val="17"/>
          <w:color w:val="auto"/>
        </w:rPr>
        <w:t>user journeys including specific button clicks, filling out fields and interacting with various page elements on multiple web browsers and browser versions. AI-powered tests enable the monitoring of critical business transactions to ensure that these core customer-facing digital capabilities are always running at optimal functionality.</w:t>
      </w:r>
    </w:p>
    <w:p>
      <w:pPr>
        <w:spacing w:after="0" w:line="80" w:lineRule="exact"/>
        <w:rPr>
          <w:rFonts w:ascii="Arial" w:cs="Arial" w:eastAsia="Arial" w:hAnsi="Arial"/>
          <w:sz w:val="17"/>
          <w:szCs w:val="17"/>
          <w:color w:val="auto"/>
        </w:rPr>
      </w:pPr>
    </w:p>
    <w:p>
      <w:pPr>
        <w:ind w:left="1660" w:right="620" w:hanging="429"/>
        <w:spacing w:after="0" w:line="271" w:lineRule="auto"/>
        <w:tabs>
          <w:tab w:leader="none" w:pos="166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Real User Monitoring. </w:t>
      </w:r>
      <w:r>
        <w:rPr>
          <w:rFonts w:ascii="Arial" w:cs="Arial" w:eastAsia="Arial" w:hAnsi="Arial"/>
          <w:sz w:val="18"/>
          <w:szCs w:val="18"/>
          <w:color w:val="auto"/>
        </w:rPr>
        <w:t>Currently available in beta, Datadog Real User Monitoring provides analysis and visualization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frontend applications as experienced by all actual users.</w:t>
      </w:r>
    </w:p>
    <w:p>
      <w:pPr>
        <w:spacing w:after="0" w:line="81" w:lineRule="exact"/>
        <w:rPr>
          <w:rFonts w:ascii="Arial" w:cs="Arial" w:eastAsia="Arial" w:hAnsi="Arial"/>
          <w:sz w:val="18"/>
          <w:szCs w:val="18"/>
          <w:color w:val="auto"/>
        </w:rPr>
      </w:pPr>
    </w:p>
    <w:p>
      <w:pPr>
        <w:ind w:left="1660" w:right="240" w:hanging="429"/>
        <w:spacing w:after="0" w:line="271" w:lineRule="auto"/>
        <w:tabs>
          <w:tab w:leader="none" w:pos="166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Automatic correlation. </w:t>
      </w:r>
      <w:r>
        <w:rPr>
          <w:rFonts w:ascii="Arial" w:cs="Arial" w:eastAsia="Arial" w:hAnsi="Arial"/>
          <w:sz w:val="18"/>
          <w:szCs w:val="18"/>
          <w:color w:val="auto"/>
        </w:rPr>
        <w:t>User Experience Monitoring delivers end-to-end monitoring, including correlation with application traces,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infrastructure-level metrics and logs to quickly troubleshoot performance issues.</w:t>
      </w:r>
    </w:p>
    <w:p>
      <w:pPr>
        <w:spacing w:after="0" w:line="81" w:lineRule="exact"/>
        <w:rPr>
          <w:rFonts w:ascii="Arial" w:cs="Arial" w:eastAsia="Arial" w:hAnsi="Arial"/>
          <w:sz w:val="18"/>
          <w:szCs w:val="18"/>
          <w:color w:val="auto"/>
        </w:rPr>
      </w:pPr>
    </w:p>
    <w:p>
      <w:pPr>
        <w:ind w:left="1220" w:right="20" w:hanging="537"/>
        <w:spacing w:after="0" w:line="255" w:lineRule="auto"/>
        <w:tabs>
          <w:tab w:leader="none" w:pos="122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Network Performance Monitoring. </w:t>
      </w:r>
      <w:r>
        <w:rPr>
          <w:rFonts w:ascii="Arial" w:cs="Arial" w:eastAsia="Arial" w:hAnsi="Arial"/>
          <w:sz w:val="18"/>
          <w:szCs w:val="18"/>
          <w:color w:val="auto"/>
        </w:rPr>
        <w:t>Currently available in beta, Datadog Network Performance Monitoring enables the analysis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visualization of the flow of network traffic in cloud-based or hybrid environments. It allows the mapping of full-stack dependencies, and is fully integrated with the Datadog platform. It is very lightweight, allowing customers to monitor the flow of network traffic without sacrificing performance.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Customers</w:t>
      </w:r>
    </w:p>
    <w:p>
      <w:pPr>
        <w:spacing w:after="0" w:line="225" w:lineRule="exact"/>
        <w:rPr>
          <w:sz w:val="20"/>
          <w:szCs w:val="20"/>
          <w:color w:val="auto"/>
        </w:rPr>
      </w:pPr>
    </w:p>
    <w:p>
      <w:pPr>
        <w:ind w:left="260" w:firstLine="437"/>
        <w:spacing w:after="0" w:line="286" w:lineRule="auto"/>
        <w:rPr>
          <w:sz w:val="20"/>
          <w:szCs w:val="20"/>
          <w:color w:val="auto"/>
        </w:rPr>
      </w:pPr>
      <w:r>
        <w:rPr>
          <w:rFonts w:ascii="Arial" w:cs="Arial" w:eastAsia="Arial" w:hAnsi="Arial"/>
          <w:sz w:val="16"/>
          <w:szCs w:val="16"/>
          <w:color w:val="auto"/>
        </w:rPr>
        <w:t>Organizations of all sizes, in all industries, both private and public, purchase our products for a variety of use cases. As of June 30, 2019, we had 8,846 customers in over 100 countries. We have been adopted by thousands of enterprises globally across a wide range of industries. As of June 30, 2019, we had 594 customers with ARR of $100,000 or more, an increase from 453, 239 and 126 as of December 31, 2018, 2017 and 2016, respectively. In addition, as of June 30, 2019, we had 42 customers with ARR of $1.0 million or more, up from 29, 12 and two customers as of December 31, 2018, 2017 and 2016, respectively. We have seen increased traction with enterprise customers, a testament to our success and ability to grow. As of June 30, 2019, the average ARR of our enterprise customers, defined as having 5,000 or more employees, was approximately $200,000, which has increased from approximately $120,000 as of December 31, 2017. The average ARR of our mid-market customers, defined as having between 1,000 and 5,000 employees, was approximately $140,000, which has increased from approximately $70,000 as of December 31, 2017. No customer, including any group of customers under common control or customers that are affiliates of each other, represented more than 10% of our revenue in 2017 or 2018.</w:t>
      </w:r>
    </w:p>
    <w:p>
      <w:pPr>
        <w:spacing w:after="0" w:line="10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240" w:top="456"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Representative customers by industry vertical are listed below:</w:t>
      </w:r>
    </w:p>
    <w:p>
      <w:pPr>
        <w:spacing w:after="0" w:line="22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Consumer &amp; Retail</w:t>
            </w:r>
          </w:p>
        </w:tc>
        <w:tc>
          <w:tcPr>
            <w:tcW w:w="420" w:type="dxa"/>
            <w:vAlign w:val="bottom"/>
          </w:tcPr>
          <w:p>
            <w:pPr>
              <w:spacing w:after="0"/>
              <w:rPr>
                <w:sz w:val="14"/>
                <w:szCs w:val="14"/>
                <w:color w:val="auto"/>
              </w:rPr>
            </w:pPr>
          </w:p>
        </w:tc>
        <w:tc>
          <w:tcPr>
            <w:tcW w:w="3540" w:type="dxa"/>
            <w:vAlign w:val="bottom"/>
            <w:gridSpan w:val="3"/>
            <w:vMerge w:val="restart"/>
          </w:tcPr>
          <w:p>
            <w:pPr>
              <w:ind w:left="1220"/>
              <w:spacing w:after="0"/>
              <w:rPr>
                <w:sz w:val="20"/>
                <w:szCs w:val="20"/>
                <w:color w:val="auto"/>
              </w:rPr>
            </w:pPr>
            <w:r>
              <w:rPr>
                <w:rFonts w:ascii="Arial" w:cs="Arial" w:eastAsia="Arial" w:hAnsi="Arial"/>
                <w:sz w:val="14"/>
                <w:szCs w:val="14"/>
                <w:b w:val="1"/>
                <w:bCs w:val="1"/>
                <w:color w:val="auto"/>
              </w:rPr>
              <w:t>Financial Services</w:t>
            </w:r>
          </w:p>
        </w:tc>
        <w:tc>
          <w:tcPr>
            <w:tcW w:w="26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Industrial, Transportation &amp;</w:t>
            </w:r>
          </w:p>
        </w:tc>
        <w:tc>
          <w:tcPr>
            <w:tcW w:w="0" w:type="dxa"/>
            <w:vAlign w:val="bottom"/>
          </w:tcPr>
          <w:p>
            <w:pPr>
              <w:spacing w:after="0"/>
              <w:rPr>
                <w:sz w:val="1"/>
                <w:szCs w:val="1"/>
                <w:color w:val="auto"/>
              </w:rPr>
            </w:pPr>
          </w:p>
        </w:tc>
      </w:tr>
      <w:tr>
        <w:trPr>
          <w:trHeight w:val="190"/>
        </w:trPr>
        <w:tc>
          <w:tcPr>
            <w:tcW w:w="22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5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Healthcare</w:t>
            </w:r>
          </w:p>
        </w:tc>
        <w:tc>
          <w:tcPr>
            <w:tcW w:w="0" w:type="dxa"/>
            <w:vAlign w:val="bottom"/>
          </w:tcPr>
          <w:p>
            <w:pPr>
              <w:spacing w:after="0"/>
              <w:rPr>
                <w:sz w:val="1"/>
                <w:szCs w:val="1"/>
                <w:color w:val="auto"/>
              </w:rPr>
            </w:pPr>
          </w:p>
        </w:tc>
      </w:tr>
      <w:tr>
        <w:trPr>
          <w:trHeight w:val="187"/>
        </w:trPr>
        <w:tc>
          <w:tcPr>
            <w:tcW w:w="118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Delivery Hero</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40" w:type="dxa"/>
            <w:vAlign w:val="bottom"/>
            <w:tcBorders>
              <w:top w:val="single" w:sz="8" w:color="auto"/>
            </w:tcBorders>
            <w:gridSpan w:val="3"/>
          </w:tcPr>
          <w:p>
            <w:pPr>
              <w:spacing w:after="0" w:line="187" w:lineRule="exact"/>
              <w:rPr>
                <w:sz w:val="20"/>
                <w:szCs w:val="20"/>
                <w:color w:val="auto"/>
              </w:rPr>
            </w:pPr>
            <w:r>
              <w:rPr>
                <w:rFonts w:ascii="Arial" w:cs="Arial" w:eastAsia="Arial" w:hAnsi="Arial"/>
                <w:sz w:val="18"/>
                <w:szCs w:val="18"/>
                <w:color w:val="auto"/>
              </w:rPr>
              <w:t>Coinbase</w:t>
            </w:r>
          </w:p>
        </w:tc>
        <w:tc>
          <w:tcPr>
            <w:tcW w:w="260" w:type="dxa"/>
            <w:vAlign w:val="bottom"/>
          </w:tcPr>
          <w:p>
            <w:pPr>
              <w:spacing w:after="0"/>
              <w:rPr>
                <w:sz w:val="16"/>
                <w:szCs w:val="16"/>
                <w:color w:val="auto"/>
              </w:rPr>
            </w:pPr>
          </w:p>
        </w:tc>
        <w:tc>
          <w:tcPr>
            <w:tcW w:w="278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BrightInsight, a Flex Company</w:t>
            </w: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Expedia Group</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Credit Suisse</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Haier U.S. Solutions</w:t>
            </w: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GrubHub</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Donnelley Financial Solutions (DFIN)</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Maersk Group</w:t>
            </w: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Instacart</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HSBC</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Qantas</w:t>
            </w: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Mercado Libre</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IHS Markit</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PSEG</w:t>
            </w: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Nextdoor</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Jefferies</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ServiceMaster</w:t>
            </w: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Peloton</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Morgan Stanley</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SHARE NOW</w:t>
            </w:r>
          </w:p>
        </w:tc>
        <w:tc>
          <w:tcPr>
            <w:tcW w:w="0" w:type="dxa"/>
            <w:vAlign w:val="bottom"/>
          </w:tcPr>
          <w:p>
            <w:pPr>
              <w:spacing w:after="0"/>
              <w:rPr>
                <w:sz w:val="1"/>
                <w:szCs w:val="1"/>
                <w:color w:val="auto"/>
              </w:rPr>
            </w:pPr>
          </w:p>
        </w:tc>
      </w:tr>
      <w:tr>
        <w:trPr>
          <w:trHeight w:val="227"/>
        </w:trPr>
        <w:tc>
          <w:tcPr>
            <w:tcW w:w="2280" w:type="dxa"/>
            <w:vAlign w:val="bottom"/>
            <w:gridSpan w:val="2"/>
          </w:tcPr>
          <w:p>
            <w:pPr>
              <w:spacing w:after="0"/>
              <w:rPr>
                <w:sz w:val="20"/>
                <w:szCs w:val="20"/>
                <w:color w:val="auto"/>
              </w:rPr>
            </w:pPr>
            <w:r>
              <w:rPr>
                <w:rFonts w:ascii="Arial" w:cs="Arial" w:eastAsia="Arial" w:hAnsi="Arial"/>
                <w:sz w:val="18"/>
                <w:szCs w:val="18"/>
                <w:color w:val="auto"/>
              </w:rPr>
              <w:t>Ring</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Nasdaq</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SNCF</w:t>
            </w:r>
          </w:p>
        </w:tc>
        <w:tc>
          <w:tcPr>
            <w:tcW w:w="0" w:type="dxa"/>
            <w:vAlign w:val="bottom"/>
          </w:tcPr>
          <w:p>
            <w:pPr>
              <w:spacing w:after="0"/>
              <w:rPr>
                <w:sz w:val="1"/>
                <w:szCs w:val="1"/>
                <w:color w:val="auto"/>
              </w:rPr>
            </w:pPr>
          </w:p>
        </w:tc>
      </w:tr>
      <w:tr>
        <w:trPr>
          <w:trHeight w:val="227"/>
        </w:trPr>
        <w:tc>
          <w:tcPr>
            <w:tcW w:w="2280" w:type="dxa"/>
            <w:vAlign w:val="bottom"/>
            <w:gridSpan w:val="2"/>
          </w:tcPr>
          <w:p>
            <w:pPr>
              <w:spacing w:after="0"/>
              <w:rPr>
                <w:sz w:val="20"/>
                <w:szCs w:val="20"/>
                <w:color w:val="auto"/>
              </w:rPr>
            </w:pPr>
            <w:r>
              <w:rPr>
                <w:rFonts w:ascii="Arial" w:cs="Arial" w:eastAsia="Arial" w:hAnsi="Arial"/>
                <w:sz w:val="18"/>
                <w:szCs w:val="18"/>
                <w:color w:val="auto"/>
              </w:rPr>
              <w:t>Starbucks</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RBC</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TELUS Health</w:t>
            </w:r>
          </w:p>
        </w:tc>
        <w:tc>
          <w:tcPr>
            <w:tcW w:w="0" w:type="dxa"/>
            <w:vAlign w:val="bottom"/>
          </w:tcPr>
          <w:p>
            <w:pPr>
              <w:spacing w:after="0"/>
              <w:rPr>
                <w:sz w:val="1"/>
                <w:szCs w:val="1"/>
                <w:color w:val="auto"/>
              </w:rPr>
            </w:pPr>
          </w:p>
        </w:tc>
      </w:tr>
      <w:tr>
        <w:trPr>
          <w:trHeight w:val="227"/>
        </w:trPr>
        <w:tc>
          <w:tcPr>
            <w:tcW w:w="2280" w:type="dxa"/>
            <w:vAlign w:val="bottom"/>
            <w:gridSpan w:val="2"/>
          </w:tcPr>
          <w:p>
            <w:pPr>
              <w:spacing w:after="0"/>
              <w:rPr>
                <w:sz w:val="20"/>
                <w:szCs w:val="20"/>
                <w:color w:val="auto"/>
              </w:rPr>
            </w:pPr>
            <w:r>
              <w:rPr>
                <w:rFonts w:ascii="Arial" w:cs="Arial" w:eastAsia="Arial" w:hAnsi="Arial"/>
                <w:sz w:val="18"/>
                <w:szCs w:val="18"/>
                <w:color w:val="auto"/>
              </w:rPr>
              <w:t>TrueCar</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S&amp;P Global</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Trimble</w:t>
            </w:r>
          </w:p>
        </w:tc>
        <w:tc>
          <w:tcPr>
            <w:tcW w:w="0" w:type="dxa"/>
            <w:vAlign w:val="bottom"/>
          </w:tcPr>
          <w:p>
            <w:pPr>
              <w:spacing w:after="0"/>
              <w:rPr>
                <w:sz w:val="1"/>
                <w:szCs w:val="1"/>
                <w:color w:val="auto"/>
              </w:rPr>
            </w:pPr>
          </w:p>
        </w:tc>
      </w:tr>
      <w:tr>
        <w:trPr>
          <w:trHeight w:val="227"/>
        </w:trPr>
        <w:tc>
          <w:tcPr>
            <w:tcW w:w="2280" w:type="dxa"/>
            <w:vAlign w:val="bottom"/>
            <w:gridSpan w:val="2"/>
          </w:tcPr>
          <w:p>
            <w:pPr>
              <w:spacing w:after="0"/>
              <w:rPr>
                <w:sz w:val="20"/>
                <w:szCs w:val="20"/>
                <w:color w:val="auto"/>
              </w:rPr>
            </w:pPr>
            <w:r>
              <w:rPr>
                <w:rFonts w:ascii="Arial" w:cs="Arial" w:eastAsia="Arial" w:hAnsi="Arial"/>
                <w:sz w:val="18"/>
                <w:szCs w:val="18"/>
                <w:color w:val="auto"/>
              </w:rPr>
              <w:t>Wayfair</w:t>
            </w:r>
          </w:p>
        </w:tc>
        <w:tc>
          <w:tcPr>
            <w:tcW w:w="3960" w:type="dxa"/>
            <w:vAlign w:val="bottom"/>
            <w:gridSpan w:val="4"/>
          </w:tcPr>
          <w:p>
            <w:pPr>
              <w:ind w:left="420"/>
              <w:spacing w:after="0"/>
              <w:rPr>
                <w:sz w:val="20"/>
                <w:szCs w:val="20"/>
                <w:color w:val="auto"/>
              </w:rPr>
            </w:pPr>
            <w:r>
              <w:rPr>
                <w:rFonts w:ascii="Arial" w:cs="Arial" w:eastAsia="Arial" w:hAnsi="Arial"/>
                <w:sz w:val="18"/>
                <w:szCs w:val="18"/>
                <w:color w:val="auto"/>
              </w:rPr>
              <w:t>Thomson Reuters</w:t>
            </w: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UnitedHealth Group/Optum</w:t>
            </w: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40" w:type="dxa"/>
            <w:vAlign w:val="bottom"/>
            <w:gridSpan w:val="2"/>
          </w:tcPr>
          <w:p>
            <w:pPr>
              <w:ind w:left="260"/>
              <w:spacing w:after="0"/>
              <w:rPr>
                <w:sz w:val="20"/>
                <w:szCs w:val="20"/>
                <w:color w:val="auto"/>
              </w:rPr>
            </w:pPr>
            <w:r>
              <w:rPr>
                <w:rFonts w:ascii="Arial" w:cs="Arial" w:eastAsia="Arial" w:hAnsi="Arial"/>
                <w:sz w:val="18"/>
                <w:szCs w:val="18"/>
                <w:color w:val="auto"/>
              </w:rPr>
              <w:t>Wabtec Corporation</w:t>
            </w:r>
          </w:p>
        </w:tc>
        <w:tc>
          <w:tcPr>
            <w:tcW w:w="0" w:type="dxa"/>
            <w:vAlign w:val="bottom"/>
          </w:tcPr>
          <w:p>
            <w:pPr>
              <w:spacing w:after="0"/>
              <w:rPr>
                <w:sz w:val="1"/>
                <w:szCs w:val="1"/>
                <w:color w:val="auto"/>
              </w:rPr>
            </w:pPr>
          </w:p>
        </w:tc>
      </w:tr>
      <w:tr>
        <w:trPr>
          <w:trHeight w:val="403"/>
        </w:trPr>
        <w:tc>
          <w:tcPr>
            <w:tcW w:w="6240" w:type="dxa"/>
            <w:vAlign w:val="bottom"/>
            <w:gridSpan w:val="6"/>
          </w:tcPr>
          <w:p>
            <w:pPr>
              <w:spacing w:after="0"/>
              <w:rPr>
                <w:sz w:val="20"/>
                <w:szCs w:val="20"/>
                <w:color w:val="auto"/>
              </w:rPr>
            </w:pPr>
            <w:r>
              <w:rPr>
                <w:rFonts w:ascii="Arial" w:cs="Arial" w:eastAsia="Arial" w:hAnsi="Arial"/>
                <w:sz w:val="14"/>
                <w:szCs w:val="14"/>
                <w:b w:val="1"/>
                <w:bCs w:val="1"/>
                <w:color w:val="auto"/>
              </w:rPr>
              <w:t>Media, Entertainment &amp; Telecommunications</w:t>
            </w:r>
          </w:p>
        </w:tc>
        <w:tc>
          <w:tcPr>
            <w:tcW w:w="260" w:type="dxa"/>
            <w:vAlign w:val="bottom"/>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4"/>
                <w:szCs w:val="14"/>
                <w:b w:val="1"/>
                <w:bCs w:val="1"/>
                <w:color w:val="auto"/>
              </w:rPr>
              <w:t>Technology</w:t>
            </w:r>
          </w:p>
        </w:tc>
        <w:tc>
          <w:tcPr>
            <w:tcW w:w="0" w:type="dxa"/>
            <w:vAlign w:val="bottom"/>
          </w:tcPr>
          <w:p>
            <w:pPr>
              <w:spacing w:after="0"/>
              <w:rPr>
                <w:sz w:val="1"/>
                <w:szCs w:val="1"/>
                <w:color w:val="auto"/>
              </w:rPr>
            </w:pPr>
          </w:p>
        </w:tc>
      </w:tr>
      <w:tr>
        <w:trPr>
          <w:trHeight w:val="193"/>
        </w:trPr>
        <w:tc>
          <w:tcPr>
            <w:tcW w:w="2280" w:type="dxa"/>
            <w:vAlign w:val="bottom"/>
            <w:tcBorders>
              <w:top w:val="single" w:sz="8" w:color="auto"/>
            </w:tcBorders>
            <w:gridSpan w:val="2"/>
          </w:tcPr>
          <w:p>
            <w:pPr>
              <w:spacing w:after="0" w:line="193" w:lineRule="exact"/>
              <w:rPr>
                <w:sz w:val="20"/>
                <w:szCs w:val="20"/>
                <w:color w:val="auto"/>
              </w:rPr>
            </w:pPr>
            <w:r>
              <w:rPr>
                <w:rFonts w:ascii="Arial" w:cs="Arial" w:eastAsia="Arial" w:hAnsi="Arial"/>
                <w:sz w:val="18"/>
                <w:szCs w:val="18"/>
                <w:color w:val="auto"/>
              </w:rPr>
              <w:t>BuzzFeed</w:t>
            </w:r>
          </w:p>
        </w:tc>
        <w:tc>
          <w:tcPr>
            <w:tcW w:w="42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1"/>
              </w:rPr>
              <w:t>Aspect Software</w:t>
            </w:r>
          </w:p>
        </w:tc>
        <w:tc>
          <w:tcPr>
            <w:tcW w:w="26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Comcast</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Cvent</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Condé Nast</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Dropbox</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Dow Jones</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Evernote</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Hearst</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HashiCorp</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Hulu</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Lenovo</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KDDI Corporation</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Looker</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News Corp UK &amp; Ireland</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PagerDuty</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Nielsen</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Pegasystems</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Schibsted Media Group</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2"/>
              </w:rPr>
              <w:t>Pivotal Software</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Telstra</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Salesforce</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80" w:type="dxa"/>
            <w:vAlign w:val="bottom"/>
            <w:gridSpan w:val="2"/>
          </w:tcPr>
          <w:p>
            <w:pPr>
              <w:spacing w:after="0"/>
              <w:rPr>
                <w:sz w:val="20"/>
                <w:szCs w:val="20"/>
                <w:color w:val="auto"/>
              </w:rPr>
            </w:pPr>
            <w:r>
              <w:rPr>
                <w:rFonts w:ascii="Arial" w:cs="Arial" w:eastAsia="Arial" w:hAnsi="Arial"/>
                <w:sz w:val="18"/>
                <w:szCs w:val="18"/>
                <w:color w:val="auto"/>
              </w:rPr>
              <w:t>Vodafone</w:t>
            </w: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Samsung Electronics</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Twilio</w:t>
            </w: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Zendesk</w:t>
            </w:r>
          </w:p>
        </w:tc>
        <w:tc>
          <w:tcPr>
            <w:tcW w:w="2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Customer Case Studies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are representative examples of how some of our customers have benefitted from using Datadog:</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Coinbase</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Financial Services</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Used: Infrastructure, APM</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2018</w:t>
      </w:r>
    </w:p>
    <w:p>
      <w:pPr>
        <w:spacing w:after="0" w:line="208" w:lineRule="exact"/>
        <w:rPr>
          <w:sz w:val="20"/>
          <w:szCs w:val="20"/>
          <w:color w:val="auto"/>
        </w:rPr>
      </w:pPr>
    </w:p>
    <w:p>
      <w:pPr>
        <w:ind w:left="260" w:firstLine="437"/>
        <w:spacing w:after="0" w:line="297" w:lineRule="auto"/>
        <w:rPr>
          <w:sz w:val="20"/>
          <w:szCs w:val="20"/>
          <w:color w:val="auto"/>
        </w:rPr>
      </w:pPr>
      <w:r>
        <w:rPr>
          <w:rFonts w:ascii="Arial" w:cs="Arial" w:eastAsia="Arial" w:hAnsi="Arial"/>
          <w:sz w:val="16"/>
          <w:szCs w:val="16"/>
          <w:color w:val="auto"/>
        </w:rPr>
        <w:t>Coinbase is a leading digital currency exchange with over 20 million users, encompassing consumers, advanced traders, businesses, and institutions. The company has facilitated the exchange of over $150 billion in currency to date. By the end of 2017, exploding interest in digital currencies led to a 60x surge in traffic to Coinbase’s customer-facing applications, which severely strained the company’s home-grown monitoring system. Coinbase required a monitoring and analytics solution that was capable of scaling with Coinbase’s exponential growth.</w:t>
      </w:r>
    </w:p>
    <w:p>
      <w:pPr>
        <w:spacing w:after="0" w:line="160" w:lineRule="exact"/>
        <w:rPr>
          <w:sz w:val="20"/>
          <w:szCs w:val="20"/>
          <w:color w:val="auto"/>
        </w:rPr>
      </w:pPr>
    </w:p>
    <w:p>
      <w:pPr>
        <w:ind w:left="260" w:right="220" w:firstLine="437"/>
        <w:spacing w:after="0" w:line="271" w:lineRule="auto"/>
        <w:rPr>
          <w:sz w:val="20"/>
          <w:szCs w:val="20"/>
          <w:color w:val="auto"/>
        </w:rPr>
      </w:pPr>
      <w:r>
        <w:rPr>
          <w:rFonts w:ascii="Arial" w:cs="Arial" w:eastAsia="Arial" w:hAnsi="Arial"/>
          <w:sz w:val="18"/>
          <w:szCs w:val="18"/>
          <w:color w:val="auto"/>
        </w:rPr>
        <w:t>In 2018, Coinbase chose Datadog to free engineers to focus on building new functionality, and provide a fast, secure, scalable, and usable monitoring tool that could handle future growth in transaction volumes.</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20"/>
          </w:cols>
          <w:pgMar w:left="240" w:top="456" w:right="9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55" w:lineRule="auto"/>
        <w:rPr>
          <w:sz w:val="20"/>
          <w:szCs w:val="20"/>
          <w:color w:val="auto"/>
        </w:rPr>
      </w:pPr>
      <w:r>
        <w:rPr>
          <w:rFonts w:ascii="Arial" w:cs="Arial" w:eastAsia="Arial" w:hAnsi="Arial"/>
          <w:sz w:val="18"/>
          <w:szCs w:val="18"/>
          <w:color w:val="auto"/>
        </w:rPr>
        <w:t>Datadog was able to meet Coinbase’s extremely rigorous security requirements, which contribute to the company’s recognition as one of the most trusted digital currency exchanges. Today, Coinbase’s more than 200 engineers use Datadog to provide timely and detailed insight into the health of their applications and infrastructure through robust dashboards and alerts. By helping Coinbase achieve its objectives for service reliability and quality, Datadog ensures positive user experiences and continued trust in Coinbase’s platform.</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Comcast</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Media, Entertainment &amp; Telecommunications</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Used: Infrastructure, APM, Logs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2017</w:t>
      </w:r>
    </w:p>
    <w:p>
      <w:pPr>
        <w:spacing w:after="0" w:line="208" w:lineRule="exact"/>
        <w:rPr>
          <w:sz w:val="20"/>
          <w:szCs w:val="20"/>
          <w:color w:val="auto"/>
        </w:rPr>
      </w:pPr>
    </w:p>
    <w:p>
      <w:pPr>
        <w:ind w:left="260" w:right="260" w:firstLine="437"/>
        <w:spacing w:after="0" w:line="259" w:lineRule="auto"/>
        <w:rPr>
          <w:sz w:val="20"/>
          <w:szCs w:val="20"/>
          <w:color w:val="auto"/>
        </w:rPr>
      </w:pPr>
      <w:r>
        <w:rPr>
          <w:rFonts w:ascii="Arial" w:cs="Arial" w:eastAsia="Arial" w:hAnsi="Arial"/>
          <w:sz w:val="18"/>
          <w:szCs w:val="18"/>
          <w:color w:val="auto"/>
        </w:rPr>
        <w:t>Comcast Corporation is a global telecommunications and media conglomerate. The company is shifting more customer-facing, mission-critical applications to the cloud and also building new businesses powered by cloud infrastructure. These initiatives require robust cloud performance monitoring to reduce technology and business risk, enable system visibility, and improve team agility.</w:t>
      </w:r>
    </w:p>
    <w:p>
      <w:pPr>
        <w:spacing w:after="0" w:line="186" w:lineRule="exact"/>
        <w:rPr>
          <w:sz w:val="20"/>
          <w:szCs w:val="20"/>
          <w:color w:val="auto"/>
        </w:rPr>
      </w:pPr>
    </w:p>
    <w:p>
      <w:pPr>
        <w:ind w:left="260" w:firstLine="437"/>
        <w:spacing w:after="0" w:line="288" w:lineRule="auto"/>
        <w:rPr>
          <w:sz w:val="20"/>
          <w:szCs w:val="20"/>
          <w:color w:val="auto"/>
        </w:rPr>
      </w:pPr>
      <w:r>
        <w:rPr>
          <w:rFonts w:ascii="Arial" w:cs="Arial" w:eastAsia="Arial" w:hAnsi="Arial"/>
          <w:sz w:val="16"/>
          <w:szCs w:val="16"/>
          <w:color w:val="auto"/>
        </w:rPr>
        <w:t>Since 2017, Datadog has empowered multiple Comcast businesses with a clear view into the underlying systems and applications that deliver an exceptional customer experience. The Comcast Timeline team leverages the Datadog platform to ensure its infrastructure, applications, and related logs are operating with the high performance required to support its business objectives. Comcast Digital Home has chosen Datadog for infrastructure and application monitoring in order to ensure the success of their growing Xhome and Xfi businesses. Beyond cloud infrastructure, Datadog has also worked with Comcast teams to provide visibility into on-premises infrastructures. In these cases and multiple others, Datadog has replaced time and labor-intensive solutions and enriched Comcast’s monitoring and log management capabilities. Datadog has enabled Comcast technical teams to spend less time monitoring and troubleshooting and more time building new features and functionality that benefit customers.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Expedia</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Consumer &amp; Retail</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Used: Infrastructure</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2016</w:t>
      </w:r>
    </w:p>
    <w:p>
      <w:pPr>
        <w:spacing w:after="0" w:line="208" w:lineRule="exact"/>
        <w:rPr>
          <w:sz w:val="20"/>
          <w:szCs w:val="20"/>
          <w:color w:val="auto"/>
        </w:rPr>
      </w:pPr>
    </w:p>
    <w:p>
      <w:pPr>
        <w:ind w:left="260" w:firstLine="437"/>
        <w:spacing w:after="0" w:line="259" w:lineRule="auto"/>
        <w:rPr>
          <w:sz w:val="20"/>
          <w:szCs w:val="20"/>
          <w:color w:val="auto"/>
        </w:rPr>
      </w:pPr>
      <w:r>
        <w:rPr>
          <w:rFonts w:ascii="Arial" w:cs="Arial" w:eastAsia="Arial" w:hAnsi="Arial"/>
          <w:sz w:val="18"/>
          <w:szCs w:val="18"/>
          <w:color w:val="auto"/>
        </w:rPr>
        <w:t>Expedia Group is the world’s travel platform, with an extensive brand portfolio that includes some of the world’s most trusted online travel brands. Vrbo, an Expedia Group brand which represents the alternative accommodations and vacation rental market, required a robust monitoring tool to enable DevOps practices in its large engineering organization.</w:t>
      </w:r>
    </w:p>
    <w:p>
      <w:pPr>
        <w:spacing w:after="0" w:line="186" w:lineRule="exact"/>
        <w:rPr>
          <w:sz w:val="20"/>
          <w:szCs w:val="20"/>
          <w:color w:val="auto"/>
        </w:rPr>
      </w:pPr>
    </w:p>
    <w:p>
      <w:pPr>
        <w:jc w:val="both"/>
        <w:ind w:left="260" w:right="120" w:firstLine="437"/>
        <w:spacing w:after="0" w:line="259" w:lineRule="auto"/>
        <w:rPr>
          <w:sz w:val="20"/>
          <w:szCs w:val="20"/>
          <w:color w:val="auto"/>
        </w:rPr>
      </w:pPr>
      <w:r>
        <w:rPr>
          <w:rFonts w:ascii="Arial" w:cs="Arial" w:eastAsia="Arial" w:hAnsi="Arial"/>
          <w:sz w:val="18"/>
          <w:szCs w:val="18"/>
          <w:color w:val="auto"/>
        </w:rPr>
        <w:t>In 2016, Vrbo integrated Datadog’s platform into all aspects of its product, data, and data science platforms powering thousands of microservices emitting over fifty billion streaming events per day in both cloud and hybrid environments. Today, over 700 engineers extensively leverage Datadog to enable a quick to fix and first to know philosophy.</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HSBC</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Financial Services</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 Used: Infrastructure</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2018</w:t>
      </w:r>
    </w:p>
    <w:p>
      <w:pPr>
        <w:spacing w:after="0" w:line="208" w:lineRule="exact"/>
        <w:rPr>
          <w:sz w:val="20"/>
          <w:szCs w:val="20"/>
          <w:color w:val="auto"/>
        </w:rPr>
      </w:pPr>
    </w:p>
    <w:p>
      <w:pPr>
        <w:ind w:left="260" w:firstLine="437"/>
        <w:spacing w:after="0" w:line="259" w:lineRule="auto"/>
        <w:rPr>
          <w:sz w:val="20"/>
          <w:szCs w:val="20"/>
          <w:color w:val="auto"/>
        </w:rPr>
      </w:pPr>
      <w:r>
        <w:rPr>
          <w:rFonts w:ascii="Arial" w:cs="Arial" w:eastAsia="Arial" w:hAnsi="Arial"/>
          <w:sz w:val="18"/>
          <w:szCs w:val="18"/>
          <w:color w:val="auto"/>
        </w:rPr>
        <w:t>HSBC is one of the world’s largest banking and financial services institutions. The company is migrating existing mission-critical, customer-facing applications to a modern, dynamic on-premises application hosting environment, and required a modern monitoring solution to ensure the success of this initiative.</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24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00" w:firstLine="437"/>
        <w:spacing w:after="0" w:line="255" w:lineRule="auto"/>
        <w:rPr>
          <w:sz w:val="20"/>
          <w:szCs w:val="20"/>
          <w:color w:val="auto"/>
        </w:rPr>
      </w:pPr>
      <w:r>
        <w:rPr>
          <w:rFonts w:ascii="Arial" w:cs="Arial" w:eastAsia="Arial" w:hAnsi="Arial"/>
          <w:sz w:val="18"/>
          <w:szCs w:val="18"/>
          <w:color w:val="auto"/>
        </w:rPr>
        <w:t>In 2018, HSBC selected Datadog to replace legacy infrastructure monitoring tools in its emerging application platform. This use has expanded to monitor the entire infrastructure which hosts 12,000 key banking applications. Several factors differentiated Datadog for HSBC: out-of-the-box dashboards and visualizations, fully-supported cloud and PaaS integrations, and ease of use. Datadog is helping to drive a collaborative culture among technical teams, and freeing up time and resources to build new capabilities.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News Corp UK &amp; Ireland</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Media, Entertainment &amp; Telecommunications</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Used: Infrastructure, Logs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2018</w:t>
      </w:r>
    </w:p>
    <w:p>
      <w:pPr>
        <w:spacing w:after="0" w:line="208" w:lineRule="exact"/>
        <w:rPr>
          <w:sz w:val="20"/>
          <w:szCs w:val="20"/>
          <w:color w:val="auto"/>
        </w:rPr>
      </w:pPr>
    </w:p>
    <w:p>
      <w:pPr>
        <w:jc w:val="both"/>
        <w:ind w:left="260" w:right="100" w:firstLine="437"/>
        <w:spacing w:after="0" w:line="282" w:lineRule="auto"/>
        <w:rPr>
          <w:sz w:val="20"/>
          <w:szCs w:val="20"/>
          <w:color w:val="auto"/>
        </w:rPr>
      </w:pPr>
      <w:r>
        <w:rPr>
          <w:rFonts w:ascii="Arial" w:cs="Arial" w:eastAsia="Arial" w:hAnsi="Arial"/>
          <w:sz w:val="17"/>
          <w:szCs w:val="17"/>
          <w:color w:val="auto"/>
        </w:rPr>
        <w:t>News Corp UK &amp; Ireland (News UK) is a major media business and owner of several of the most popular newspapers and news sites in the UK. The company’s digital platforms serve millions of users, and this already high level of traffic increases substantially during major events like the Royal Wedding and the World Cup. In order to satisfy millions of users, the company’s platforms need to be fast, reliable, and agile.</w:t>
      </w:r>
    </w:p>
    <w:p>
      <w:pPr>
        <w:spacing w:after="0" w:line="167" w:lineRule="exact"/>
        <w:rPr>
          <w:sz w:val="20"/>
          <w:szCs w:val="20"/>
          <w:color w:val="auto"/>
        </w:rPr>
      </w:pPr>
    </w:p>
    <w:p>
      <w:pPr>
        <w:jc w:val="both"/>
        <w:ind w:left="260" w:right="100" w:firstLine="437"/>
        <w:spacing w:after="0" w:line="255" w:lineRule="auto"/>
        <w:rPr>
          <w:sz w:val="20"/>
          <w:szCs w:val="20"/>
          <w:color w:val="auto"/>
        </w:rPr>
      </w:pPr>
      <w:r>
        <w:rPr>
          <w:rFonts w:ascii="Arial" w:cs="Arial" w:eastAsia="Arial" w:hAnsi="Arial"/>
          <w:sz w:val="18"/>
          <w:szCs w:val="18"/>
          <w:color w:val="auto"/>
        </w:rPr>
        <w:t>In 2018, News UK adopted Datadog’s Infrastructure Monitoring platform for detailed visibility into their new cloud infrastructure and to support DevOps practices. Later that year, News UK added Datadog’s Log Management capabilities to facilitate faster and more effective troubleshooting. By embracing Datadog as a central monitoring platform, the News UK technical team is saving money, reducing risk, and innovating and troubleshooting faster.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Peloton</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Consumer &amp; Retail</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Used: Infrastructure, APM</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2013</w:t>
      </w:r>
    </w:p>
    <w:p>
      <w:pPr>
        <w:spacing w:after="0" w:line="208" w:lineRule="exact"/>
        <w:rPr>
          <w:sz w:val="20"/>
          <w:szCs w:val="20"/>
          <w:color w:val="auto"/>
        </w:rPr>
      </w:pPr>
    </w:p>
    <w:p>
      <w:pPr>
        <w:ind w:left="260" w:right="80" w:firstLine="437"/>
        <w:spacing w:after="0" w:line="259" w:lineRule="auto"/>
        <w:rPr>
          <w:sz w:val="20"/>
          <w:szCs w:val="20"/>
          <w:color w:val="auto"/>
        </w:rPr>
      </w:pPr>
      <w:r>
        <w:rPr>
          <w:rFonts w:ascii="Arial" w:cs="Arial" w:eastAsia="Arial" w:hAnsi="Arial"/>
          <w:sz w:val="18"/>
          <w:szCs w:val="18"/>
          <w:color w:val="auto"/>
        </w:rPr>
        <w:t>Peloton brings the energy and benefits of group fitness into the home, by combining advanced technology, media, and equipment. In order to create the engagement and energy of a live exercise class, Peloton needs to deliver a high-quality video feed and real-time stats to their rapidly growing user base, and minimize any perceived lag.</w:t>
      </w:r>
    </w:p>
    <w:p>
      <w:pPr>
        <w:spacing w:after="0" w:line="186" w:lineRule="exact"/>
        <w:rPr>
          <w:sz w:val="20"/>
          <w:szCs w:val="20"/>
          <w:color w:val="auto"/>
        </w:rPr>
      </w:pPr>
    </w:p>
    <w:p>
      <w:pPr>
        <w:ind w:left="260" w:right="20" w:firstLine="437"/>
        <w:spacing w:after="0" w:line="282" w:lineRule="auto"/>
        <w:rPr>
          <w:sz w:val="20"/>
          <w:szCs w:val="20"/>
          <w:color w:val="auto"/>
        </w:rPr>
      </w:pPr>
      <w:r>
        <w:rPr>
          <w:rFonts w:ascii="Arial" w:cs="Arial" w:eastAsia="Arial" w:hAnsi="Arial"/>
          <w:sz w:val="16"/>
          <w:szCs w:val="16"/>
          <w:color w:val="auto"/>
        </w:rPr>
        <w:t>In 2013, Peloton adopted Datadog’s Infrastructure Monitoring platform to alert on availability and performance issues in the cloud infrastructure supporting their core application. The company also uses Datadog to collect custom user-experience metrics from the in-home equipment, such as video lag and wi-fi strength. And, in 2017, Peloton added Datadog’s APM capabilities to continuously identify and eliminate slowness and inefficiencies in their core application. The insight Datadog provides has helped Peloton’s engineers scale their business rapidly and improve the user experience at the same time. For example, using Datadog, Peloton was able to cut the response time when users search for a class by a factor of four. Within the first</w:t>
      </w:r>
    </w:p>
    <w:p>
      <w:pPr>
        <w:spacing w:after="0" w:line="2" w:lineRule="exact"/>
        <w:rPr>
          <w:sz w:val="20"/>
          <w:szCs w:val="20"/>
          <w:color w:val="auto"/>
        </w:rPr>
      </w:pPr>
    </w:p>
    <w:p>
      <w:pPr>
        <w:ind w:left="260" w:right="160"/>
        <w:spacing w:after="0" w:line="256" w:lineRule="auto"/>
        <w:rPr>
          <w:sz w:val="20"/>
          <w:szCs w:val="20"/>
          <w:color w:val="auto"/>
        </w:rPr>
      </w:pPr>
      <w:r>
        <w:rPr>
          <w:rFonts w:ascii="Arial" w:cs="Arial" w:eastAsia="Arial" w:hAnsi="Arial"/>
          <w:sz w:val="18"/>
          <w:szCs w:val="18"/>
          <w:color w:val="auto"/>
        </w:rPr>
        <w:t>30-45 days of using the platform, engineers were able to identify the top user requests that were having performance issues and reduced response time by 80-90%.</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Starbucks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Consumer &amp; Retail</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Used: Infrastructure, APM, Logs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2017</w:t>
      </w:r>
    </w:p>
    <w:p>
      <w:pPr>
        <w:spacing w:after="0" w:line="208" w:lineRule="exact"/>
        <w:rPr>
          <w:sz w:val="20"/>
          <w:szCs w:val="20"/>
          <w:color w:val="auto"/>
        </w:rPr>
      </w:pPr>
    </w:p>
    <w:p>
      <w:pPr>
        <w:ind w:left="260" w:firstLine="437"/>
        <w:spacing w:after="0" w:line="259" w:lineRule="auto"/>
        <w:rPr>
          <w:sz w:val="20"/>
          <w:szCs w:val="20"/>
          <w:color w:val="auto"/>
        </w:rPr>
      </w:pPr>
      <w:r>
        <w:rPr>
          <w:rFonts w:ascii="Arial" w:cs="Arial" w:eastAsia="Arial" w:hAnsi="Arial"/>
          <w:sz w:val="18"/>
          <w:szCs w:val="18"/>
          <w:color w:val="auto"/>
        </w:rPr>
        <w:t>Starbucks is the world’s largest coffee company. The company’s app and loyalty program are widely recognized as among the most successful and innovative of major consumer brands. These increasingly critical digital customer touchpoints drive billions of dollars in sales and must be fast, highly reliable, and a source of business insight.</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240" w:top="456"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firstLine="437"/>
        <w:spacing w:after="0" w:line="270" w:lineRule="auto"/>
        <w:rPr>
          <w:sz w:val="20"/>
          <w:szCs w:val="20"/>
          <w:color w:val="auto"/>
        </w:rPr>
      </w:pPr>
      <w:r>
        <w:rPr>
          <w:rFonts w:ascii="Arial" w:cs="Arial" w:eastAsia="Arial" w:hAnsi="Arial"/>
          <w:sz w:val="17"/>
          <w:szCs w:val="17"/>
          <w:color w:val="auto"/>
        </w:rPr>
        <w:t>In 2017, Starbucks adopted Datadog’s Infrastructure Monitoring platform to support their digital transformation. Since then, the company has added Datadog’s APM and Log Management capabilities to ensure smooth digital customer experiences and fast deployment of new, innovative features. As Starbucks deploys new features and changes on the app, Datadog provides engineers immediate feedback on performance. With many ways for customers to pay (plastic cards, mobile payments, the Starbucks app, and third-party apps) Datadog collects crucial transaction data, allowing Starbucks to better understand the customer and ensure purchases are recognized through the rewards program. In all, there are currently over 100 Starbucks teams using Datadog to support the business.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Twilio</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Technology</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 Used: Infrastructure</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2015</w:t>
      </w:r>
    </w:p>
    <w:p>
      <w:pPr>
        <w:spacing w:after="0" w:line="208" w:lineRule="exact"/>
        <w:rPr>
          <w:sz w:val="20"/>
          <w:szCs w:val="20"/>
          <w:color w:val="auto"/>
        </w:rPr>
      </w:pPr>
    </w:p>
    <w:p>
      <w:pPr>
        <w:ind w:left="260" w:right="140" w:firstLine="437"/>
        <w:spacing w:after="0" w:line="259" w:lineRule="auto"/>
        <w:rPr>
          <w:sz w:val="20"/>
          <w:szCs w:val="20"/>
          <w:color w:val="auto"/>
        </w:rPr>
      </w:pPr>
      <w:r>
        <w:rPr>
          <w:rFonts w:ascii="Arial" w:cs="Arial" w:eastAsia="Arial" w:hAnsi="Arial"/>
          <w:sz w:val="18"/>
          <w:szCs w:val="18"/>
          <w:color w:val="auto"/>
        </w:rPr>
        <w:t>Twilio is the leading cloud platform that enables developers to embed communications channels like voice, text, chat, video, and email into their software. With thousands of microservices powering its platform, Twilio needed a solution to help their more than 100 engineering teams collect, analyze, and share vital performance metrics.</w:t>
      </w:r>
    </w:p>
    <w:p>
      <w:pPr>
        <w:spacing w:after="0" w:line="186" w:lineRule="exact"/>
        <w:rPr>
          <w:sz w:val="20"/>
          <w:szCs w:val="20"/>
          <w:color w:val="auto"/>
        </w:rPr>
      </w:pPr>
    </w:p>
    <w:p>
      <w:pPr>
        <w:ind w:left="260" w:right="100" w:firstLine="437"/>
        <w:spacing w:after="0" w:line="254" w:lineRule="auto"/>
        <w:rPr>
          <w:sz w:val="20"/>
          <w:szCs w:val="20"/>
          <w:color w:val="auto"/>
        </w:rPr>
      </w:pPr>
      <w:r>
        <w:rPr>
          <w:rFonts w:ascii="Arial" w:cs="Arial" w:eastAsia="Arial" w:hAnsi="Arial"/>
          <w:sz w:val="18"/>
          <w:szCs w:val="18"/>
          <w:color w:val="auto"/>
        </w:rPr>
        <w:t>Twilio adopted Datadog’s Infrastructure Monitoring platform in 2015 and their usage, as measured by hosts monitored, has grown more than 4x since then. The company leverages Datadog’s hundreds of fully-supported technology integrations to ingest a tremendous amount of performance data, and then quickly process, visualize, and gain insight into their microservices. The Datadog platform has provided a single place for Twilio’s technical teams to make sense of a very complex, high scale, and dynamic infrastructure environment, which ultimately helps Twilio provide reliable and innovative communications services to customers.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Wabtec Corporation</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Industrial &amp; Transportation</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Used: Infrastructure, APM, Logs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2018</w:t>
      </w:r>
    </w:p>
    <w:p>
      <w:pPr>
        <w:spacing w:after="0" w:line="208" w:lineRule="exact"/>
        <w:rPr>
          <w:sz w:val="20"/>
          <w:szCs w:val="20"/>
          <w:color w:val="auto"/>
        </w:rPr>
      </w:pPr>
    </w:p>
    <w:p>
      <w:pPr>
        <w:ind w:left="260" w:right="80" w:firstLine="437"/>
        <w:spacing w:after="0" w:line="259" w:lineRule="auto"/>
        <w:rPr>
          <w:sz w:val="20"/>
          <w:szCs w:val="20"/>
          <w:color w:val="auto"/>
        </w:rPr>
      </w:pPr>
      <w:r>
        <w:rPr>
          <w:rFonts w:ascii="Arial" w:cs="Arial" w:eastAsia="Arial" w:hAnsi="Arial"/>
          <w:sz w:val="18"/>
          <w:szCs w:val="18"/>
          <w:color w:val="auto"/>
        </w:rPr>
        <w:t>Wabtec is a global digital industrial leader and supplier to the rail, mining, marine, stationary power, and drilling industries. The company has a large-scale initiative to migrate existing applications to the cloud and build new applications on the cloud. The company required a robust, cloud-native performance monitoring solution to ensure the success of this initiative.</w:t>
      </w:r>
    </w:p>
    <w:p>
      <w:pPr>
        <w:spacing w:after="0" w:line="186" w:lineRule="exact"/>
        <w:rPr>
          <w:sz w:val="20"/>
          <w:szCs w:val="20"/>
          <w:color w:val="auto"/>
        </w:rPr>
      </w:pPr>
    </w:p>
    <w:p>
      <w:pPr>
        <w:ind w:left="260" w:right="20" w:firstLine="437"/>
        <w:spacing w:after="0" w:line="254" w:lineRule="auto"/>
        <w:rPr>
          <w:sz w:val="20"/>
          <w:szCs w:val="20"/>
          <w:color w:val="auto"/>
        </w:rPr>
      </w:pPr>
      <w:r>
        <w:rPr>
          <w:rFonts w:ascii="Arial" w:cs="Arial" w:eastAsia="Arial" w:hAnsi="Arial"/>
          <w:sz w:val="18"/>
          <w:szCs w:val="18"/>
          <w:color w:val="auto"/>
        </w:rPr>
        <w:t>In 2018, legacy GE Transportation, now a Wabtec company, adopted Datadog for Infrastructure Monitoring, APM, and Log Management in one platform. The detailed insight Datadog provides is enabling teams to migrate applications to the cloud on schedule and with minimal disruption. Datadog’s ease of use is helping the company onboard new application development teams and helping to drive adoption of the new cloud environment. In addition, Datadog’s native support for hundreds of popular, modern tools and services is enabling Wabtec developers to introduce new technologies with confidence.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Zendesk</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Industry: Technology</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Used: Infrastructure, APM, Logs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Customer Since: 2013</w:t>
      </w:r>
    </w:p>
    <w:p>
      <w:pPr>
        <w:spacing w:after="0" w:line="208" w:lineRule="exact"/>
        <w:rPr>
          <w:sz w:val="20"/>
          <w:szCs w:val="20"/>
          <w:color w:val="auto"/>
        </w:rPr>
      </w:pPr>
    </w:p>
    <w:p>
      <w:pPr>
        <w:ind w:left="260" w:right="400" w:firstLine="437"/>
        <w:spacing w:after="0" w:line="271" w:lineRule="auto"/>
        <w:rPr>
          <w:sz w:val="20"/>
          <w:szCs w:val="20"/>
          <w:color w:val="auto"/>
        </w:rPr>
      </w:pPr>
      <w:r>
        <w:rPr>
          <w:rFonts w:ascii="Arial" w:cs="Arial" w:eastAsia="Arial" w:hAnsi="Arial"/>
          <w:sz w:val="18"/>
          <w:szCs w:val="18"/>
          <w:color w:val="auto"/>
        </w:rPr>
        <w:t>Zendesk’s customer service and engagement products are powerful and flexible, and scale to meet the needs of any business. Zendesk serves businesses across hundreds of industries, with more than 145,000 paid customer</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240" w:top="456"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40"/>
        <w:spacing w:after="0" w:line="259" w:lineRule="auto"/>
        <w:rPr>
          <w:sz w:val="20"/>
          <w:szCs w:val="20"/>
          <w:color w:val="auto"/>
        </w:rPr>
      </w:pPr>
      <w:r>
        <w:rPr>
          <w:rFonts w:ascii="Arial" w:cs="Arial" w:eastAsia="Arial" w:hAnsi="Arial"/>
          <w:sz w:val="18"/>
          <w:szCs w:val="18"/>
          <w:color w:val="auto"/>
        </w:rPr>
        <w:t>accounts offering service and support in over 30 languages. Zendesk’s globally-distributed engineering teams had long selected their own performance monitoring tools, leading to tool sprawl, data silos, and monitoring gaps. In order to boost developer productivity and improve troubleshooting speed and effectiveness, Zendesk sought to consolidate its performance monitoring toolset.</w:t>
      </w:r>
    </w:p>
    <w:p>
      <w:pPr>
        <w:spacing w:after="0" w:line="186"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In 2013, Zendesk invested in Datadog’s Infrastructure Monitoring platform, and in 2018 adopted Datadog APM for code-level insight in one platform. Then, in 2019, Zendesk added Datadog’s log management capabilities, bringing a third pillar of highly granular performance data onto the platform. Over the last six years, Zendesk has partnered with Datadog to serve their evolving needs. For example, Zendesk extensively uses Datadog APM and Log Management to find “needles in haystacks”—that is, to precisely pinpoint issues such as individual requests that are taking too long or utilizing too much infrastructure capacity. This data-driven insight gives teams specific guidance on how to improve the performance of their code, and also immediately see if changes and new deployments are working as expected. By embracing Datadog as a unified platform for insight on infrastructure, applications, and logs, Zendesk is enabling its more than 500 engineers to spend less time searching for solutions and more time building new functionality. Beyond being leveraged by engineers, Zendesk’s support organization uses insights and information from Datadog to ensure a leading customer experience.</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Technology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SaaS Platform</w:t>
      </w:r>
    </w:p>
    <w:p>
      <w:pPr>
        <w:spacing w:after="0" w:line="221" w:lineRule="exact"/>
        <w:rPr>
          <w:sz w:val="20"/>
          <w:szCs w:val="20"/>
          <w:color w:val="auto"/>
        </w:rPr>
      </w:pPr>
    </w:p>
    <w:p>
      <w:pPr>
        <w:ind w:left="260" w:right="40" w:firstLine="437"/>
        <w:spacing w:after="0" w:line="293" w:lineRule="auto"/>
        <w:rPr>
          <w:sz w:val="20"/>
          <w:szCs w:val="20"/>
          <w:color w:val="auto"/>
        </w:rPr>
      </w:pPr>
      <w:r>
        <w:rPr>
          <w:rFonts w:ascii="Arial" w:cs="Arial" w:eastAsia="Arial" w:hAnsi="Arial"/>
          <w:sz w:val="16"/>
          <w:szCs w:val="16"/>
          <w:color w:val="auto"/>
        </w:rPr>
        <w:t>Our SaaS platform was purpose-built for scaling and leveraging modern technologies such as containers, microservices and serverless computing. This has informed many of the technology architectural decisions we have made for our platform and products, as we understand the complexity of operating in these dynamic environments. Our SaaS multi-tenant platform allows us to rapidly introduce new features required by today’s rapidly changing technology environment. The result is an “always-on” service that provides customers with daily enhancements and unlimited capacity to take on new performance data that a customer opts to monitor and analyze with our platform, reducing the friction associated with onboarding.</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Proprietary Data Storage System Drives Scalability</w:t>
      </w:r>
    </w:p>
    <w:p>
      <w:pPr>
        <w:spacing w:after="0" w:line="221" w:lineRule="exact"/>
        <w:rPr>
          <w:sz w:val="20"/>
          <w:szCs w:val="20"/>
          <w:color w:val="auto"/>
        </w:rPr>
      </w:pPr>
    </w:p>
    <w:p>
      <w:pPr>
        <w:ind w:left="260" w:right="80" w:firstLine="437"/>
        <w:spacing w:after="0" w:line="297" w:lineRule="auto"/>
        <w:rPr>
          <w:sz w:val="20"/>
          <w:szCs w:val="20"/>
          <w:color w:val="auto"/>
        </w:rPr>
      </w:pPr>
      <w:r>
        <w:rPr>
          <w:rFonts w:ascii="Arial" w:cs="Arial" w:eastAsia="Arial" w:hAnsi="Arial"/>
          <w:sz w:val="16"/>
          <w:szCs w:val="16"/>
          <w:color w:val="auto"/>
        </w:rPr>
        <w:t>We built a proprietary data storage system that provides our platform with the scale to ingest, stream and analyze massive datasets in real time. Our platform is able to process and store several trillion events points a day in a highly performant manner through the use of our proprietary database architecture. This system allows for quick, behind-the-scenes querying of data at full granularity, and presents it to the user in real-time. Given the scale of our datasets we are able to drive better, more actionable, insights infrastructure, application and business performance.</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One Data Model</w:t>
      </w:r>
    </w:p>
    <w:p>
      <w:pPr>
        <w:spacing w:after="0" w:line="221" w:lineRule="exact"/>
        <w:rPr>
          <w:sz w:val="20"/>
          <w:szCs w:val="20"/>
          <w:color w:val="auto"/>
        </w:rPr>
      </w:pPr>
    </w:p>
    <w:p>
      <w:pPr>
        <w:ind w:left="260" w:right="60" w:firstLine="437"/>
        <w:spacing w:after="0" w:line="255" w:lineRule="auto"/>
        <w:rPr>
          <w:sz w:val="20"/>
          <w:szCs w:val="20"/>
          <w:color w:val="auto"/>
        </w:rPr>
      </w:pPr>
      <w:r>
        <w:rPr>
          <w:rFonts w:ascii="Arial" w:cs="Arial" w:eastAsia="Arial" w:hAnsi="Arial"/>
          <w:sz w:val="18"/>
          <w:szCs w:val="18"/>
          <w:color w:val="auto"/>
        </w:rPr>
        <w:t>We built Datadog to break the old model of siloed development and operations teams by making monitoring and monitoring data accessible to everyone in the organization. Every piece of data that is ingested by our platform is consistently tagged with metadata regardless of its type. This allows for different kinds of performance data, such as a log event and an application trace, to be queried together, correlated, alerted on, and visualized in a common user interface.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Enterprise-Grade Security and Compliance</w:t>
      </w:r>
    </w:p>
    <w:p>
      <w:pPr>
        <w:spacing w:after="0" w:line="221" w:lineRule="exact"/>
        <w:rPr>
          <w:sz w:val="20"/>
          <w:szCs w:val="20"/>
          <w:color w:val="auto"/>
        </w:rPr>
      </w:pPr>
    </w:p>
    <w:p>
      <w:pPr>
        <w:ind w:left="260" w:right="240" w:firstLine="437"/>
        <w:spacing w:after="0" w:line="259" w:lineRule="auto"/>
        <w:rPr>
          <w:sz w:val="20"/>
          <w:szCs w:val="20"/>
          <w:color w:val="auto"/>
        </w:rPr>
      </w:pPr>
      <w:r>
        <w:rPr>
          <w:rFonts w:ascii="Arial" w:cs="Arial" w:eastAsia="Arial" w:hAnsi="Arial"/>
          <w:sz w:val="18"/>
          <w:szCs w:val="18"/>
          <w:color w:val="auto"/>
        </w:rPr>
        <w:t>We are committed to the security and privacy of our customers’ data. Data submitted to the Datadog service by authorized users is considered confidential, is protected in transit across public networks and encrypted at rest. All data transmitted between Datadog and Datadog users is protected using Transport Layer Security and HTTP</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60"/>
          </w:cols>
          <w:pgMar w:left="24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60"/>
        <w:spacing w:after="0" w:line="259" w:lineRule="auto"/>
        <w:rPr>
          <w:sz w:val="20"/>
          <w:szCs w:val="20"/>
          <w:color w:val="auto"/>
        </w:rPr>
      </w:pPr>
      <w:r>
        <w:rPr>
          <w:rFonts w:ascii="Arial" w:cs="Arial" w:eastAsia="Arial" w:hAnsi="Arial"/>
          <w:sz w:val="18"/>
          <w:szCs w:val="18"/>
          <w:color w:val="auto"/>
        </w:rPr>
        <w:t>Strict Transport Security. Additionally, we have continued to pursue independent third-party assessments and validations of our security and compliance capabilities, including through industry-standard reports like SOC 2 Type II. We have also completed a third-party HIPAA compliance assessment for the Log Management product.</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Ecosystem</w:t>
      </w:r>
    </w:p>
    <w:p>
      <w:pPr>
        <w:spacing w:after="0" w:line="225" w:lineRule="exact"/>
        <w:rPr>
          <w:sz w:val="20"/>
          <w:szCs w:val="20"/>
          <w:color w:val="auto"/>
        </w:rPr>
      </w:pPr>
    </w:p>
    <w:p>
      <w:pPr>
        <w:ind w:left="260" w:right="180" w:firstLine="437"/>
        <w:spacing w:after="0" w:line="255" w:lineRule="auto"/>
        <w:rPr>
          <w:sz w:val="20"/>
          <w:szCs w:val="20"/>
          <w:color w:val="auto"/>
        </w:rPr>
      </w:pPr>
      <w:r>
        <w:rPr>
          <w:rFonts w:ascii="Arial" w:cs="Arial" w:eastAsia="Arial" w:hAnsi="Arial"/>
          <w:sz w:val="18"/>
          <w:szCs w:val="18"/>
          <w:color w:val="auto"/>
        </w:rPr>
        <w:t>Datadog’s client software, such as our agent, integration plugins, SDKs and documentation are licensed and developed as open source software. Our community is made up of thousands of developers, representing over 650 organizations, who contribute code and documentation to extend and improve upon Datadog’s client software. In addition, we offer a free version of our software to reduce the friction of customer adoption and encourage developer utilization.</w:t>
      </w:r>
    </w:p>
    <w:p>
      <w:pPr>
        <w:spacing w:after="0" w:line="191" w:lineRule="exact"/>
        <w:rPr>
          <w:sz w:val="20"/>
          <w:szCs w:val="20"/>
          <w:color w:val="auto"/>
        </w:rPr>
      </w:pPr>
    </w:p>
    <w:p>
      <w:pPr>
        <w:ind w:left="260" w:right="20" w:firstLine="437"/>
        <w:spacing w:after="0" w:line="307" w:lineRule="auto"/>
        <w:rPr>
          <w:sz w:val="20"/>
          <w:szCs w:val="20"/>
          <w:color w:val="auto"/>
        </w:rPr>
      </w:pPr>
      <w:r>
        <w:rPr>
          <w:rFonts w:ascii="Arial" w:cs="Arial" w:eastAsia="Arial" w:hAnsi="Arial"/>
          <w:sz w:val="16"/>
          <w:szCs w:val="16"/>
          <w:color w:val="auto"/>
        </w:rPr>
        <w:t>In addition to our own projects, Datadog is an active participant in upstream software projects, community foundations and standard bodies. Participation in these projects and advisory boards such as the Open-Tracing Specification Council, Kubernetes, Terraform, Istio and others, allows us to play an active role in driving these projects to meet our customers’ monitoring needs and ensure integration with our own services.</w:t>
      </w:r>
    </w:p>
    <w:p>
      <w:pPr>
        <w:spacing w:after="0" w:line="150" w:lineRule="exact"/>
        <w:rPr>
          <w:sz w:val="20"/>
          <w:szCs w:val="20"/>
          <w:color w:val="auto"/>
        </w:rPr>
      </w:pPr>
    </w:p>
    <w:p>
      <w:pPr>
        <w:ind w:left="260" w:right="280" w:firstLine="437"/>
        <w:spacing w:after="0" w:line="255" w:lineRule="auto"/>
        <w:rPr>
          <w:sz w:val="20"/>
          <w:szCs w:val="20"/>
          <w:color w:val="auto"/>
        </w:rPr>
      </w:pPr>
      <w:r>
        <w:rPr>
          <w:rFonts w:ascii="Arial" w:cs="Arial" w:eastAsia="Arial" w:hAnsi="Arial"/>
          <w:sz w:val="18"/>
          <w:szCs w:val="18"/>
          <w:color w:val="auto"/>
        </w:rPr>
        <w:t>We believe that participating in the open source community makes it easier for our customers to do business with us and enhances the attractiveness and depth of our offering. It allows our customers to more efficiently write their own integrations and increases the transparency of our technology that may be downloaded. Further, we believe it allows us to attract and retain talented engineers and strengthens our reputation within the developer community.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ind w:left="260" w:right="80" w:firstLine="437"/>
        <w:spacing w:after="0" w:line="272" w:lineRule="auto"/>
        <w:rPr>
          <w:sz w:val="20"/>
          <w:szCs w:val="20"/>
          <w:color w:val="auto"/>
        </w:rPr>
      </w:pPr>
      <w:r>
        <w:rPr>
          <w:rFonts w:ascii="Arial" w:cs="Arial" w:eastAsia="Arial" w:hAnsi="Arial"/>
          <w:sz w:val="17"/>
          <w:szCs w:val="17"/>
          <w:color w:val="auto"/>
        </w:rPr>
        <w:t>Our sales team is segmented into four revenue-generating areas: an enterprise sales team that sells to large businesses; a high velocity inside-sales team that is focused on acquiring new customers; a customer success team that handles new customer on-boarding and expansions in existing customers; and a partner team that works with resellers, distributors and managed service providers. Each of these teams is further split regionally for geographic coverage across Americas, APAC and EMEA. The sales teams work with marketing to actively pursue leads generated from marketing programs and help take prospective customers through an evaluation and purchase process.</w:t>
      </w:r>
    </w:p>
    <w:p>
      <w:pPr>
        <w:spacing w:after="0" w:line="177" w:lineRule="exact"/>
        <w:rPr>
          <w:sz w:val="20"/>
          <w:szCs w:val="20"/>
          <w:color w:val="auto"/>
        </w:rPr>
      </w:pPr>
    </w:p>
    <w:p>
      <w:pPr>
        <w:ind w:left="260" w:firstLine="437"/>
        <w:spacing w:after="0" w:line="290" w:lineRule="auto"/>
        <w:rPr>
          <w:sz w:val="20"/>
          <w:szCs w:val="20"/>
          <w:color w:val="auto"/>
        </w:rPr>
      </w:pPr>
      <w:r>
        <w:rPr>
          <w:rFonts w:ascii="Arial" w:cs="Arial" w:eastAsia="Arial" w:hAnsi="Arial"/>
          <w:sz w:val="16"/>
          <w:szCs w:val="16"/>
          <w:color w:val="auto"/>
        </w:rPr>
        <w:t>We sell to organizations of all sizes across a broad range of industries and make it easy for developers and IT operations teams to begin using our platform. As a result of the viral nature and ease of use of our platform, our products are able to capitalize on the decision-making power of the developer community to initially land with development and IT operation teams and then spread organically to broader teams. Our relationships within customer organizations often grow beyond the initial users of the technology to include senior technology and business decision-makers. We also engage with our customers on an ongoing basis through a customer success team, to ensure customer satisfaction and to help expand their usage of our platform. In addition, we have select resellers, managed service providers and partners who sell our products.</w:t>
      </w:r>
    </w:p>
    <w:p>
      <w:pPr>
        <w:spacing w:after="0" w:line="165" w:lineRule="exact"/>
        <w:rPr>
          <w:sz w:val="20"/>
          <w:szCs w:val="20"/>
          <w:color w:val="auto"/>
        </w:rPr>
      </w:pPr>
    </w:p>
    <w:p>
      <w:pPr>
        <w:ind w:left="260" w:right="220" w:firstLine="437"/>
        <w:spacing w:after="0" w:line="254" w:lineRule="auto"/>
        <w:rPr>
          <w:sz w:val="20"/>
          <w:szCs w:val="20"/>
          <w:color w:val="auto"/>
        </w:rPr>
      </w:pPr>
      <w:r>
        <w:rPr>
          <w:rFonts w:ascii="Arial" w:cs="Arial" w:eastAsia="Arial" w:hAnsi="Arial"/>
          <w:sz w:val="18"/>
          <w:szCs w:val="18"/>
          <w:color w:val="auto"/>
        </w:rPr>
        <w:t>Our customer success team manages the relationships of our customers, primarily focused on those that come from the inside sales channel, and through partnership with the enterprise sales force. In addition to being a day-to-day contact for our customers, our customer success team drives renewals, upsells and cross-sells. As key drivers of our land-and-expand business model, customer success employees ensure customers are receiving value from our platform, while supporting a growing relationship over time through increased usage of our platform and adoption of newer platform products.</w:t>
      </w:r>
    </w:p>
    <w:p>
      <w:pPr>
        <w:spacing w:after="0" w:line="189" w:lineRule="exact"/>
        <w:rPr>
          <w:sz w:val="20"/>
          <w:szCs w:val="20"/>
          <w:color w:val="auto"/>
        </w:rPr>
      </w:pPr>
    </w:p>
    <w:p>
      <w:pPr>
        <w:ind w:left="260" w:right="220" w:firstLine="437"/>
        <w:spacing w:after="0" w:line="259" w:lineRule="auto"/>
        <w:rPr>
          <w:sz w:val="20"/>
          <w:szCs w:val="20"/>
          <w:color w:val="auto"/>
        </w:rPr>
      </w:pPr>
      <w:r>
        <w:rPr>
          <w:rFonts w:ascii="Arial" w:cs="Arial" w:eastAsia="Arial" w:hAnsi="Arial"/>
          <w:sz w:val="18"/>
          <w:szCs w:val="18"/>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6"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52" w:lineRule="auto"/>
        <w:rPr>
          <w:sz w:val="20"/>
          <w:szCs w:val="20"/>
          <w:color w:val="auto"/>
        </w:rPr>
      </w:pPr>
      <w:r>
        <w:rPr>
          <w:rFonts w:ascii="Arial" w:cs="Arial" w:eastAsia="Arial" w:hAnsi="Arial"/>
          <w:sz w:val="18"/>
          <w:szCs w:val="18"/>
          <w:color w:val="auto"/>
        </w:rPr>
        <w:t>marketing, events, digital advertising, social media, public relations, partner marketing and community initiatives. We offer prospective customers free trials to help them understand the power of our platform. Once a prospective customer is trialing Datadog, our sales efforts aim to land an initial purchase, which we then work to expand into broader use cases, increased environment footprints and new product adoption. We also host and present at regional, national and global events, including our Dash conference, to engage both customers and prospects, deliver product training, share best practices and foster community. Our technical leaders and evangelists frequently speak as subject matter experts at market-leading developer events such as DevOpsDays and AWS re:Invent.</w:t>
      </w:r>
    </w:p>
    <w:p>
      <w:pPr>
        <w:spacing w:after="0" w:line="195" w:lineRule="exact"/>
        <w:rPr>
          <w:sz w:val="20"/>
          <w:szCs w:val="20"/>
          <w:color w:val="auto"/>
        </w:rPr>
      </w:pPr>
    </w:p>
    <w:p>
      <w:pPr>
        <w:ind w:left="260" w:right="160" w:firstLine="437"/>
        <w:spacing w:after="0" w:line="259" w:lineRule="auto"/>
        <w:rPr>
          <w:sz w:val="20"/>
          <w:szCs w:val="20"/>
          <w:color w:val="auto"/>
        </w:rPr>
      </w:pPr>
      <w:r>
        <w:rPr>
          <w:rFonts w:ascii="Arial" w:cs="Arial" w:eastAsia="Arial" w:hAnsi="Arial"/>
          <w:sz w:val="18"/>
          <w:szCs w:val="18"/>
          <w:color w:val="auto"/>
        </w:rPr>
        <w:t>As of June 30, 2019, we had 474 employees in our sales and marketing organization, including sales development, field sales, sales engineering, business development, sales operations, sales strategy, customer success and marketing personnel. We intend to continue to invest in our sales and marketing capabilities to capitalize on our market opportunity.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Research and Development</w:t>
      </w:r>
    </w:p>
    <w:p>
      <w:pPr>
        <w:spacing w:after="0" w:line="225" w:lineRule="exact"/>
        <w:rPr>
          <w:sz w:val="20"/>
          <w:szCs w:val="20"/>
          <w:color w:val="auto"/>
        </w:rPr>
      </w:pPr>
    </w:p>
    <w:p>
      <w:pPr>
        <w:ind w:left="260" w:right="80" w:firstLine="437"/>
        <w:spacing w:after="0" w:line="254" w:lineRule="auto"/>
        <w:rPr>
          <w:sz w:val="20"/>
          <w:szCs w:val="20"/>
          <w:color w:val="auto"/>
        </w:rPr>
      </w:pPr>
      <w:r>
        <w:rPr>
          <w:rFonts w:ascii="Arial" w:cs="Arial" w:eastAsia="Arial" w:hAnsi="Arial"/>
          <w:sz w:val="18"/>
          <w:szCs w:val="18"/>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most significant investments are in research and development to drive core technology innovation and bring new products to market. Research and development employees are located primarily in our New York and Paris offices, as well as remotely distributed.</w:t>
      </w:r>
    </w:p>
    <w:p>
      <w:pPr>
        <w:spacing w:after="0" w:line="189" w:lineRule="exact"/>
        <w:rPr>
          <w:sz w:val="20"/>
          <w:szCs w:val="20"/>
          <w:color w:val="auto"/>
        </w:rPr>
      </w:pPr>
    </w:p>
    <w:p>
      <w:pPr>
        <w:ind w:left="260" w:right="120" w:firstLine="437"/>
        <w:spacing w:after="0" w:line="259" w:lineRule="auto"/>
        <w:rPr>
          <w:sz w:val="20"/>
          <w:szCs w:val="20"/>
          <w:color w:val="auto"/>
        </w:rPr>
      </w:pPr>
      <w:r>
        <w:rPr>
          <w:rFonts w:ascii="Arial" w:cs="Arial" w:eastAsia="Arial" w:hAnsi="Arial"/>
          <w:sz w:val="18"/>
          <w:szCs w:val="18"/>
          <w:color w:val="auto"/>
        </w:rPr>
        <w:t>Our research and development team consists of our software engineering, user experience, product management, development and site reliability engineering teams. As of June 30, 2019, we had 462 employees in our research and development organization. We intend to continue to invest in our research and development capabilities to extend our platform and products.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Competition</w:t>
      </w:r>
    </w:p>
    <w:p>
      <w:pPr>
        <w:spacing w:after="0" w:line="225" w:lineRule="exact"/>
        <w:rPr>
          <w:sz w:val="20"/>
          <w:szCs w:val="20"/>
          <w:color w:val="auto"/>
        </w:rPr>
      </w:pPr>
    </w:p>
    <w:p>
      <w:pPr>
        <w:ind w:left="260" w:right="100" w:firstLine="437"/>
        <w:spacing w:after="0" w:line="271" w:lineRule="auto"/>
        <w:rPr>
          <w:sz w:val="20"/>
          <w:szCs w:val="20"/>
          <w:color w:val="auto"/>
        </w:rPr>
      </w:pPr>
      <w:r>
        <w:rPr>
          <w:rFonts w:ascii="Arial" w:cs="Arial" w:eastAsia="Arial" w:hAnsi="Arial"/>
          <w:sz w:val="18"/>
          <w:szCs w:val="18"/>
          <w:color w:val="auto"/>
        </w:rPr>
        <w:t>The worldwide monitoring and analytics market is and has been highly competitive for decades and is rapidly evolving. We compete on the basis of a number of factors, including:</w:t>
      </w:r>
    </w:p>
    <w:p>
      <w:pPr>
        <w:spacing w:after="0" w:line="81" w:lineRule="exact"/>
        <w:rPr>
          <w:sz w:val="20"/>
          <w:szCs w:val="20"/>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24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firstLine="437"/>
        <w:spacing w:after="0" w:line="271" w:lineRule="auto"/>
        <w:rPr>
          <w:sz w:val="20"/>
          <w:szCs w:val="20"/>
          <w:color w:val="auto"/>
        </w:rPr>
      </w:pPr>
      <w:r>
        <w:rPr>
          <w:rFonts w:ascii="Arial" w:cs="Arial" w:eastAsia="Arial" w:hAnsi="Arial"/>
          <w:sz w:val="18"/>
          <w:szCs w:val="18"/>
          <w:color w:val="auto"/>
        </w:rPr>
        <w:t>Our unified platform combines functionality from numerous traditional product categories, and hence we compete in each of these categories with different vendors:</w:t>
      </w:r>
    </w:p>
    <w:p>
      <w:pPr>
        <w:spacing w:after="0" w:line="81" w:lineRule="exact"/>
        <w:rPr>
          <w:sz w:val="20"/>
          <w:szCs w:val="20"/>
          <w:color w:val="auto"/>
        </w:rPr>
      </w:pPr>
    </w:p>
    <w:p>
      <w:pPr>
        <w:ind w:left="1220" w:right="540" w:hanging="537"/>
        <w:spacing w:after="0" w:line="259" w:lineRule="auto"/>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 respect to on-premise infrastructure monitoring, we compete with diversified technology companies and systems management vendors including IBM, Microsoft Corporation, Micro Focus International plc, BMC Software, Inc. and Computer Associates International, Inc.</w:t>
      </w:r>
    </w:p>
    <w:p>
      <w:pPr>
        <w:spacing w:after="0" w:line="92" w:lineRule="exact"/>
        <w:rPr>
          <w:rFonts w:ascii="Arial" w:cs="Arial" w:eastAsia="Arial" w:hAnsi="Arial"/>
          <w:sz w:val="18"/>
          <w:szCs w:val="18"/>
          <w:color w:val="auto"/>
        </w:rPr>
      </w:pPr>
    </w:p>
    <w:p>
      <w:pPr>
        <w:ind w:left="1220" w:hanging="537"/>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 respect to APM, we compete with Cisco Systems, Inc., New Relic, Inc. and Dynatrace Software Inc.</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 respect to Log management, we compete with Splunk Inc. and Elastic N.V.</w:t>
      </w:r>
    </w:p>
    <w:p>
      <w:pPr>
        <w:spacing w:after="0" w:line="127" w:lineRule="exact"/>
        <w:rPr>
          <w:rFonts w:ascii="Arial" w:cs="Arial" w:eastAsia="Arial" w:hAnsi="Arial"/>
          <w:sz w:val="18"/>
          <w:szCs w:val="18"/>
          <w:color w:val="auto"/>
        </w:rPr>
      </w:pPr>
    </w:p>
    <w:p>
      <w:pPr>
        <w:ind w:left="1220" w:right="300" w:hanging="537"/>
        <w:spacing w:after="0" w:line="271" w:lineRule="auto"/>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 respect to Cloud monitoring, we compete with native solutions from cloud providers such as Amazon.com, Inc. (AWS), Alphabet Inc. (GCP) and Microsoft Corporation (Azure).</w:t>
      </w:r>
    </w:p>
    <w:p>
      <w:pPr>
        <w:spacing w:after="0" w:line="175" w:lineRule="exact"/>
        <w:rPr>
          <w:sz w:val="20"/>
          <w:szCs w:val="20"/>
          <w:color w:val="auto"/>
        </w:rPr>
      </w:pPr>
    </w:p>
    <w:p>
      <w:pPr>
        <w:ind w:left="260" w:right="60" w:firstLine="437"/>
        <w:spacing w:after="0" w:line="290" w:lineRule="auto"/>
        <w:rPr>
          <w:sz w:val="20"/>
          <w:szCs w:val="20"/>
          <w:color w:val="auto"/>
        </w:rPr>
      </w:pPr>
      <w:r>
        <w:rPr>
          <w:rFonts w:ascii="Arial" w:cs="Arial" w:eastAsia="Arial" w:hAnsi="Arial"/>
          <w:sz w:val="16"/>
          <w:szCs w:val="16"/>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Employees</w:t>
      </w:r>
    </w:p>
    <w:p>
      <w:pPr>
        <w:spacing w:after="0" w:line="225" w:lineRule="exact"/>
        <w:rPr>
          <w:sz w:val="20"/>
          <w:szCs w:val="20"/>
          <w:color w:val="auto"/>
        </w:rPr>
      </w:pPr>
    </w:p>
    <w:p>
      <w:pPr>
        <w:ind w:left="260" w:right="40" w:firstLine="437"/>
        <w:spacing w:after="0" w:line="255" w:lineRule="auto"/>
        <w:rPr>
          <w:sz w:val="20"/>
          <w:szCs w:val="20"/>
          <w:color w:val="auto"/>
        </w:rPr>
      </w:pPr>
      <w:r>
        <w:rPr>
          <w:rFonts w:ascii="Arial" w:cs="Arial" w:eastAsia="Arial" w:hAnsi="Arial"/>
          <w:sz w:val="18"/>
          <w:szCs w:val="18"/>
          <w:color w:val="auto"/>
        </w:rPr>
        <w:t>As of June 30, 2019, we had 1,212 employees operating across 24 countries. None of our employees are represented by a labor union with respect to his or her employment. In certain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260" w:right="60" w:firstLine="437"/>
        <w:spacing w:after="0" w:line="254" w:lineRule="auto"/>
        <w:rPr>
          <w:sz w:val="20"/>
          <w:szCs w:val="20"/>
          <w:color w:val="auto"/>
        </w:rPr>
      </w:pPr>
      <w:r>
        <w:rPr>
          <w:rFonts w:ascii="Arial" w:cs="Arial" w:eastAsia="Arial" w:hAnsi="Arial"/>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use open source software in our services. Our proprietary API and the agent used by customers to upload data to our platform are licensed by us on an open source basis.</w:t>
      </w:r>
    </w:p>
    <w:p>
      <w:pPr>
        <w:spacing w:after="0" w:line="189"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As of June 30, 2019, we own three patent applications pending for examination in the United States and no non-U.S. patents or patent applications. The pending U.S. patent applications, if issued, would be scheduled to expire in 2038 and 2039. Despite our pending U.S. patent applications, there can be no assurance that our patent applications will result in issued patents. As of June 30, 2019, we own two registered trademarks in the United States and six registered trademarks in various non-U.S. jurisdictions. However, as we have expanded internationally, we have been unable to register or obtain the right to use the Datadog trademark in certain jurisdictions, and as we continue to expand may face similar issues in other jurisdictions.</w:t>
      </w:r>
    </w:p>
    <w:p>
      <w:pPr>
        <w:spacing w:after="0" w:line="195" w:lineRule="exact"/>
        <w:rPr>
          <w:sz w:val="20"/>
          <w:szCs w:val="20"/>
          <w:color w:val="auto"/>
        </w:rPr>
      </w:pPr>
    </w:p>
    <w:p>
      <w:pPr>
        <w:ind w:left="260" w:right="160" w:firstLine="437"/>
        <w:spacing w:after="0" w:line="255" w:lineRule="auto"/>
        <w:rPr>
          <w:sz w:val="20"/>
          <w:szCs w:val="20"/>
          <w:color w:val="auto"/>
        </w:rPr>
      </w:pPr>
      <w:r>
        <w:rPr>
          <w:rFonts w:ascii="Arial" w:cs="Arial" w:eastAsia="Arial" w:hAnsi="Arial"/>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platform are more essential to establishing and maintaining our technology leadership position.</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60"/>
          </w:cols>
          <w:pgMar w:left="24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firstLine="437"/>
        <w:spacing w:after="0" w:line="288" w:lineRule="auto"/>
        <w:rPr>
          <w:sz w:val="20"/>
          <w:szCs w:val="20"/>
          <w:color w:val="auto"/>
        </w:rPr>
      </w:pPr>
      <w:r>
        <w:rPr>
          <w:rFonts w:ascii="Arial" w:cs="Arial" w:eastAsia="Arial" w:hAnsi="Arial"/>
          <w:sz w:val="16"/>
          <w:szCs w:val="16"/>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Facilities</w:t>
      </w:r>
    </w:p>
    <w:p>
      <w:pPr>
        <w:spacing w:after="0" w:line="225" w:lineRule="exact"/>
        <w:rPr>
          <w:sz w:val="20"/>
          <w:szCs w:val="20"/>
          <w:color w:val="auto"/>
        </w:rPr>
      </w:pPr>
    </w:p>
    <w:p>
      <w:pPr>
        <w:jc w:val="both"/>
        <w:ind w:left="260" w:right="20" w:firstLine="437"/>
        <w:spacing w:after="0" w:line="275" w:lineRule="auto"/>
        <w:rPr>
          <w:sz w:val="20"/>
          <w:szCs w:val="20"/>
          <w:color w:val="auto"/>
        </w:rPr>
      </w:pPr>
      <w:r>
        <w:rPr>
          <w:rFonts w:ascii="Arial" w:cs="Arial" w:eastAsia="Arial" w:hAnsi="Arial"/>
          <w:sz w:val="17"/>
          <w:szCs w:val="17"/>
          <w:color w:val="auto"/>
        </w:rPr>
        <w:t>Our headquarters is located in New York City, where we lease approximately 97,000 square feet pursuant to three separate subleases. One of these subleases, for approximately 33,000 square feet, will expire in September 2022. The other two subleases, together for approximately 64,000 square feet, will expire in December 2023. We have other offices including Boston, Dublin and Paris. These offices are leased and we do not own any real property. We believe that our current facilities are adequate to meet our current needs.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left="260" w:right="40" w:firstLine="437"/>
        <w:spacing w:after="0" w:line="293"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60"/>
          </w:cols>
          <w:pgMar w:left="240" w:top="456"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information for our executive officers and directors as of September 6, 2019:</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tcPr>
          <w:p>
            <w:pPr>
              <w:spacing w:after="0"/>
              <w:rPr>
                <w:sz w:val="14"/>
                <w:szCs w:val="1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462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73"/>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Olivier Pomel</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Co-Founder and Director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Alexis Lê-Quôc</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w w:val="90"/>
              </w:rPr>
              <w:t>President, Chief Technology Officer, Co-Founder and Director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Amit Agarwal</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Chief Product Officer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David Obstler</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Dan Fougere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Chief Revenue Officer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Laszlo Kopits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General Counsel</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Armelle de Madre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Chief People Officer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Michael Callahan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Matthew Jacobson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Dev Ittycheria</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Julie Richardson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81"/>
        </w:trPr>
        <w:tc>
          <w:tcPr>
            <w:tcW w:w="2860" w:type="dxa"/>
            <w:vAlign w:val="bottom"/>
            <w:gridSpan w:val="2"/>
          </w:tcPr>
          <w:p>
            <w:pPr>
              <w:spacing w:after="0"/>
              <w:rPr>
                <w:sz w:val="20"/>
                <w:szCs w:val="20"/>
                <w:color w:val="auto"/>
              </w:rPr>
            </w:pPr>
            <w:r>
              <w:rPr>
                <w:rFonts w:ascii="Arial" w:cs="Arial" w:eastAsia="Arial" w:hAnsi="Arial"/>
                <w:sz w:val="18"/>
                <w:szCs w:val="18"/>
                <w:color w:val="auto"/>
              </w:rPr>
              <w:t>Shardul Shah</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bl>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left="260" w:right="40" w:firstLine="437"/>
        <w:spacing w:after="0" w:line="252" w:lineRule="auto"/>
        <w:rPr>
          <w:sz w:val="20"/>
          <w:szCs w:val="20"/>
          <w:color w:val="auto"/>
        </w:rPr>
      </w:pPr>
      <w:r>
        <w:rPr>
          <w:rFonts w:ascii="Arial" w:cs="Arial" w:eastAsia="Arial" w:hAnsi="Arial"/>
          <w:sz w:val="18"/>
          <w:szCs w:val="18"/>
          <w:i w:val="1"/>
          <w:iCs w:val="1"/>
          <w:color w:val="auto"/>
        </w:rPr>
        <w:t xml:space="preserve">Olivier Pomel </w:t>
      </w:r>
      <w:r>
        <w:rPr>
          <w:rFonts w:ascii="Arial" w:cs="Arial" w:eastAsia="Arial" w:hAnsi="Arial"/>
          <w:sz w:val="18"/>
          <w:szCs w:val="18"/>
          <w:color w:val="auto"/>
        </w:rPr>
        <w:t>is one of the co-founders of our company and has served as our Chief Executive Officer and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June 2010. Prior to co-founding Datadog, Mr. Pomel was Vice President of Technology at Wireless Generation, Inc., a SaaS technology company, from 2002 until its acquisition by News Corp in 2010. Previously, Mr. Pomel held engineering positions at a number of technology and software companies, including IBM Research. Mr. Pomel received his M.S. in Computer Science from Ecole Centrale Paris. We believe Mr. Pomel is qualified to serve as a member of our board of directors because of his experience building and leading our business and his insight into corporate matters as our Chief Executive Officer.</w:t>
      </w:r>
    </w:p>
    <w:p>
      <w:pPr>
        <w:spacing w:after="0" w:line="195" w:lineRule="exact"/>
        <w:rPr>
          <w:sz w:val="20"/>
          <w:szCs w:val="20"/>
          <w:color w:val="auto"/>
        </w:rPr>
      </w:pPr>
    </w:p>
    <w:p>
      <w:pPr>
        <w:ind w:left="260" w:right="20" w:firstLine="437"/>
        <w:spacing w:after="0" w:line="270" w:lineRule="auto"/>
        <w:rPr>
          <w:sz w:val="20"/>
          <w:szCs w:val="20"/>
          <w:color w:val="auto"/>
        </w:rPr>
      </w:pPr>
      <w:r>
        <w:rPr>
          <w:rFonts w:ascii="Arial" w:cs="Arial" w:eastAsia="Arial" w:hAnsi="Arial"/>
          <w:sz w:val="17"/>
          <w:szCs w:val="17"/>
          <w:i w:val="1"/>
          <w:iCs w:val="1"/>
          <w:color w:val="auto"/>
        </w:rPr>
        <w:t xml:space="preserve">Alexis Lê-Quôc </w:t>
      </w:r>
      <w:r>
        <w:rPr>
          <w:rFonts w:ascii="Arial" w:cs="Arial" w:eastAsia="Arial" w:hAnsi="Arial"/>
          <w:sz w:val="17"/>
          <w:szCs w:val="17"/>
          <w:color w:val="auto"/>
        </w:rPr>
        <w:t>is one of the co-founders of our company and has served as our President, Chief Technology Officer and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June 2010. Prior to co-founding Datadog, Mr. Lê-Quôc worked at Wireless Generation from March 2004 to December 2010, where he most recently served as Director of Live Operations. Previously, Mr. Lê-Quôc held engineering positions at a number of technology and software companies, including IBM Research and France Télécom S.A . Mr. Lê-Quôc received his M.S. in Computer Science from Centrale Supelec. We believe Mr. Lê-Quôc is qualified to serve as a member of our board of directors because of his experience building and leading the development of our technology and his insight into our business as our Chief Technology Officer.</w:t>
      </w:r>
    </w:p>
    <w:p>
      <w:pPr>
        <w:spacing w:after="0" w:line="179" w:lineRule="exact"/>
        <w:rPr>
          <w:sz w:val="20"/>
          <w:szCs w:val="20"/>
          <w:color w:val="auto"/>
        </w:rPr>
      </w:pPr>
    </w:p>
    <w:p>
      <w:pPr>
        <w:ind w:left="260" w:firstLine="437"/>
        <w:spacing w:after="0" w:line="259" w:lineRule="auto"/>
        <w:rPr>
          <w:sz w:val="20"/>
          <w:szCs w:val="20"/>
          <w:color w:val="auto"/>
        </w:rPr>
      </w:pPr>
      <w:r>
        <w:rPr>
          <w:rFonts w:ascii="Arial" w:cs="Arial" w:eastAsia="Arial" w:hAnsi="Arial"/>
          <w:sz w:val="18"/>
          <w:szCs w:val="18"/>
          <w:i w:val="1"/>
          <w:iCs w:val="1"/>
          <w:color w:val="auto"/>
        </w:rPr>
        <w:t xml:space="preserve">Amit Agarwal </w:t>
      </w:r>
      <w:r>
        <w:rPr>
          <w:rFonts w:ascii="Arial" w:cs="Arial" w:eastAsia="Arial" w:hAnsi="Arial"/>
          <w:sz w:val="18"/>
          <w:szCs w:val="18"/>
          <w:color w:val="auto"/>
        </w:rPr>
        <w:t>has served as our Chief Product Officer since April 2012. Prior to Datadog, Mr. Agarwal held senior product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positions at a number of software companies, including Quest Software and IBM. Mr. Agarwal received his M.B.A. in General Management from York University and his M.S. in Computer Science from Dalhousie University.</w:t>
      </w:r>
    </w:p>
    <w:p>
      <w:pPr>
        <w:spacing w:after="0" w:line="186" w:lineRule="exact"/>
        <w:rPr>
          <w:sz w:val="20"/>
          <w:szCs w:val="20"/>
          <w:color w:val="auto"/>
        </w:rPr>
      </w:pPr>
    </w:p>
    <w:p>
      <w:pPr>
        <w:jc w:val="both"/>
        <w:ind w:left="260" w:right="500" w:firstLine="437"/>
        <w:spacing w:after="0" w:line="275" w:lineRule="auto"/>
        <w:rPr>
          <w:sz w:val="20"/>
          <w:szCs w:val="20"/>
          <w:color w:val="auto"/>
        </w:rPr>
      </w:pPr>
      <w:r>
        <w:rPr>
          <w:rFonts w:ascii="Arial" w:cs="Arial" w:eastAsia="Arial" w:hAnsi="Arial"/>
          <w:sz w:val="17"/>
          <w:szCs w:val="17"/>
          <w:i w:val="1"/>
          <w:iCs w:val="1"/>
          <w:color w:val="auto"/>
        </w:rPr>
        <w:t xml:space="preserve">David Obstler </w:t>
      </w:r>
      <w:r>
        <w:rPr>
          <w:rFonts w:ascii="Arial" w:cs="Arial" w:eastAsia="Arial" w:hAnsi="Arial"/>
          <w:sz w:val="17"/>
          <w:szCs w:val="17"/>
          <w:color w:val="auto"/>
        </w:rPr>
        <w:t>has served as our Chief Financial Officer since November 2018. Prior to joining us, Mr. Obstler held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at a number of other companies including TravelClick, Inc., a hospitality technology company, where he served from September 2014 to October 2018, OpenLink Financial LLC, a financial services software provider, where he served from November 2012 to July 2014, MSCI Inc., a financial index and investment management software company, where he served from June 2010 to September</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240" w:top="456"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20"/>
        <w:spacing w:after="0" w:line="259" w:lineRule="auto"/>
        <w:rPr>
          <w:sz w:val="20"/>
          <w:szCs w:val="20"/>
          <w:color w:val="auto"/>
        </w:rPr>
      </w:pPr>
      <w:r>
        <w:rPr>
          <w:rFonts w:ascii="Arial" w:cs="Arial" w:eastAsia="Arial" w:hAnsi="Arial"/>
          <w:sz w:val="18"/>
          <w:szCs w:val="18"/>
          <w:color w:val="auto"/>
        </w:rPr>
        <w:t>2012, and Risk Metrics Group, Inc., a risk management and corporate governance service provider, where he served from January 2005 to June 2010. Earlier in his career, Mr. Obstler held various investment banking positions at J.P. Morgan, Lehman Brothers and Goldman Sachs. Mr. Obstler received his M.B.A. from Harvard Business School and his B.A. from Yale University.</w:t>
      </w:r>
    </w:p>
    <w:p>
      <w:pPr>
        <w:spacing w:after="0" w:line="186" w:lineRule="exact"/>
        <w:rPr>
          <w:sz w:val="20"/>
          <w:szCs w:val="20"/>
          <w:color w:val="auto"/>
        </w:rPr>
      </w:pPr>
    </w:p>
    <w:p>
      <w:pPr>
        <w:ind w:left="260" w:right="40" w:firstLine="437"/>
        <w:spacing w:after="0" w:line="293" w:lineRule="auto"/>
        <w:rPr>
          <w:sz w:val="20"/>
          <w:szCs w:val="20"/>
          <w:color w:val="auto"/>
        </w:rPr>
      </w:pPr>
      <w:r>
        <w:rPr>
          <w:rFonts w:ascii="Arial" w:cs="Arial" w:eastAsia="Arial" w:hAnsi="Arial"/>
          <w:sz w:val="16"/>
          <w:szCs w:val="16"/>
          <w:i w:val="1"/>
          <w:iCs w:val="1"/>
          <w:color w:val="auto"/>
        </w:rPr>
        <w:t xml:space="preserve">Dan Fougere </w:t>
      </w:r>
      <w:r>
        <w:rPr>
          <w:rFonts w:ascii="Arial" w:cs="Arial" w:eastAsia="Arial" w:hAnsi="Arial"/>
          <w:sz w:val="16"/>
          <w:szCs w:val="16"/>
          <w:color w:val="auto"/>
        </w:rPr>
        <w:t>has served as our Chief Revenue Officer since February 2017. Prior to joining us, Mr. Fougere held various roles at Medallia, Inc., a</w:t>
      </w:r>
      <w:r>
        <w:rPr>
          <w:rFonts w:ascii="Arial" w:cs="Arial" w:eastAsia="Arial" w:hAnsi="Arial"/>
          <w:sz w:val="16"/>
          <w:szCs w:val="16"/>
          <w:i w:val="1"/>
          <w:iCs w:val="1"/>
          <w:color w:val="auto"/>
        </w:rPr>
        <w:t xml:space="preserve"> </w:t>
      </w:r>
      <w:r>
        <w:rPr>
          <w:rFonts w:ascii="Arial" w:cs="Arial" w:eastAsia="Arial" w:hAnsi="Arial"/>
          <w:sz w:val="16"/>
          <w:szCs w:val="16"/>
          <w:color w:val="auto"/>
        </w:rPr>
        <w:t>SaaS-based customer feedback company, including Head of Global Sales from September 2016 to January 2017 and Vice President of Sales from April 2012 to August 2016. From April 2008 to April 2012, Mr. Fougere was Area Director at BMC Software, Inc., an information technology and services company. Earlier in his career, Mr. Fougere held sales positions at various technology companies including Actuate Corporation, BladeLogic Server Automation and Parametric Technology Corp. Mr. Fougere received his B.S. in Mechanical Engineering from Rensselaer Polytechnic Institute.</w:t>
      </w:r>
    </w:p>
    <w:p>
      <w:pPr>
        <w:spacing w:after="0" w:line="161" w:lineRule="exact"/>
        <w:rPr>
          <w:sz w:val="20"/>
          <w:szCs w:val="20"/>
          <w:color w:val="auto"/>
        </w:rPr>
      </w:pPr>
    </w:p>
    <w:p>
      <w:pPr>
        <w:ind w:left="260" w:firstLine="437"/>
        <w:spacing w:after="0" w:line="270" w:lineRule="auto"/>
        <w:rPr>
          <w:sz w:val="20"/>
          <w:szCs w:val="20"/>
          <w:color w:val="auto"/>
        </w:rPr>
      </w:pPr>
      <w:r>
        <w:rPr>
          <w:rFonts w:ascii="Arial" w:cs="Arial" w:eastAsia="Arial" w:hAnsi="Arial"/>
          <w:sz w:val="17"/>
          <w:szCs w:val="17"/>
          <w:i w:val="1"/>
          <w:iCs w:val="1"/>
          <w:color w:val="auto"/>
        </w:rPr>
        <w:t xml:space="preserve">Laszlo Kopits </w:t>
      </w:r>
      <w:r>
        <w:rPr>
          <w:rFonts w:ascii="Arial" w:cs="Arial" w:eastAsia="Arial" w:hAnsi="Arial"/>
          <w:sz w:val="17"/>
          <w:szCs w:val="17"/>
          <w:color w:val="auto"/>
        </w:rPr>
        <w:t>has served as our General Counsel since January 2018, and prior to that as our Deputy General Counsel from February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Mr. Kopits served as a Director of Fluence Learning, LLC, an education technology company producing instructional assessment content and technology, from April 2016 to August 2017. Previously, Mr. Kopits worked at Wireless Generation and, after its acquisition by News Corp., Amplify Education, Inc., where he served as General Counsel from January 2006 to December 2015, and most recently as Executive Vice President. Earlier in his career, Mr. Kopits held legal positions at Thomson Reuters Corp. and Weil Gotshal &amp; Manges LLP. Mr. Kopits received his J.D. from Stanford Law School and his M.A. in International Relations from Johns Hopkins University.</w:t>
      </w:r>
    </w:p>
    <w:p>
      <w:pPr>
        <w:spacing w:after="0" w:line="179" w:lineRule="exact"/>
        <w:rPr>
          <w:sz w:val="20"/>
          <w:szCs w:val="20"/>
          <w:color w:val="auto"/>
        </w:rPr>
      </w:pPr>
    </w:p>
    <w:p>
      <w:pPr>
        <w:ind w:left="260" w:right="20" w:firstLine="437"/>
        <w:spacing w:after="0" w:line="252" w:lineRule="auto"/>
        <w:rPr>
          <w:sz w:val="20"/>
          <w:szCs w:val="20"/>
          <w:color w:val="auto"/>
        </w:rPr>
      </w:pPr>
      <w:r>
        <w:rPr>
          <w:rFonts w:ascii="Arial" w:cs="Arial" w:eastAsia="Arial" w:hAnsi="Arial"/>
          <w:sz w:val="18"/>
          <w:szCs w:val="18"/>
          <w:i w:val="1"/>
          <w:iCs w:val="1"/>
          <w:color w:val="auto"/>
        </w:rPr>
        <w:t xml:space="preserve">Armelle de Madre </w:t>
      </w:r>
      <w:r>
        <w:rPr>
          <w:rFonts w:ascii="Arial" w:cs="Arial" w:eastAsia="Arial" w:hAnsi="Arial"/>
          <w:sz w:val="18"/>
          <w:szCs w:val="18"/>
          <w:color w:val="auto"/>
        </w:rPr>
        <w:t>has served as our Chief People Officer since September 2019. Prior to joining us, Ms. Madre held various roles at Arkadin</w:t>
      </w:r>
      <w:r>
        <w:rPr>
          <w:rFonts w:ascii="Arial" w:cs="Arial" w:eastAsia="Arial" w:hAnsi="Arial"/>
          <w:sz w:val="18"/>
          <w:szCs w:val="18"/>
          <w:i w:val="1"/>
          <w:iCs w:val="1"/>
          <w:color w:val="auto"/>
        </w:rPr>
        <w:t xml:space="preserve"> </w:t>
      </w:r>
      <w:r>
        <w:rPr>
          <w:rFonts w:ascii="Arial" w:cs="Arial" w:eastAsia="Arial" w:hAnsi="Arial"/>
          <w:sz w:val="18"/>
          <w:szCs w:val="18"/>
          <w:color w:val="auto"/>
        </w:rPr>
        <w:t>Cloud Communications, a provider of cloud communication services, including Chief People Officer from April 2017 to August 2019, Vice President of Human Resources for Europe, the Middle East and Africa from January 2011 to November 2015 and Vice President of Marketing for Europe, the Middle East and Africa from December 2015 to March 2017. Prior to Arkadin, Ms. Madre was a Strategy and Social Innovation Director at Schneider Electric France SAS, an electrical equipment company, from June 2010 to January 2011. Ms. Madre began her career at Renault-Nissan Alliance, where she held multiple positions from 1993 through 2009. Ms. Madre received her B.A. in Economics from the Columbia University and her Masters from HEC Paris.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Non-Employee Directors</w:t>
      </w:r>
    </w:p>
    <w:p>
      <w:pPr>
        <w:spacing w:after="0" w:line="225" w:lineRule="exact"/>
        <w:rPr>
          <w:sz w:val="20"/>
          <w:szCs w:val="20"/>
          <w:color w:val="auto"/>
        </w:rPr>
      </w:pPr>
    </w:p>
    <w:p>
      <w:pPr>
        <w:ind w:left="260" w:right="260" w:firstLine="437"/>
        <w:spacing w:after="0" w:line="287" w:lineRule="auto"/>
        <w:rPr>
          <w:sz w:val="20"/>
          <w:szCs w:val="20"/>
          <w:color w:val="auto"/>
        </w:rPr>
      </w:pPr>
      <w:r>
        <w:rPr>
          <w:rFonts w:ascii="Arial" w:cs="Arial" w:eastAsia="Arial" w:hAnsi="Arial"/>
          <w:sz w:val="16"/>
          <w:szCs w:val="16"/>
          <w:i w:val="1"/>
          <w:iCs w:val="1"/>
          <w:color w:val="auto"/>
        </w:rPr>
        <w:t xml:space="preserve">Michael Callahan </w:t>
      </w:r>
      <w:r>
        <w:rPr>
          <w:rFonts w:ascii="Arial" w:cs="Arial" w:eastAsia="Arial" w:hAnsi="Arial"/>
          <w:sz w:val="16"/>
          <w:szCs w:val="16"/>
          <w:color w:val="auto"/>
        </w:rPr>
        <w:t>has served as a member of our board of directors since June 2011. Mr. Callahan served as Chief Executive Officer of Awake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Inc., a private cyber security company that he co-founded, from August 2014 to July 2018. From September 2011 to August 2014,</w:t>
      </w:r>
    </w:p>
    <w:p>
      <w:pPr>
        <w:spacing w:after="0" w:line="1" w:lineRule="exact"/>
        <w:rPr>
          <w:sz w:val="20"/>
          <w:szCs w:val="20"/>
          <w:color w:val="auto"/>
        </w:rPr>
      </w:pPr>
    </w:p>
    <w:p>
      <w:pPr>
        <w:ind w:left="260" w:right="80"/>
        <w:spacing w:after="0" w:line="289" w:lineRule="auto"/>
        <w:rPr>
          <w:sz w:val="20"/>
          <w:szCs w:val="20"/>
          <w:color w:val="auto"/>
        </w:rPr>
      </w:pPr>
      <w:r>
        <w:rPr>
          <w:rFonts w:ascii="Arial" w:cs="Arial" w:eastAsia="Arial" w:hAnsi="Arial"/>
          <w:sz w:val="16"/>
          <w:szCs w:val="16"/>
          <w:color w:val="auto"/>
        </w:rPr>
        <w:t>Mr. Callahan was an Entrepreneur in Residence at Greylock Partners. Earlier in his career, Mr. Callahan was Chief Technologist for Enterprise NAS at Hewlett Packard from April 2007 to October 2009; Chief Technology Officer and co-founder of PolyServe, a software company, from May 2000 to April 2007; and Director of Advanced Development at Ask Jeeves, a search engine, from January 1999 to May 2000. Mr. Callahan received his A.B. in Social Studies from Harvard University and was a Rhodes Scholar and Junior Research Fellow in mathematics at the University of Oxford. We believe that Mr. Callahan is qualified to serve as a member of our board of directors because of his extensive experience in the technology industry.</w:t>
      </w:r>
    </w:p>
    <w:p>
      <w:pPr>
        <w:spacing w:after="0" w:line="164" w:lineRule="exact"/>
        <w:rPr>
          <w:sz w:val="20"/>
          <w:szCs w:val="20"/>
          <w:color w:val="auto"/>
        </w:rPr>
      </w:pPr>
    </w:p>
    <w:p>
      <w:pPr>
        <w:ind w:left="260" w:right="160" w:firstLine="437"/>
        <w:spacing w:after="0" w:line="252" w:lineRule="auto"/>
        <w:rPr>
          <w:sz w:val="20"/>
          <w:szCs w:val="20"/>
          <w:color w:val="auto"/>
        </w:rPr>
      </w:pPr>
      <w:r>
        <w:rPr>
          <w:rFonts w:ascii="Arial" w:cs="Arial" w:eastAsia="Arial" w:hAnsi="Arial"/>
          <w:sz w:val="18"/>
          <w:szCs w:val="18"/>
          <w:i w:val="1"/>
          <w:iCs w:val="1"/>
          <w:color w:val="auto"/>
        </w:rPr>
        <w:t xml:space="preserve">Dev Ittycheria </w:t>
      </w:r>
      <w:r>
        <w:rPr>
          <w:rFonts w:ascii="Arial" w:cs="Arial" w:eastAsia="Arial" w:hAnsi="Arial"/>
          <w:sz w:val="18"/>
          <w:szCs w:val="18"/>
          <w:color w:val="auto"/>
        </w:rPr>
        <w:t>has served as a member of our board of directors since February 2014. Mr. Ittycheria has served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MongoDB, Inc. and as a member of its board of directors since September 2014. Prior to joining MongoDB,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52" w:lineRule="auto"/>
        <w:rPr>
          <w:sz w:val="20"/>
          <w:szCs w:val="20"/>
          <w:color w:val="auto"/>
        </w:rPr>
      </w:pPr>
      <w:r>
        <w:rPr>
          <w:rFonts w:ascii="Arial" w:cs="Arial" w:eastAsia="Arial" w:hAnsi="Arial"/>
          <w:sz w:val="18"/>
          <w:szCs w:val="18"/>
          <w:color w:val="auto"/>
        </w:rPr>
        <w:t>company that Mr. Ittycheria co-founded and for which he served as Chief Executive Officer. Mr. Ittycheria previously served on the board of directors of athenahealth, Inc., a public cloud-based services company, from June 2010 to February 2019; Bazaarvoice, Inc., a public software company, from January 2010 to August 2014; and AppDynamics, Inc., a private software company, from March 2011 until its acquisition by Cisco Systems, Inc. in March 2017. Mr. Ittycheria received his B.S. in Electrical Engineering from Rutgers University. We believe that Mr. Ittycheria is qualified to serve as a member of our board of directors because of his experience in building and leading high-growth businesses and his service on the boards of multiple public companies.</w:t>
      </w:r>
    </w:p>
    <w:p>
      <w:pPr>
        <w:spacing w:after="0" w:line="195" w:lineRule="exact"/>
        <w:rPr>
          <w:sz w:val="20"/>
          <w:szCs w:val="20"/>
          <w:color w:val="auto"/>
        </w:rPr>
      </w:pPr>
    </w:p>
    <w:p>
      <w:pPr>
        <w:ind w:left="260" w:firstLine="437"/>
        <w:spacing w:after="0" w:line="285" w:lineRule="auto"/>
        <w:rPr>
          <w:sz w:val="20"/>
          <w:szCs w:val="20"/>
          <w:color w:val="auto"/>
        </w:rPr>
      </w:pPr>
      <w:r>
        <w:rPr>
          <w:rFonts w:ascii="Arial" w:cs="Arial" w:eastAsia="Arial" w:hAnsi="Arial"/>
          <w:sz w:val="16"/>
          <w:szCs w:val="16"/>
          <w:i w:val="1"/>
          <w:iCs w:val="1"/>
          <w:color w:val="auto"/>
        </w:rPr>
        <w:t xml:space="preserve">Matthew Jacobson </w:t>
      </w:r>
      <w:r>
        <w:rPr>
          <w:rFonts w:ascii="Arial" w:cs="Arial" w:eastAsia="Arial" w:hAnsi="Arial"/>
          <w:sz w:val="16"/>
          <w:szCs w:val="16"/>
          <w:color w:val="auto"/>
        </w:rPr>
        <w:t>has served as a member of our board of directors since July 2019, and previously served as a board observer from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2015 through July 2019. He is a General Partner and a Managing Director at ICONIQ Capital, an investment and venture capital firm, where he has worked since September 2013 and sits on the firm’s investment and management committees. Mr. Jacobson currently serves on the boards of a number of private technology companies, including Snowflake Inc., GitLab Inc., Collibra NV, BambooHR LLC, Braze, Inc., Sprinklr Inc., Relativity ODA LLC, InVisionApp Inc., Highspot, Inc., Smile Family, Inc. d.b.a. SendBird, Inc. and Intercom Inc. Mr. Jacobson previously served on the board of directors of Twistlock Inc. from August 2018 to July 2019 and as a shareholder representative for Adyen NV from September 2015 to June 2018. Prior to ICONIQ Capital, Mr. Jacobson held operating roles at Groupon and investing roles at Battery Ventures and Technology Crossover Ventures. He began his career as an investment banker at Lehman Brothers. Mr. Jacobson received his B.S. in Economics with concentrations in Finance and Management from The Wharton School at the University of Pennsylvania. We believe that Mr. Jacobson is qualified to serve as a member of our board of directors because of his extensive experience in the venture capital and technology industries.</w:t>
      </w:r>
    </w:p>
    <w:p>
      <w:pPr>
        <w:spacing w:after="0" w:line="170" w:lineRule="exact"/>
        <w:rPr>
          <w:sz w:val="20"/>
          <w:szCs w:val="20"/>
          <w:color w:val="auto"/>
        </w:rPr>
      </w:pPr>
    </w:p>
    <w:p>
      <w:pPr>
        <w:ind w:left="260" w:firstLine="437"/>
        <w:spacing w:after="0" w:line="266" w:lineRule="auto"/>
        <w:rPr>
          <w:sz w:val="20"/>
          <w:szCs w:val="20"/>
          <w:color w:val="auto"/>
        </w:rPr>
      </w:pPr>
      <w:r>
        <w:rPr>
          <w:rFonts w:ascii="Arial" w:cs="Arial" w:eastAsia="Arial" w:hAnsi="Arial"/>
          <w:sz w:val="17"/>
          <w:szCs w:val="17"/>
          <w:i w:val="1"/>
          <w:iCs w:val="1"/>
          <w:color w:val="auto"/>
        </w:rPr>
        <w:t xml:space="preserve">Julie G. Richardson </w:t>
      </w:r>
      <w:r>
        <w:rPr>
          <w:rFonts w:ascii="Arial" w:cs="Arial" w:eastAsia="Arial" w:hAnsi="Arial"/>
          <w:sz w:val="17"/>
          <w:szCs w:val="17"/>
          <w:color w:val="auto"/>
        </w:rPr>
        <w:t>has served as a member of our board of directors since May 2019. From November 2012 to October 2014, Ms. Richardson</w:t>
      </w:r>
      <w:r>
        <w:rPr>
          <w:rFonts w:ascii="Arial" w:cs="Arial" w:eastAsia="Arial" w:hAnsi="Arial"/>
          <w:sz w:val="17"/>
          <w:szCs w:val="17"/>
          <w:i w:val="1"/>
          <w:iCs w:val="1"/>
          <w:color w:val="auto"/>
        </w:rPr>
        <w:t xml:space="preserve"> </w:t>
      </w:r>
      <w:r>
        <w:rPr>
          <w:rFonts w:ascii="Arial" w:cs="Arial" w:eastAsia="Arial" w:hAnsi="Arial"/>
          <w:sz w:val="17"/>
          <w:szCs w:val="17"/>
          <w:color w:val="auto"/>
        </w:rPr>
        <w:t>was a Senior Adviser to Providence Equity Partners LLC, a global asset management firm. From April 2003 to November 2012, Ms. Richardson was a Partner and Managing Director at Providence Equity, a private equity investment fund, and oversaw its New York office. Prior to Providence Equity, Ms. Richardson served as Global Head of JP Morgan’s Telecom, Media and Technology Group, and was previously a Managing Director in Merrill Lynch &amp; Co.’s investment banking group. Ms. Richardson has served on the board of directors of The Hartford Financial Group, a publicly held insurance and financial services company, since January 2014, VEREIT, Inc., a publicly held real estate investment operating property company, since April 2015, UBS Group AG, a publicly held financial services company, since May 2017, and Yext Inc., a technology and online brand management company, since May 2015. Ms. Richardson previously served on the boards of directors of Stream Global Services, Inc. from 2009 to 2012 and Arconic, Inc. from 2016 to 2018. Ms. Richardson holds a B.B.A from the University of Wisconsin Madison. We believe that Ms. Richardson is qualified to serve as a member of our board of directors because of her investment management and financial services experience, and her extensive experience serving on public company boards.</w:t>
      </w:r>
    </w:p>
    <w:p>
      <w:pPr>
        <w:spacing w:after="0" w:line="186" w:lineRule="exact"/>
        <w:rPr>
          <w:sz w:val="20"/>
          <w:szCs w:val="20"/>
          <w:color w:val="auto"/>
        </w:rPr>
      </w:pPr>
    </w:p>
    <w:p>
      <w:pPr>
        <w:ind w:left="260" w:right="60" w:firstLine="437"/>
        <w:spacing w:after="0" w:line="288" w:lineRule="auto"/>
        <w:rPr>
          <w:sz w:val="20"/>
          <w:szCs w:val="20"/>
          <w:color w:val="auto"/>
        </w:rPr>
      </w:pPr>
      <w:r>
        <w:rPr>
          <w:rFonts w:ascii="Arial" w:cs="Arial" w:eastAsia="Arial" w:hAnsi="Arial"/>
          <w:sz w:val="16"/>
          <w:szCs w:val="16"/>
          <w:i w:val="1"/>
          <w:iCs w:val="1"/>
          <w:color w:val="auto"/>
        </w:rPr>
        <w:t xml:space="preserve">Shardul Shah </w:t>
      </w:r>
      <w:r>
        <w:rPr>
          <w:rFonts w:ascii="Arial" w:cs="Arial" w:eastAsia="Arial" w:hAnsi="Arial"/>
          <w:sz w:val="16"/>
          <w:szCs w:val="16"/>
          <w:color w:val="auto"/>
        </w:rPr>
        <w:t>has served as a member of our board of directors since November 2012. He is a partner at Index Ventures,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has worked since 2008. Mr. Shah currently serves on the board of directors of a number of private technology companies, including AttackIQ, Inc., Brightback Inc., Castle Intelligence, Inc., and Iterable, Inc. Mr. Shah previously served on the board of directors of private technology companies Adallom Ltd., FutureSimple Inc. (previously Base CRM), Lacoon Mobile Security and SourceClear Inc. and is an observer at Outbrain Inc. Prior to Index Ventures, Mr. Shah began his career as an associate at Summit Partners, a venture capital fund, where he worked from July 2005 to January 2008. Mr. Shah received his B.A. in Economics and Biology from the University of Chicago. We believe that Mr. Shah is qualified to serve as a member of our board of directors because of his experience in the venture capital industry and his knowledge of infrastructure, security and software.</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5" w:lineRule="exact"/>
        <w:rPr>
          <w:sz w:val="20"/>
          <w:szCs w:val="20"/>
          <w:color w:val="auto"/>
        </w:rPr>
      </w:pPr>
    </w:p>
    <w:p>
      <w:pPr>
        <w:ind w:left="260" w:right="640" w:firstLine="437"/>
        <w:spacing w:after="0" w:line="271"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seven directors. All of our directors currently serve on the board of directors pursuant to the provisions of a voting</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60"/>
          </w:cols>
          <w:pgMar w:left="24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68" w:lineRule="auto"/>
        <w:rPr>
          <w:sz w:val="20"/>
          <w:szCs w:val="20"/>
          <w:color w:val="auto"/>
        </w:rPr>
      </w:pPr>
      <w:r>
        <w:rPr>
          <w:rFonts w:ascii="Arial" w:cs="Arial" w:eastAsia="Arial" w:hAnsi="Arial"/>
          <w:sz w:val="17"/>
          <w:szCs w:val="17"/>
          <w:color w:val="auto"/>
        </w:rPr>
        <w:t>agreement between us and certain of our investors including entities affiliated with Index Ventures, OpenView Venture Partners, ICONIQ Strategic Partners and RTP Ventures. Pursuant to the voting agreement, our Series A convertible preferred stockholders have the right to appoint two directors and our Series B convertible preferred stockholders have the right to appoint one director. The current members of our board of directors designated by our Series A convertible preferred stockholders are Matthew Jacobson and Shardul Shah. The current member of our board of directors designated by our Series B convertible preferred stockholders is Dev Ittycheria. This agreement will terminate upon the completion of this offering, after which there will be no further contractual obligations regarding the election of our directors.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181" w:lineRule="exact"/>
        <w:rPr>
          <w:sz w:val="20"/>
          <w:szCs w:val="20"/>
          <w:color w:val="auto"/>
        </w:rPr>
      </w:pPr>
    </w:p>
    <w:p>
      <w:pPr>
        <w:ind w:left="260" w:right="20" w:firstLine="437"/>
        <w:spacing w:after="0" w:line="254"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6" w:lineRule="exact"/>
        <w:rPr>
          <w:sz w:val="20"/>
          <w:szCs w:val="20"/>
          <w:color w:val="auto"/>
        </w:rPr>
      </w:pPr>
    </w:p>
    <w:p>
      <w:pPr>
        <w:ind w:left="1220" w:right="620" w:hanging="537"/>
        <w:spacing w:after="0" w:line="271" w:lineRule="auto"/>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 directors will be Olivier Pomel, Dev Ittycheria and Shardul Shah, whose terms will expire at the first annual meeting of stockholders to be held in 2020;</w:t>
      </w:r>
    </w:p>
    <w:p>
      <w:pPr>
        <w:spacing w:after="0" w:line="81" w:lineRule="exact"/>
        <w:rPr>
          <w:rFonts w:ascii="Arial" w:cs="Arial" w:eastAsia="Arial" w:hAnsi="Arial"/>
          <w:sz w:val="18"/>
          <w:szCs w:val="18"/>
          <w:color w:val="auto"/>
        </w:rPr>
      </w:pPr>
    </w:p>
    <w:p>
      <w:pPr>
        <w:ind w:left="1220" w:right="80" w:hanging="537"/>
        <w:spacing w:after="0" w:line="271" w:lineRule="auto"/>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 directors will be Alexis Lê-Quôc and Michael Callahan, whose terms will expire at the second annual meeting of stockholders to be held in 2021; and</w:t>
      </w:r>
    </w:p>
    <w:p>
      <w:pPr>
        <w:spacing w:after="0" w:line="81" w:lineRule="exact"/>
        <w:rPr>
          <w:rFonts w:ascii="Arial" w:cs="Arial" w:eastAsia="Arial" w:hAnsi="Arial"/>
          <w:sz w:val="18"/>
          <w:szCs w:val="18"/>
          <w:color w:val="auto"/>
        </w:rPr>
      </w:pPr>
    </w:p>
    <w:p>
      <w:pPr>
        <w:ind w:left="1220" w:right="60" w:hanging="537"/>
        <w:spacing w:after="0" w:line="271" w:lineRule="auto"/>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Class III directors will be Julie Richardson and Matthew Jacobson, whose terms will expire at the third annual meeting of stockholders to be held in 2022.</w:t>
      </w:r>
    </w:p>
    <w:p>
      <w:pPr>
        <w:spacing w:after="0" w:line="175" w:lineRule="exact"/>
        <w:rPr>
          <w:sz w:val="20"/>
          <w:szCs w:val="20"/>
          <w:color w:val="auto"/>
        </w:rPr>
      </w:pPr>
    </w:p>
    <w:p>
      <w:pPr>
        <w:jc w:val="both"/>
        <w:ind w:left="260" w:right="300" w:firstLine="437"/>
        <w:spacing w:after="0" w:line="259"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 Independence</w:t>
      </w:r>
    </w:p>
    <w:p>
      <w:pPr>
        <w:spacing w:after="0" w:line="225" w:lineRule="exact"/>
        <w:rPr>
          <w:sz w:val="20"/>
          <w:szCs w:val="20"/>
          <w:color w:val="auto"/>
        </w:rPr>
      </w:pPr>
    </w:p>
    <w:p>
      <w:pPr>
        <w:ind w:left="260" w:right="20" w:firstLine="437"/>
        <w:spacing w:after="0" w:line="288"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her or his background, employment and affiliations, our board of directors has determined that Michael Callahan, Matthew Jacobson, Dev Ittycheria, Julie Richardson and Shardul Shah do not have relationships that would interfere with the exercise of independent judgment in carrying out the responsibilities of a director and that each of these directors is “independent” as that term is defined under the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25" w:lineRule="exact"/>
        <w:rPr>
          <w:sz w:val="20"/>
          <w:szCs w:val="20"/>
          <w:color w:val="auto"/>
        </w:rPr>
      </w:pPr>
    </w:p>
    <w:p>
      <w:pPr>
        <w:ind w:left="260" w:right="100" w:firstLine="437"/>
        <w:spacing w:after="0" w:line="275" w:lineRule="auto"/>
        <w:rPr>
          <w:sz w:val="20"/>
          <w:szCs w:val="20"/>
          <w:color w:val="auto"/>
        </w:rPr>
      </w:pPr>
      <w:r>
        <w:rPr>
          <w:rFonts w:ascii="Arial" w:cs="Arial" w:eastAsia="Arial" w:hAnsi="Arial"/>
          <w:sz w:val="17"/>
          <w:szCs w:val="17"/>
          <w:color w:val="auto"/>
        </w:rPr>
        <w:t>Our board of directors has established an audit committee and a compensation committee, and will establish a nominating and corporate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60"/>
          </w:cols>
          <w:pgMar w:left="24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1" w:lineRule="exact"/>
        <w:rPr>
          <w:sz w:val="20"/>
          <w:szCs w:val="20"/>
          <w:color w:val="auto"/>
        </w:rPr>
      </w:pPr>
    </w:p>
    <w:p>
      <w:pPr>
        <w:ind w:left="260" w:firstLine="437"/>
        <w:spacing w:after="0" w:line="270" w:lineRule="auto"/>
        <w:rPr>
          <w:sz w:val="20"/>
          <w:szCs w:val="20"/>
          <w:color w:val="auto"/>
        </w:rPr>
      </w:pPr>
      <w:r>
        <w:rPr>
          <w:rFonts w:ascii="Arial" w:cs="Arial" w:eastAsia="Arial" w:hAnsi="Arial"/>
          <w:sz w:val="17"/>
          <w:szCs w:val="17"/>
          <w:color w:val="auto"/>
        </w:rPr>
        <w:t>Our audit committee consists of Julie Richardson, Shardul Shah and Matthew Jacobson. Our board of directors has determined that each of Julie Richardson, Shardul Shah and Matthew Jacobson satisfies the independence requirements under Nasdaq listing standards and Rule 10A-3(b)(1) of the Exchange Act. The chair of our audit committee is Julie Richardson,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principal duties and responsibilities of our audit committee include, among other things:</w:t>
      </w:r>
    </w:p>
    <w:p>
      <w:pPr>
        <w:spacing w:after="0" w:line="128" w:lineRule="exact"/>
        <w:rPr>
          <w:sz w:val="20"/>
          <w:szCs w:val="20"/>
          <w:color w:val="auto"/>
        </w:rPr>
      </w:pPr>
    </w:p>
    <w:p>
      <w:pPr>
        <w:ind w:left="1220" w:hanging="537"/>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27" w:lineRule="exact"/>
        <w:rPr>
          <w:rFonts w:ascii="Arial" w:cs="Arial" w:eastAsia="Arial" w:hAnsi="Arial"/>
          <w:sz w:val="18"/>
          <w:szCs w:val="18"/>
          <w:color w:val="auto"/>
        </w:rPr>
      </w:pPr>
    </w:p>
    <w:p>
      <w:pPr>
        <w:ind w:left="1220" w:right="120" w:hanging="537"/>
        <w:spacing w:after="0" w:line="271"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helping to maintain and foster an open avenue of communication between management and the independent registered public accounting firm;</w:t>
      </w:r>
    </w:p>
    <w:p>
      <w:pPr>
        <w:spacing w:after="0" w:line="81" w:lineRule="exact"/>
        <w:rPr>
          <w:rFonts w:ascii="Arial" w:cs="Arial" w:eastAsia="Arial" w:hAnsi="Arial"/>
          <w:sz w:val="18"/>
          <w:szCs w:val="18"/>
          <w:color w:val="auto"/>
        </w:rPr>
      </w:pPr>
    </w:p>
    <w:p>
      <w:pPr>
        <w:ind w:left="1220" w:right="60" w:hanging="537"/>
        <w:spacing w:after="0" w:line="271"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27" w:lineRule="exact"/>
        <w:rPr>
          <w:rFonts w:ascii="Arial" w:cs="Arial" w:eastAsia="Arial" w:hAnsi="Arial"/>
          <w:sz w:val="18"/>
          <w:szCs w:val="18"/>
          <w:color w:val="auto"/>
        </w:rPr>
      </w:pPr>
    </w:p>
    <w:p>
      <w:pPr>
        <w:ind w:left="1220" w:right="100" w:hanging="537"/>
        <w:spacing w:after="0" w:line="259"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92" w:lineRule="exact"/>
        <w:rPr>
          <w:rFonts w:ascii="Arial" w:cs="Arial" w:eastAsia="Arial" w:hAnsi="Arial"/>
          <w:sz w:val="18"/>
          <w:szCs w:val="18"/>
          <w:color w:val="auto"/>
        </w:rPr>
      </w:pPr>
    </w:p>
    <w:p>
      <w:pPr>
        <w:ind w:left="1220" w:right="120" w:hanging="537"/>
        <w:spacing w:after="0" w:line="271" w:lineRule="auto"/>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to be performed by the independent registered public accounting firm.</w:t>
      </w:r>
    </w:p>
    <w:p>
      <w:pPr>
        <w:spacing w:after="0" w:line="175" w:lineRule="exact"/>
        <w:rPr>
          <w:sz w:val="20"/>
          <w:szCs w:val="20"/>
          <w:color w:val="auto"/>
        </w:rPr>
      </w:pPr>
    </w:p>
    <w:p>
      <w:pPr>
        <w:ind w:left="260" w:firstLine="437"/>
        <w:spacing w:after="0" w:line="271"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Nasdaq.</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1" w:lineRule="exact"/>
        <w:rPr>
          <w:sz w:val="20"/>
          <w:szCs w:val="20"/>
          <w:color w:val="auto"/>
        </w:rPr>
      </w:pPr>
    </w:p>
    <w:p>
      <w:pPr>
        <w:ind w:left="260" w:right="320" w:firstLine="437"/>
        <w:spacing w:after="0" w:line="282" w:lineRule="auto"/>
        <w:rPr>
          <w:sz w:val="20"/>
          <w:szCs w:val="20"/>
          <w:color w:val="auto"/>
        </w:rPr>
      </w:pPr>
      <w:r>
        <w:rPr>
          <w:rFonts w:ascii="Arial" w:cs="Arial" w:eastAsia="Arial" w:hAnsi="Arial"/>
          <w:sz w:val="17"/>
          <w:szCs w:val="17"/>
          <w:color w:val="auto"/>
        </w:rPr>
        <w:t>Our compensation committee consists of Michael Callahan, Dev Ittycheria and Julie Richardson. The chair of our compensation committee is Michael Callahan. Our board of directors has determined that each of Michael Callahan, Dev Ittycheria and Julie Richardson is independent under Nasdaq listing standards, a “non-employee director” as defined in Rule 16b-3 promulgated under the Exchange Act.</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principal duties and responsibilities of our audit committee include, among other things:</w:t>
      </w:r>
    </w:p>
    <w:p>
      <w:pPr>
        <w:spacing w:after="0" w:line="128" w:lineRule="exact"/>
        <w:rPr>
          <w:sz w:val="20"/>
          <w:szCs w:val="20"/>
          <w:color w:val="auto"/>
        </w:rPr>
      </w:pPr>
    </w:p>
    <w:p>
      <w:pPr>
        <w:ind w:left="1220" w:hanging="537"/>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approving the retention of compensation consultants and outside service providers and advisors;</w:t>
      </w:r>
    </w:p>
    <w:p>
      <w:pPr>
        <w:spacing w:after="0" w:line="127" w:lineRule="exact"/>
        <w:rPr>
          <w:rFonts w:ascii="Arial" w:cs="Arial" w:eastAsia="Arial" w:hAnsi="Arial"/>
          <w:sz w:val="18"/>
          <w:szCs w:val="18"/>
          <w:color w:val="auto"/>
        </w:rPr>
      </w:pPr>
    </w:p>
    <w:p>
      <w:pPr>
        <w:ind w:left="1220" w:right="20" w:hanging="537"/>
        <w:spacing w:after="0" w:line="259" w:lineRule="auto"/>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240" w:top="456"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20" w:hanging="537"/>
        <w:spacing w:after="0"/>
        <w:tabs>
          <w:tab w:leader="none" w:pos="1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administering our equity and non-equity incentive plans;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our practices and policies of employee compensation as they relate to risk management and risk-taking incentives;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evaluating succession plans for the executive officers;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and approving, or recommending that our board of directors approve, incentive compensation and equity plans; and</w:t>
      </w:r>
    </w:p>
    <w:p>
      <w:pPr>
        <w:spacing w:after="0" w:line="139" w:lineRule="exact"/>
        <w:rPr>
          <w:rFonts w:ascii="Arial" w:cs="Arial" w:eastAsia="Arial" w:hAnsi="Arial"/>
          <w:sz w:val="17"/>
          <w:szCs w:val="17"/>
          <w:color w:val="auto"/>
        </w:rPr>
      </w:pPr>
    </w:p>
    <w:p>
      <w:pPr>
        <w:ind w:left="1220" w:right="980" w:hanging="537"/>
        <w:spacing w:after="0" w:line="271" w:lineRule="auto"/>
        <w:tabs>
          <w:tab w:leader="none" w:pos="1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75" w:lineRule="exact"/>
        <w:rPr>
          <w:sz w:val="20"/>
          <w:szCs w:val="20"/>
          <w:color w:val="auto"/>
        </w:rPr>
      </w:pPr>
    </w:p>
    <w:p>
      <w:pPr>
        <w:ind w:left="260" w:right="680" w:firstLine="437"/>
        <w:spacing w:after="0" w:line="271"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Nasdaq.</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1" w:lineRule="exact"/>
        <w:rPr>
          <w:sz w:val="20"/>
          <w:szCs w:val="20"/>
          <w:color w:val="auto"/>
        </w:rPr>
      </w:pPr>
    </w:p>
    <w:p>
      <w:pPr>
        <w:ind w:left="260" w:right="60" w:firstLine="437"/>
        <w:spacing w:after="0" w:line="259" w:lineRule="auto"/>
        <w:rPr>
          <w:sz w:val="20"/>
          <w:szCs w:val="20"/>
          <w:color w:val="auto"/>
        </w:rPr>
      </w:pPr>
      <w:r>
        <w:rPr>
          <w:rFonts w:ascii="Arial" w:cs="Arial" w:eastAsia="Arial" w:hAnsi="Arial"/>
          <w:sz w:val="18"/>
          <w:szCs w:val="18"/>
          <w:color w:val="auto"/>
        </w:rPr>
        <w:t>Our nominating and corporate governance committee will consist of Matthew Jacobson, Dev Ittycheria and Shardul Shah. The chair of our nominating and corporate governance committee will be Matthew Jacobson. Our board of directors has determined that each member of the nominating and corporate governance committee is independent under Nasdaq listing standards.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nominating and corporate governance committee’s responsibilities include, among other things:</w:t>
      </w:r>
    </w:p>
    <w:p>
      <w:pPr>
        <w:spacing w:after="0" w:line="128" w:lineRule="exact"/>
        <w:rPr>
          <w:sz w:val="20"/>
          <w:szCs w:val="20"/>
          <w:color w:val="auto"/>
        </w:rPr>
      </w:pPr>
    </w:p>
    <w:p>
      <w:pPr>
        <w:ind w:left="1220" w:right="20" w:hanging="537"/>
        <w:spacing w:after="0" w:line="271" w:lineRule="auto"/>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approving the retention of director search firms;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0" w:lineRule="exact"/>
        <w:rPr>
          <w:rFonts w:ascii="Arial" w:cs="Arial" w:eastAsia="Arial" w:hAnsi="Arial"/>
          <w:sz w:val="16"/>
          <w:szCs w:val="16"/>
          <w:color w:val="auto"/>
        </w:rPr>
      </w:pPr>
    </w:p>
    <w:p>
      <w:pPr>
        <w:ind w:left="1220" w:hanging="537"/>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221" w:lineRule="exact"/>
        <w:rPr>
          <w:sz w:val="20"/>
          <w:szCs w:val="20"/>
          <w:color w:val="auto"/>
        </w:rPr>
      </w:pPr>
    </w:p>
    <w:p>
      <w:pPr>
        <w:ind w:left="260" w:right="160" w:firstLine="437"/>
        <w:spacing w:after="0" w:line="271"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Nasdaq.</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Code of Conduct</w:t>
      </w:r>
    </w:p>
    <w:p>
      <w:pPr>
        <w:spacing w:after="0" w:line="225" w:lineRule="exact"/>
        <w:rPr>
          <w:sz w:val="20"/>
          <w:szCs w:val="20"/>
          <w:color w:val="auto"/>
        </w:rPr>
      </w:pPr>
    </w:p>
    <w:p>
      <w:pPr>
        <w:ind w:left="260" w:right="40" w:firstLine="437"/>
        <w:spacing w:after="0" w:line="290" w:lineRule="auto"/>
        <w:rPr>
          <w:sz w:val="20"/>
          <w:szCs w:val="20"/>
          <w:color w:val="auto"/>
        </w:rPr>
      </w:pPr>
      <w:r>
        <w:rPr>
          <w:rFonts w:ascii="Arial" w:cs="Arial" w:eastAsia="Arial" w:hAnsi="Arial"/>
          <w:sz w:val="16"/>
          <w:szCs w:val="16"/>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www.datadog.com.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5" w:lineRule="exact"/>
        <w:rPr>
          <w:sz w:val="20"/>
          <w:szCs w:val="20"/>
          <w:color w:val="auto"/>
        </w:rPr>
      </w:pPr>
    </w:p>
    <w:p>
      <w:pPr>
        <w:ind w:left="260" w:right="260" w:firstLine="437"/>
        <w:spacing w:after="0" w:line="282"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24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Non-Employee Director Compensation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sets forth information regarding compensation earned by or paid to our non-employee directors for the year ended</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2018:</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40" w:type="dxa"/>
            <w:vAlign w:val="bottom"/>
            <w:vMerge w:val="restart"/>
          </w:tcPr>
          <w:p>
            <w:pPr>
              <w:spacing w:after="0"/>
              <w:rPr>
                <w:sz w:val="14"/>
                <w:szCs w:val="14"/>
                <w:color w:val="auto"/>
              </w:rPr>
            </w:pPr>
          </w:p>
        </w:tc>
        <w:tc>
          <w:tcPr>
            <w:tcW w:w="352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 or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2600" w:type="dxa"/>
            <w:vAlign w:val="bottom"/>
          </w:tcPr>
          <w:p>
            <w:pPr>
              <w:spacing w:after="0"/>
              <w:rPr>
                <w:sz w:val="15"/>
                <w:szCs w:val="15"/>
                <w:color w:val="auto"/>
              </w:rPr>
            </w:pPr>
          </w:p>
        </w:tc>
        <w:tc>
          <w:tcPr>
            <w:tcW w:w="92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7"/>
              </w:rPr>
              <w:t>Paid in Cash</w:t>
            </w:r>
          </w:p>
        </w:tc>
        <w:tc>
          <w:tcPr>
            <w:tcW w:w="940" w:type="dxa"/>
            <w:vAlign w:val="bottom"/>
          </w:tcPr>
          <w:p>
            <w:pPr>
              <w:spacing w:after="0"/>
              <w:rPr>
                <w:sz w:val="15"/>
                <w:szCs w:val="15"/>
                <w:color w:val="auto"/>
              </w:rPr>
            </w:pPr>
          </w:p>
        </w:tc>
        <w:tc>
          <w:tcPr>
            <w:tcW w:w="68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0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Callahan</w:t>
            </w:r>
          </w:p>
        </w:tc>
        <w:tc>
          <w:tcPr>
            <w:tcW w:w="26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00" w:type="dxa"/>
            <w:vAlign w:val="bottom"/>
            <w:gridSpan w:val="2"/>
          </w:tcPr>
          <w:p>
            <w:pPr>
              <w:spacing w:after="0"/>
              <w:rPr>
                <w:sz w:val="20"/>
                <w:szCs w:val="20"/>
                <w:color w:val="auto"/>
              </w:rPr>
            </w:pPr>
            <w:r>
              <w:rPr>
                <w:rFonts w:ascii="Arial" w:cs="Arial" w:eastAsia="Arial" w:hAnsi="Arial"/>
                <w:sz w:val="18"/>
                <w:szCs w:val="18"/>
                <w:color w:val="auto"/>
              </w:rPr>
              <w:t>Dev Ittycheria</w:t>
            </w: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814,399</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Jacobson</w:t>
            </w:r>
            <w:r>
              <w:rPr>
                <w:rFonts w:ascii="Arial" w:cs="Arial" w:eastAsia="Arial" w:hAnsi="Arial"/>
                <w:sz w:val="15"/>
                <w:szCs w:val="15"/>
                <w:color w:val="auto"/>
              </w:rPr>
              <w:t>(2)</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00" w:type="dxa"/>
            <w:vAlign w:val="bottom"/>
            <w:gridSpan w:val="2"/>
          </w:tcPr>
          <w:p>
            <w:pPr>
              <w:spacing w:after="0"/>
              <w:rPr>
                <w:sz w:val="20"/>
                <w:szCs w:val="20"/>
                <w:color w:val="auto"/>
              </w:rPr>
            </w:pPr>
            <w:r>
              <w:rPr>
                <w:rFonts w:ascii="Arial" w:cs="Arial" w:eastAsia="Arial" w:hAnsi="Arial"/>
                <w:sz w:val="18"/>
                <w:szCs w:val="18"/>
                <w:color w:val="auto"/>
              </w:rPr>
              <w:t>Julie Richardson</w:t>
            </w: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Shardul Shah</w:t>
            </w:r>
          </w:p>
        </w:tc>
        <w:tc>
          <w:tcPr>
            <w:tcW w:w="2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100" w:type="dxa"/>
            <w:vAlign w:val="bottom"/>
            <w:gridSpan w:val="2"/>
          </w:tcPr>
          <w:p>
            <w:pPr>
              <w:spacing w:after="0"/>
              <w:rPr>
                <w:sz w:val="20"/>
                <w:szCs w:val="20"/>
                <w:color w:val="auto"/>
              </w:rPr>
            </w:pPr>
            <w:r>
              <w:rPr>
                <w:rFonts w:ascii="Arial" w:cs="Arial" w:eastAsia="Arial" w:hAnsi="Arial"/>
                <w:sz w:val="18"/>
                <w:szCs w:val="18"/>
                <w:color w:val="auto"/>
              </w:rPr>
              <w:t>Kirill Sheynkman</w:t>
            </w:r>
            <w:r>
              <w:rPr>
                <w:rFonts w:ascii="Arial" w:cs="Arial" w:eastAsia="Arial" w:hAnsi="Arial"/>
                <w:sz w:val="15"/>
                <w:szCs w:val="15"/>
                <w:color w:val="auto"/>
              </w:rPr>
              <w:t>(3)</w:t>
            </w:r>
          </w:p>
        </w:tc>
        <w:tc>
          <w:tcPr>
            <w:tcW w:w="2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76835</wp:posOffset>
            </wp:positionV>
            <wp:extent cx="7562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136" w:lineRule="exact"/>
        <w:rPr>
          <w:sz w:val="20"/>
          <w:szCs w:val="20"/>
          <w:color w:val="auto"/>
        </w:rPr>
      </w:pPr>
    </w:p>
    <w:p>
      <w:pPr>
        <w:ind w:left="680" w:right="420" w:hanging="425"/>
        <w:spacing w:after="0" w:line="223"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 reported represent the aggregate grant date fair value of stock options granted to our directors during 2018 under our 2012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Arial" w:cs="Arial" w:eastAsia="Arial" w:hAnsi="Arial"/>
          <w:sz w:val="14"/>
          <w:szCs w:val="14"/>
          <w:color w:val="auto"/>
        </w:rPr>
      </w:pPr>
    </w:p>
    <w:p>
      <w:pPr>
        <w:ind w:left="680" w:hanging="425"/>
        <w:spacing w:after="0" w:line="219"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Jacobson joined our board of directors in July 2019.</w:t>
      </w:r>
    </w:p>
    <w:p>
      <w:pPr>
        <w:ind w:left="680" w:hanging="425"/>
        <w:spacing w:after="0"/>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Sheynkman resigned from our board of directors in July 2019.</w:t>
      </w:r>
    </w:p>
    <w:p>
      <w:pPr>
        <w:spacing w:after="0" w:line="193" w:lineRule="exact"/>
        <w:rPr>
          <w:sz w:val="20"/>
          <w:szCs w:val="20"/>
          <w:color w:val="auto"/>
        </w:rPr>
      </w:pPr>
    </w:p>
    <w:p>
      <w:pPr>
        <w:ind w:left="260" w:right="160" w:firstLine="437"/>
        <w:spacing w:after="0" w:line="282" w:lineRule="auto"/>
        <w:rPr>
          <w:sz w:val="20"/>
          <w:szCs w:val="20"/>
          <w:color w:val="auto"/>
        </w:rPr>
      </w:pPr>
      <w:r>
        <w:rPr>
          <w:rFonts w:ascii="Arial" w:cs="Arial" w:eastAsia="Arial" w:hAnsi="Arial"/>
          <w:sz w:val="17"/>
          <w:szCs w:val="17"/>
          <w:color w:val="auto"/>
        </w:rPr>
        <w:t>Each of Mr. Pomel, our co-founder and Chief Executive Officer, and Mr. Lê-Quôc, our co-founder, President and Chief Technology Officer, is also a member of our board of directors but does not receive any additional compensation for his service as a director. See the section titled “Executive Compensation” for more information regarding the compensation earned by these executive officers.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5" w:lineRule="exact"/>
        <w:rPr>
          <w:sz w:val="20"/>
          <w:szCs w:val="20"/>
          <w:color w:val="auto"/>
        </w:rPr>
      </w:pPr>
    </w:p>
    <w:p>
      <w:pPr>
        <w:ind w:left="260" w:right="400" w:firstLine="437"/>
        <w:spacing w:after="0" w:line="255" w:lineRule="auto"/>
        <w:rPr>
          <w:sz w:val="20"/>
          <w:szCs w:val="20"/>
          <w:color w:val="auto"/>
        </w:rPr>
      </w:pPr>
      <w:r>
        <w:rPr>
          <w:rFonts w:ascii="Arial" w:cs="Arial" w:eastAsia="Arial" w:hAnsi="Arial"/>
          <w:sz w:val="18"/>
          <w:szCs w:val="18"/>
          <w:color w:val="auto"/>
        </w:rPr>
        <w:t>In anticipation of this offering and the increased responsibilities of our non-employee directors as directors of a public company, our board of directors adopted our Non-Employee Director Compensation Policy, or the policy, to become effective upon the execution of the underwriting agreement related to this offering. Under the policy, each of our non-employee directors will be eligible to receive compensation for service on our board of directors and committees of our board of directors.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1" w:lineRule="exact"/>
        <w:rPr>
          <w:sz w:val="20"/>
          <w:szCs w:val="20"/>
          <w:color w:val="auto"/>
        </w:rPr>
      </w:pPr>
    </w:p>
    <w:p>
      <w:pPr>
        <w:ind w:left="260" w:right="620" w:firstLine="437"/>
        <w:spacing w:after="0" w:line="271" w:lineRule="auto"/>
        <w:rPr>
          <w:sz w:val="20"/>
          <w:szCs w:val="20"/>
          <w:color w:val="auto"/>
        </w:rPr>
      </w:pPr>
      <w:r>
        <w:rPr>
          <w:rFonts w:ascii="Arial" w:cs="Arial" w:eastAsia="Arial" w:hAnsi="Arial"/>
          <w:sz w:val="18"/>
          <w:szCs w:val="18"/>
          <w:color w:val="auto"/>
        </w:rPr>
        <w:t>Commencing on the date of the execution of the underwriting agreement related to this offering, the policy will provide our non-employee directors with the following cash compensation for their services:</w:t>
      </w:r>
    </w:p>
    <w:p>
      <w:pPr>
        <w:spacing w:after="0" w:line="81" w:lineRule="exact"/>
        <w:rPr>
          <w:sz w:val="20"/>
          <w:szCs w:val="20"/>
          <w:color w:val="auto"/>
        </w:rPr>
      </w:pPr>
    </w:p>
    <w:p>
      <w:pPr>
        <w:ind w:left="1220" w:hanging="537"/>
        <w:spacing w:after="0"/>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$30,000 per year for each non-employee director;</w:t>
      </w:r>
    </w:p>
    <w:p>
      <w:pPr>
        <w:spacing w:after="0" w:line="247" w:lineRule="exact"/>
        <w:rPr>
          <w:rFonts w:ascii="Arial" w:cs="Arial" w:eastAsia="Arial" w:hAnsi="Arial"/>
          <w:sz w:val="18"/>
          <w:szCs w:val="18"/>
          <w:color w:val="auto"/>
        </w:rPr>
      </w:pPr>
    </w:p>
    <w:p>
      <w:pPr>
        <w:ind w:left="1220" w:hanging="537"/>
        <w:spacing w:after="0"/>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$45,000 per year for the lead non-employee director (if applicable) in lieu of the annual amount above;</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$20,000 per year for chair of the audit committee or $10,000 per year for each other member of the audit committee;</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$14,000 per year for chair of the compensation committee or $7,000 per year for each other member of the compensation committee; and</w:t>
      </w:r>
    </w:p>
    <w:p>
      <w:pPr>
        <w:spacing w:after="0" w:line="150" w:lineRule="exact"/>
        <w:rPr>
          <w:rFonts w:ascii="Arial" w:cs="Arial" w:eastAsia="Arial" w:hAnsi="Arial"/>
          <w:sz w:val="16"/>
          <w:szCs w:val="16"/>
          <w:color w:val="auto"/>
        </w:rPr>
      </w:pPr>
    </w:p>
    <w:p>
      <w:pPr>
        <w:ind w:left="1220" w:right="720" w:hanging="537"/>
        <w:spacing w:after="0" w:line="271" w:lineRule="auto"/>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$7,500 per year for chair of the nominating and corporate governance committee or $4,000 per year for each other member of the nominating and corporate governance committee.</w:t>
      </w:r>
    </w:p>
    <w:p>
      <w:pPr>
        <w:spacing w:after="0" w:line="175" w:lineRule="exact"/>
        <w:rPr>
          <w:sz w:val="20"/>
          <w:szCs w:val="20"/>
          <w:color w:val="auto"/>
        </w:rPr>
      </w:pPr>
    </w:p>
    <w:p>
      <w:pPr>
        <w:ind w:left="260" w:right="200"/>
        <w:spacing w:after="0" w:line="271" w:lineRule="auto"/>
        <w:rPr>
          <w:sz w:val="20"/>
          <w:szCs w:val="20"/>
          <w:color w:val="auto"/>
        </w:rPr>
      </w:pPr>
      <w:r>
        <w:rPr>
          <w:rFonts w:ascii="Arial" w:cs="Arial" w:eastAsia="Arial" w:hAnsi="Arial"/>
          <w:sz w:val="18"/>
          <w:szCs w:val="18"/>
          <w:color w:val="auto"/>
        </w:rPr>
        <w:t>The cash compensation above will be payable to our eligible non-employee directors in equal quarterly installments in arrears, prorated for any partial quarter of service.</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1" w:lineRule="exact"/>
        <w:rPr>
          <w:sz w:val="20"/>
          <w:szCs w:val="20"/>
          <w:color w:val="auto"/>
        </w:rPr>
      </w:pPr>
    </w:p>
    <w:p>
      <w:pPr>
        <w:ind w:left="260" w:right="160" w:firstLine="437"/>
        <w:spacing w:after="0" w:line="271" w:lineRule="auto"/>
        <w:rPr>
          <w:sz w:val="20"/>
          <w:szCs w:val="20"/>
          <w:color w:val="auto"/>
        </w:rPr>
      </w:pPr>
      <w:r>
        <w:rPr>
          <w:rFonts w:ascii="Arial" w:cs="Arial" w:eastAsia="Arial" w:hAnsi="Arial"/>
          <w:sz w:val="18"/>
          <w:szCs w:val="18"/>
          <w:color w:val="auto"/>
        </w:rPr>
        <w:t>In addition to the cash compensation structure described above, the policy provides for the following equity incentive compensation program for non-employee directors, commencing on the date of the execution of the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6"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underwriting agreement related to this offering. All such equity compensation will be granted under the 2019 Plan or any successor equity plan.</w:t>
      </w:r>
    </w:p>
    <w:p>
      <w:pPr>
        <w:spacing w:after="0" w:line="233" w:lineRule="exact"/>
        <w:rPr>
          <w:sz w:val="20"/>
          <w:szCs w:val="20"/>
          <w:color w:val="auto"/>
        </w:rPr>
      </w:pPr>
    </w:p>
    <w:p>
      <w:pPr>
        <w:ind w:left="260" w:right="40" w:firstLine="437"/>
        <w:spacing w:after="0" w:line="268" w:lineRule="auto"/>
        <w:rPr>
          <w:sz w:val="20"/>
          <w:szCs w:val="20"/>
          <w:color w:val="auto"/>
        </w:rPr>
      </w:pPr>
      <w:r>
        <w:rPr>
          <w:rFonts w:ascii="Arial" w:cs="Arial" w:eastAsia="Arial" w:hAnsi="Arial"/>
          <w:sz w:val="17"/>
          <w:szCs w:val="17"/>
          <w:i w:val="1"/>
          <w:iCs w:val="1"/>
          <w:color w:val="auto"/>
        </w:rPr>
        <w:t xml:space="preserve">Retainer Grant. </w:t>
      </w:r>
      <w:r>
        <w:rPr>
          <w:rFonts w:ascii="Arial" w:cs="Arial" w:eastAsia="Arial" w:hAnsi="Arial"/>
          <w:sz w:val="17"/>
          <w:szCs w:val="17"/>
          <w:color w:val="auto"/>
        </w:rPr>
        <w:t>Each non-employee director may elect to convert his or her cash compensation under the policy for the first calendar quarter that</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commences after the date of the execution of the underwriting agreement related to this offering and any subsequent calendar quarter into an award of restricted stock units, or the retainer grant. If a non-employee director timely makes this election, each such retainer grant will be automatically granted on the first business day following the date the corresponding cash compensation otherwise would be paid under the policy. Each retainer grant will cover a number of shares of our Class A common stock equal to (A) the aggregate amount of the corresponding cash compensation otherwise payable to the non-employee director divided by (B) the closing sales price per share of our Class A common stock on the date the corresponding cash compensation otherwise would be paid (or, if such date is not a business day, on the first business day thereafter), rounded down to the nearest whole share. In addition, each retainer grant will be fully vested on the grant date.</w:t>
      </w:r>
    </w:p>
    <w:p>
      <w:pPr>
        <w:spacing w:after="0" w:line="181" w:lineRule="exact"/>
        <w:rPr>
          <w:sz w:val="20"/>
          <w:szCs w:val="20"/>
          <w:color w:val="auto"/>
        </w:rPr>
      </w:pPr>
    </w:p>
    <w:p>
      <w:pPr>
        <w:ind w:left="260" w:right="80" w:firstLine="437"/>
        <w:spacing w:after="0" w:line="270" w:lineRule="auto"/>
        <w:rPr>
          <w:sz w:val="20"/>
          <w:szCs w:val="20"/>
          <w:color w:val="auto"/>
        </w:rPr>
      </w:pPr>
      <w:r>
        <w:rPr>
          <w:rFonts w:ascii="Arial" w:cs="Arial" w:eastAsia="Arial" w:hAnsi="Arial"/>
          <w:sz w:val="17"/>
          <w:szCs w:val="17"/>
          <w:i w:val="1"/>
          <w:iCs w:val="1"/>
          <w:color w:val="auto"/>
        </w:rPr>
        <w:t>Initial Grant</w:t>
      </w:r>
      <w:r>
        <w:rPr>
          <w:rFonts w:ascii="Arial" w:cs="Arial" w:eastAsia="Arial" w:hAnsi="Arial"/>
          <w:sz w:val="17"/>
          <w:szCs w:val="17"/>
          <w:color w:val="auto"/>
        </w:rPr>
        <w:t>. Each non-employee director who first joins our board of directors after the date of the execution of the underwriting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this offering will automatically, upon the date of his or her initial election or appointment to be a non-employee director (or, if such date is not a business day, on the first business day thereafter), be granted a one-time, initial restricted stock unit award, or the initial grant, covering a number of shares of our Class A common stock equal to (A) $350,000 divided by (B) the closing sales price per share of our Class A common stock on the applicable grant date, rounded down to the nearest whole share. Each initial grant will vest in three equal annual installments over the three-year period following the grant date, subject to continued service through each applicable vesting date.</w:t>
      </w:r>
    </w:p>
    <w:p>
      <w:pPr>
        <w:spacing w:after="0" w:line="179" w:lineRule="exact"/>
        <w:rPr>
          <w:sz w:val="20"/>
          <w:szCs w:val="20"/>
          <w:color w:val="auto"/>
        </w:rPr>
      </w:pPr>
    </w:p>
    <w:p>
      <w:pPr>
        <w:ind w:left="260" w:right="60" w:firstLine="437"/>
        <w:spacing w:after="0" w:line="267" w:lineRule="auto"/>
        <w:rPr>
          <w:sz w:val="20"/>
          <w:szCs w:val="20"/>
          <w:color w:val="auto"/>
        </w:rPr>
      </w:pPr>
      <w:r>
        <w:rPr>
          <w:rFonts w:ascii="Arial" w:cs="Arial" w:eastAsia="Arial" w:hAnsi="Arial"/>
          <w:sz w:val="17"/>
          <w:szCs w:val="17"/>
          <w:i w:val="1"/>
          <w:iCs w:val="1"/>
          <w:color w:val="auto"/>
        </w:rPr>
        <w:t>Delayed Incumbent Director Grant</w:t>
      </w:r>
      <w:r>
        <w:rPr>
          <w:rFonts w:ascii="Arial" w:cs="Arial" w:eastAsia="Arial" w:hAnsi="Arial"/>
          <w:sz w:val="17"/>
          <w:szCs w:val="17"/>
          <w:color w:val="auto"/>
        </w:rPr>
        <w:t>. Each person who has served as a non-employee director through the six-month period ending on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execution of the underwriting agreement related to this offering and holds one or more outstanding and unvested equity awards on the last day of such period, or an existing equity award, will automatically be granted a restricted stock unit award, or the delayed incumbent director grant, on the date immediately following the date that all of the existing equity awards held by the applicable non-employee director have become fully vested (or, if such date is not a business day, the first business day thereafter). Each delayed incumbent director grant will cover a number of shares of our Class A common stock equal to (A) $175,000 multiplied by the fraction obtained by dividing (1) the total number of days following the date that all of the existing equity awards held by the applicable non-employee director had become fully vested through and including May 31, 2020 by (2) 365 days, divided by (B) the initial per share price to the public of our Class A common stock, rounded down to the nearest whole share. Each delayed incumbent director grant will vest on the earlier of May 31, 2020 or the date of our next annual stockholder meeting following the grant date, subject to continued service through the vesting date.</w:t>
      </w:r>
    </w:p>
    <w:p>
      <w:pPr>
        <w:spacing w:after="0" w:line="180" w:lineRule="exact"/>
        <w:rPr>
          <w:sz w:val="20"/>
          <w:szCs w:val="20"/>
          <w:color w:val="auto"/>
        </w:rPr>
      </w:pPr>
    </w:p>
    <w:p>
      <w:pPr>
        <w:ind w:left="260" w:firstLine="437"/>
        <w:spacing w:after="0" w:line="270" w:lineRule="auto"/>
        <w:rPr>
          <w:sz w:val="20"/>
          <w:szCs w:val="20"/>
          <w:color w:val="auto"/>
        </w:rPr>
      </w:pPr>
      <w:r>
        <w:rPr>
          <w:rFonts w:ascii="Arial" w:cs="Arial" w:eastAsia="Arial" w:hAnsi="Arial"/>
          <w:sz w:val="17"/>
          <w:szCs w:val="17"/>
          <w:i w:val="1"/>
          <w:iCs w:val="1"/>
          <w:color w:val="auto"/>
        </w:rPr>
        <w:t>Annual Grant</w:t>
      </w:r>
      <w:r>
        <w:rPr>
          <w:rFonts w:ascii="Arial" w:cs="Arial" w:eastAsia="Arial" w:hAnsi="Arial"/>
          <w:sz w:val="17"/>
          <w:szCs w:val="17"/>
          <w:color w:val="auto"/>
        </w:rPr>
        <w:t>. On the date of each annual meeting of our stockholders following the date of the execution of the underwriting agreement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this offering, each person who is then a non-employee director of ours will automatically be granted an annual restricted stock unit award, or the annual grant, covering a number of shares of our Class A common stock equal to (A) $175,000 divided by (B) the closing sales price per share of our Class A common stock on the date of the applicable annual stockholder meeting (or, if such date is not a business day, the first business day thereafter). Each annual grant will vest on the earlier of the one-year anniversary of the award’s grant date or the date of our next annual stockholder meeting following the award’s grant date, subject to continued service through the vesting date.</w:t>
      </w:r>
    </w:p>
    <w:p>
      <w:pPr>
        <w:spacing w:after="0" w:line="179" w:lineRule="exact"/>
        <w:rPr>
          <w:sz w:val="20"/>
          <w:szCs w:val="20"/>
          <w:color w:val="auto"/>
        </w:rPr>
      </w:pPr>
    </w:p>
    <w:p>
      <w:pPr>
        <w:ind w:left="260" w:right="80" w:firstLine="437"/>
        <w:spacing w:after="0" w:line="255" w:lineRule="auto"/>
        <w:rPr>
          <w:sz w:val="20"/>
          <w:szCs w:val="20"/>
          <w:color w:val="auto"/>
        </w:rPr>
      </w:pPr>
      <w:r>
        <w:rPr>
          <w:rFonts w:ascii="Arial" w:cs="Arial" w:eastAsia="Arial" w:hAnsi="Arial"/>
          <w:sz w:val="18"/>
          <w:szCs w:val="18"/>
          <w:color w:val="auto"/>
        </w:rPr>
        <w:t>Each non-employee director’s then-outstanding equity awards granted under the policy (and any other then-outstanding equity awards held by the non-employee director that were outstanding and unvested immediately prior to the date of the execution of the underwriting agreement related to this offering) will become fully vested upon a change in control (as defined in our 2019 Plan), subject to the non-employee director remaining in continuous service until immediately prior to the closing of the change in control.</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6"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named executive officers, consisting of our principal executive officer and the next two most highly compensated executive officers, as of</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2018, were:</w:t>
      </w:r>
    </w:p>
    <w:p>
      <w:pPr>
        <w:spacing w:after="0" w:line="115" w:lineRule="exact"/>
        <w:rPr>
          <w:sz w:val="20"/>
          <w:szCs w:val="20"/>
          <w:color w:val="auto"/>
        </w:rPr>
      </w:pPr>
    </w:p>
    <w:p>
      <w:pPr>
        <w:ind w:left="1220" w:hanging="537"/>
        <w:spacing w:after="0"/>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Olivier Pomel, Co-Founder and Chief Executive Officer;</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David Obstler, Chief Financial Officer;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Laszlo Kopits, General Counsel</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2018 Summary Compensation Table</w:t>
      </w:r>
    </w:p>
    <w:p>
      <w:pPr>
        <w:spacing w:after="0" w:line="225" w:lineRule="exact"/>
        <w:rPr>
          <w:sz w:val="20"/>
          <w:szCs w:val="20"/>
          <w:color w:val="auto"/>
        </w:rPr>
      </w:pPr>
    </w:p>
    <w:p>
      <w:pPr>
        <w:ind w:left="260" w:right="800" w:firstLine="437"/>
        <w:spacing w:after="0" w:line="271"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year ended December 31, 2018.</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Non-Equity</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All Other</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tcPr>
          <w:p>
            <w:pPr>
              <w:spacing w:after="0"/>
              <w:rPr>
                <w:sz w:val="12"/>
                <w:szCs w:val="12"/>
                <w:color w:val="auto"/>
              </w:rPr>
            </w:pPr>
          </w:p>
        </w:tc>
        <w:tc>
          <w:tcPr>
            <w:tcW w:w="1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Bonus</w:t>
            </w:r>
            <w:r>
              <w:rPr>
                <w:rFonts w:ascii="Arial" w:cs="Arial" w:eastAsia="Arial" w:hAnsi="Arial"/>
                <w:sz w:val="12"/>
                <w:szCs w:val="12"/>
                <w:b w:val="1"/>
                <w:bCs w:val="1"/>
                <w:color w:val="auto"/>
                <w:w w:val="92"/>
              </w:rPr>
              <w:t>(1)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Incentive Plan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8"/>
              <w:spacing w:after="0" w:line="157"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(2)</w:t>
            </w:r>
          </w:p>
        </w:tc>
        <w:tc>
          <w:tcPr>
            <w:tcW w:w="1520" w:type="dxa"/>
            <w:vAlign w:val="bottom"/>
            <w:gridSpan w:val="3"/>
          </w:tcPr>
          <w:p>
            <w:pPr>
              <w:jc w:val="center"/>
              <w:ind w:left="429"/>
              <w:spacing w:after="0" w:line="157"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(3)</w:t>
            </w:r>
          </w:p>
        </w:tc>
        <w:tc>
          <w:tcPr>
            <w:tcW w:w="154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(4)</w:t>
            </w:r>
          </w:p>
        </w:tc>
        <w:tc>
          <w:tcPr>
            <w:tcW w:w="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Olivier Pomel</w:t>
            </w:r>
          </w:p>
        </w:tc>
        <w:tc>
          <w:tcPr>
            <w:tcW w:w="10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$300,000</w:t>
            </w: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147,791</w:t>
            </w: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240</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  448,031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0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i w:val="1"/>
                <w:iCs w:val="1"/>
                <w:color w:val="auto"/>
              </w:rPr>
              <w:t>Co-Founder and Chief</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Officer</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2820" w:type="dxa"/>
            <w:vAlign w:val="bottom"/>
            <w:gridSpan w:val="3"/>
          </w:tcPr>
          <w:p>
            <w:pPr>
              <w:spacing w:after="0"/>
              <w:rPr>
                <w:sz w:val="20"/>
                <w:szCs w:val="20"/>
                <w:color w:val="auto"/>
              </w:rPr>
            </w:pPr>
            <w:r>
              <w:rPr>
                <w:rFonts w:ascii="Arial" w:cs="Arial" w:eastAsia="Arial" w:hAnsi="Arial"/>
                <w:sz w:val="18"/>
                <w:szCs w:val="18"/>
                <w:color w:val="auto"/>
              </w:rPr>
              <w:t>David Obstler</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58,333</w:t>
            </w:r>
            <w:r>
              <w:rPr>
                <w:rFonts w:ascii="Arial" w:cs="Arial" w:eastAsia="Arial" w:hAnsi="Arial"/>
                <w:sz w:val="15"/>
                <w:szCs w:val="15"/>
                <w:color w:val="auto"/>
              </w:rPr>
              <w:t>(5)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60,000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7,449,033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51,727</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7,619,222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Laszlo Kopits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299,391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General Counsel</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85090</wp:posOffset>
            </wp:positionV>
            <wp:extent cx="7562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147" w:lineRule="exact"/>
        <w:rPr>
          <w:sz w:val="20"/>
          <w:szCs w:val="20"/>
          <w:color w:val="auto"/>
        </w:rPr>
      </w:pPr>
    </w:p>
    <w:p>
      <w:pPr>
        <w:ind w:left="680" w:hanging="425"/>
        <w:spacing w:after="0"/>
        <w:tabs>
          <w:tab w:leader="none" w:pos="6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shown represent a one-time signing bonus awarded to Mr. Obstler.</w:t>
      </w:r>
    </w:p>
    <w:p>
      <w:pPr>
        <w:ind w:left="680" w:right="100" w:hanging="425"/>
        <w:spacing w:after="0" w:line="236" w:lineRule="auto"/>
        <w:tabs>
          <w:tab w:leader="none" w:pos="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Amounts reported represents the aggregate grant date fair value of stock options granted to our executive officer during 2018 under our 2012 Plan, computed in accordance with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executive officer.</w:t>
      </w:r>
    </w:p>
    <w:p>
      <w:pPr>
        <w:ind w:left="680" w:hanging="425"/>
        <w:spacing w:after="0" w:line="236" w:lineRule="auto"/>
        <w:tabs>
          <w:tab w:leader="none" w:pos="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Amounts shown represent the executive officers’ total bonuses earned for 2018 based on the achievement of company performance goals as determined by our board of directors.</w:t>
      </w:r>
    </w:p>
    <w:p>
      <w:pPr>
        <w:ind w:left="680" w:hanging="425"/>
        <w:spacing w:after="0" w:line="219" w:lineRule="auto"/>
        <w:tabs>
          <w:tab w:leader="none" w:pos="6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shown represent life insurance premiums paid by us on behalf of the executive officer.</w:t>
      </w:r>
    </w:p>
    <w:p>
      <w:pPr>
        <w:ind w:left="680" w:hanging="425"/>
        <w:spacing w:after="0"/>
        <w:tabs>
          <w:tab w:leader="none" w:pos="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Mr. Obstler joined us in November 2018. Amount represents the pro rata portion of his 2018 annual base salary as set forth in the section titled “—Employment Arrangements.”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Outstanding Equity Awards as of December 31, 2018</w:t>
      </w:r>
    </w:p>
    <w:p>
      <w:pPr>
        <w:spacing w:after="0" w:line="225" w:lineRule="exact"/>
        <w:rPr>
          <w:sz w:val="20"/>
          <w:szCs w:val="20"/>
          <w:color w:val="auto"/>
        </w:rPr>
      </w:pPr>
    </w:p>
    <w:p>
      <w:pPr>
        <w:ind w:left="260" w:right="880" w:firstLine="437"/>
        <w:spacing w:after="0" w:line="271"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remain outstanding as of December 31, 2018.</w:t>
      </w:r>
    </w:p>
    <w:p>
      <w:pPr>
        <w:spacing w:after="0" w:line="19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2"/>
          </w:tcPr>
          <w:p>
            <w:pPr>
              <w:jc w:val="center"/>
              <w:ind w:right="300"/>
              <w:spacing w:after="0" w:line="118"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0"/>
                <w:szCs w:val="10"/>
                <w:color w:val="auto"/>
              </w:rPr>
            </w:pPr>
          </w:p>
        </w:tc>
        <w:tc>
          <w:tcPr>
            <w:tcW w:w="1260" w:type="dxa"/>
            <w:vAlign w:val="bottom"/>
            <w:gridSpan w:val="2"/>
          </w:tcPr>
          <w:p>
            <w:pPr>
              <w:jc w:val="center"/>
              <w:ind w:right="440"/>
              <w:spacing w:after="0" w:line="118"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Underlying</w:t>
            </w:r>
          </w:p>
        </w:tc>
        <w:tc>
          <w:tcPr>
            <w:tcW w:w="3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10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6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Grant Date</w:t>
            </w:r>
            <w:r>
              <w:rPr>
                <w:rFonts w:ascii="Arial" w:cs="Arial" w:eastAsia="Arial" w:hAnsi="Arial"/>
                <w:sz w:val="12"/>
                <w:szCs w:val="12"/>
                <w:b w:val="1"/>
                <w:bCs w:val="1"/>
                <w:color w:val="auto"/>
                <w:w w:val="95"/>
              </w:rPr>
              <w:t>(1)</w:t>
            </w:r>
          </w:p>
        </w:tc>
        <w:tc>
          <w:tcPr>
            <w:tcW w:w="10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08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9"/>
              </w:rPr>
              <w:t>Exercisable</w:t>
            </w:r>
          </w:p>
        </w:tc>
        <w:tc>
          <w:tcPr>
            <w:tcW w:w="1620" w:type="dxa"/>
            <w:vAlign w:val="bottom"/>
            <w:gridSpan w:val="3"/>
          </w:tcPr>
          <w:p>
            <w:pPr>
              <w:jc w:val="center"/>
              <w:ind w:right="80"/>
              <w:spacing w:after="0" w:line="157" w:lineRule="exact"/>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5"/>
                <w:szCs w:val="15"/>
                <w:color w:val="auto"/>
              </w:rPr>
            </w:pPr>
          </w:p>
        </w:tc>
        <w:tc>
          <w:tcPr>
            <w:tcW w:w="1080" w:type="dxa"/>
            <w:vAlign w:val="bottom"/>
            <w:gridSpan w:val="2"/>
          </w:tcPr>
          <w:p>
            <w:pPr>
              <w:jc w:val="center"/>
              <w:ind w:right="480"/>
              <w:spacing w:after="0" w:line="157" w:lineRule="exact"/>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7"/>
        </w:trPr>
        <w:tc>
          <w:tcPr>
            <w:tcW w:w="4220" w:type="dxa"/>
            <w:vAlign w:val="bottom"/>
            <w:tcBorders>
              <w:top w:val="single" w:sz="8" w:color="CCEEFF"/>
            </w:tcBorders>
            <w:gridSpan w:val="2"/>
            <w:shd w:val="clear" w:color="auto" w:fill="CCEEFF"/>
          </w:tcPr>
          <w:p>
            <w:pPr>
              <w:spacing w:after="0" w:line="187" w:lineRule="exact"/>
              <w:rPr>
                <w:sz w:val="20"/>
                <w:szCs w:val="20"/>
                <w:color w:val="auto"/>
              </w:rPr>
            </w:pPr>
            <w:r>
              <w:rPr>
                <w:rFonts w:ascii="Arial" w:cs="Arial" w:eastAsia="Arial" w:hAnsi="Arial"/>
                <w:sz w:val="18"/>
                <w:szCs w:val="18"/>
                <w:color w:val="auto"/>
              </w:rPr>
              <w:t>Olivier Pomel</w:t>
            </w:r>
          </w:p>
        </w:tc>
        <w:tc>
          <w:tcPr>
            <w:tcW w:w="4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93"/>
              </w:rPr>
              <w:t>10/27/2015</w:t>
            </w:r>
          </w:p>
        </w:tc>
        <w:tc>
          <w:tcPr>
            <w:tcW w:w="4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94"/>
              </w:rPr>
              <w:t>4,507,200</w:t>
            </w: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86"/>
              </w:rPr>
              <w:t>$0.3067</w:t>
            </w:r>
          </w:p>
        </w:tc>
        <w:tc>
          <w:tcPr>
            <w:tcW w:w="4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7" w:lineRule="exact"/>
              <w:rPr>
                <w:sz w:val="20"/>
                <w:szCs w:val="20"/>
                <w:color w:val="auto"/>
              </w:rPr>
            </w:pPr>
            <w:r>
              <w:rPr>
                <w:rFonts w:ascii="Arial" w:cs="Arial" w:eastAsia="Arial" w:hAnsi="Arial"/>
                <w:sz w:val="18"/>
                <w:szCs w:val="18"/>
                <w:color w:val="auto"/>
                <w:w w:val="93"/>
              </w:rPr>
              <w:t>10/26/2025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10/25/2017</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567,000</w:t>
            </w: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729,000</w:t>
            </w:r>
            <w:r>
              <w:rPr>
                <w:rFonts w:ascii="Arial" w:cs="Arial" w:eastAsia="Arial" w:hAnsi="Arial"/>
                <w:sz w:val="15"/>
                <w:szCs w:val="15"/>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0.9092</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10/24/2027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spacing w:after="0"/>
              <w:rPr>
                <w:sz w:val="20"/>
                <w:szCs w:val="20"/>
                <w:color w:val="auto"/>
              </w:rPr>
            </w:pPr>
            <w:r>
              <w:rPr>
                <w:rFonts w:ascii="Arial" w:cs="Arial" w:eastAsia="Arial" w:hAnsi="Arial"/>
                <w:sz w:val="18"/>
                <w:szCs w:val="18"/>
                <w:color w:val="auto"/>
              </w:rPr>
              <w:t>David Obstler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9/6/2018</w:t>
            </w:r>
          </w:p>
        </w:tc>
        <w:tc>
          <w:tcPr>
            <w:tcW w:w="4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1,200,000</w:t>
            </w:r>
            <w:r>
              <w:rPr>
                <w:rFonts w:ascii="Arial" w:cs="Arial" w:eastAsia="Arial" w:hAnsi="Arial"/>
                <w:sz w:val="15"/>
                <w:szCs w:val="15"/>
                <w:color w:val="auto"/>
                <w:w w:val="93"/>
              </w:rPr>
              <w:t>(3)</w:t>
            </w:r>
          </w:p>
        </w:tc>
        <w:tc>
          <w:tcPr>
            <w:tcW w:w="3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9/5/2028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Laszlo Kopits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10/25/2017</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34,992</w:t>
            </w:r>
          </w:p>
        </w:tc>
        <w:tc>
          <w:tcPr>
            <w:tcW w:w="3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85,008</w:t>
            </w:r>
            <w:r>
              <w:rPr>
                <w:rFonts w:ascii="Arial" w:cs="Arial" w:eastAsia="Arial" w:hAnsi="Arial"/>
                <w:sz w:val="15"/>
                <w:szCs w:val="15"/>
                <w:color w:val="auto"/>
              </w:rPr>
              <w:t>(4)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0.9092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10/24/2027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rPr>
              <w:t>113</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287655</wp:posOffset>
            </wp:positionV>
            <wp:extent cx="7562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0" w:hanging="425"/>
        <w:spacing w:after="0"/>
        <w:tabs>
          <w:tab w:leader="none" w:pos="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 xml:space="preserve">All option awards listed in this table were granted pursuant to our 2012 Plan, the terms of which are described below under “ </w:t>
      </w:r>
      <w:r>
        <w:rPr>
          <w:rFonts w:ascii="Arial" w:cs="Arial" w:eastAsia="Arial" w:hAnsi="Arial"/>
          <w:sz w:val="13"/>
          <w:szCs w:val="13"/>
          <w:i w:val="1"/>
          <w:iCs w:val="1"/>
          <w:color w:val="auto"/>
        </w:rPr>
        <w:t>—</w:t>
      </w:r>
      <w:r>
        <w:rPr>
          <w:rFonts w:ascii="Arial" w:cs="Arial" w:eastAsia="Arial" w:hAnsi="Arial"/>
          <w:sz w:val="13"/>
          <w:szCs w:val="13"/>
          <w:color w:val="auto"/>
        </w:rPr>
        <w:t>Equity Incentive Plans—2012 Equity Incentive Plan</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9" w:lineRule="exact"/>
        <w:rPr>
          <w:rFonts w:ascii="Arial" w:cs="Arial" w:eastAsia="Arial" w:hAnsi="Arial"/>
          <w:sz w:val="13"/>
          <w:szCs w:val="13"/>
          <w:color w:val="auto"/>
        </w:rPr>
      </w:pPr>
    </w:p>
    <w:p>
      <w:pPr>
        <w:ind w:left="680" w:right="140" w:hanging="425"/>
        <w:spacing w:after="0" w:line="219" w:lineRule="auto"/>
        <w:tabs>
          <w:tab w:leader="none" w:pos="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March 1, 2018, with the remaining shares vesting in equal monthly installments over the next three years, subject to the executive officer’s continuous service through each such vesting date.</w:t>
      </w:r>
    </w:p>
    <w:p>
      <w:pPr>
        <w:ind w:left="680" w:right="40" w:hanging="425"/>
        <w:spacing w:after="0" w:line="219" w:lineRule="auto"/>
        <w:tabs>
          <w:tab w:leader="none" w:pos="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25% of the shares underlying this option vest on September 6, 2019, with the remaining shares vesting in equal monthly installments over the next three years, subject to the executive officer’s continuous service through each such vesting date. This option is immediately exercisable, subject to our right to repurchase unvested shares in the event that Mr. Obstler’s employment with us terminates.</w:t>
      </w:r>
    </w:p>
    <w:p>
      <w:pPr>
        <w:ind w:left="680" w:right="60" w:hanging="425"/>
        <w:spacing w:after="0" w:line="235" w:lineRule="auto"/>
        <w:tabs>
          <w:tab w:leader="none" w:pos="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25% of the shares underlying this option vested on October 1, 2018, with the remaining shares vesting in equal monthly installments over the next three years, subject to the executive officer’s continuous service through each such vesting date.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Employment Arrangements</w:t>
      </w:r>
    </w:p>
    <w:p>
      <w:pPr>
        <w:spacing w:after="0" w:line="225" w:lineRule="exact"/>
        <w:rPr>
          <w:sz w:val="20"/>
          <w:szCs w:val="20"/>
          <w:color w:val="auto"/>
        </w:rPr>
      </w:pPr>
    </w:p>
    <w:p>
      <w:pPr>
        <w:ind w:left="260" w:firstLine="437"/>
        <w:spacing w:after="0" w:line="271" w:lineRule="auto"/>
        <w:rPr>
          <w:sz w:val="20"/>
          <w:szCs w:val="20"/>
          <w:color w:val="auto"/>
        </w:rPr>
      </w:pPr>
      <w:r>
        <w:rPr>
          <w:rFonts w:ascii="Arial" w:cs="Arial" w:eastAsia="Arial" w:hAnsi="Arial"/>
          <w:sz w:val="18"/>
          <w:szCs w:val="18"/>
          <w:color w:val="auto"/>
        </w:rPr>
        <w:t>We have entered into offer letters with each of our named executive officers, the terms of which are described below. Each of our named executive officers has also executed our standard form of proprietary information and inventions agreement.</w:t>
      </w:r>
    </w:p>
    <w:p>
      <w:pPr>
        <w:spacing w:after="0" w:line="175" w:lineRule="exact"/>
        <w:rPr>
          <w:sz w:val="20"/>
          <w:szCs w:val="20"/>
          <w:color w:val="auto"/>
        </w:rPr>
      </w:pPr>
    </w:p>
    <w:p>
      <w:pPr>
        <w:ind w:left="260" w:right="200" w:firstLine="437"/>
        <w:spacing w:after="0" w:line="271" w:lineRule="auto"/>
        <w:rPr>
          <w:sz w:val="20"/>
          <w:szCs w:val="20"/>
          <w:color w:val="auto"/>
        </w:rPr>
      </w:pPr>
      <w:r>
        <w:rPr>
          <w:rFonts w:ascii="Arial" w:cs="Arial" w:eastAsia="Arial" w:hAnsi="Arial"/>
          <w:sz w:val="18"/>
          <w:szCs w:val="18"/>
          <w:b w:val="1"/>
          <w:bCs w:val="1"/>
          <w:i w:val="1"/>
          <w:iCs w:val="1"/>
          <w:color w:val="auto"/>
        </w:rPr>
        <w:t>Olivier Pomel</w:t>
      </w:r>
      <w:r>
        <w:rPr>
          <w:rFonts w:ascii="Arial" w:cs="Arial" w:eastAsia="Arial" w:hAnsi="Arial"/>
          <w:sz w:val="18"/>
          <w:szCs w:val="18"/>
          <w:color w:val="auto"/>
        </w:rPr>
        <w:t>. In 2011, we entered into an offer letter with Olivier Pomel, our Chief Executive Officer. The offer letter has no specific term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for at-will employment. Mr. Pomel’s current annual base salary is $300,000.</w:t>
      </w:r>
    </w:p>
    <w:p>
      <w:pPr>
        <w:spacing w:after="0" w:line="175" w:lineRule="exact"/>
        <w:rPr>
          <w:sz w:val="20"/>
          <w:szCs w:val="20"/>
          <w:color w:val="auto"/>
        </w:rPr>
      </w:pPr>
    </w:p>
    <w:p>
      <w:pPr>
        <w:ind w:left="260" w:right="140" w:firstLine="437"/>
        <w:spacing w:after="0" w:line="293" w:lineRule="auto"/>
        <w:rPr>
          <w:sz w:val="20"/>
          <w:szCs w:val="20"/>
          <w:color w:val="auto"/>
        </w:rPr>
      </w:pPr>
      <w:r>
        <w:rPr>
          <w:rFonts w:ascii="Arial" w:cs="Arial" w:eastAsia="Arial" w:hAnsi="Arial"/>
          <w:sz w:val="16"/>
          <w:szCs w:val="16"/>
          <w:b w:val="1"/>
          <w:bCs w:val="1"/>
          <w:i w:val="1"/>
          <w:iCs w:val="1"/>
          <w:color w:val="auto"/>
        </w:rPr>
        <w:t>David Obstler</w:t>
      </w:r>
      <w:r>
        <w:rPr>
          <w:rFonts w:ascii="Arial" w:cs="Arial" w:eastAsia="Arial" w:hAnsi="Arial"/>
          <w:sz w:val="16"/>
          <w:szCs w:val="16"/>
          <w:color w:val="auto"/>
        </w:rPr>
        <w:t>. In 2018, we entered into an offer letter with David Obstler, our Chief Financial Officer. The offer letter has no specific term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for at-will employment. Mr. Obstler’s current annual base salary is $350,000, and he is currently eligible for a target annual discretionary performance bonus of up to 60% of his annual base salary, based on individual and corporate performance goals. In addition, pursuant to the terms of Mr. Obstler’s offer letter, we paid him a one-time signing bonus of $60,000, which bonus Mr. Obstler must fully repay if he resigns without “good reason” or we terminate his employment for “cause” (each as defined in his offer letter), in each case prior to completing 12 months of service with us.</w:t>
      </w:r>
    </w:p>
    <w:p>
      <w:pPr>
        <w:spacing w:after="0" w:line="161" w:lineRule="exact"/>
        <w:rPr>
          <w:sz w:val="20"/>
          <w:szCs w:val="20"/>
          <w:color w:val="auto"/>
        </w:rPr>
      </w:pPr>
    </w:p>
    <w:p>
      <w:pPr>
        <w:ind w:left="260" w:right="60" w:firstLine="437"/>
        <w:spacing w:after="0" w:line="287" w:lineRule="auto"/>
        <w:rPr>
          <w:sz w:val="20"/>
          <w:szCs w:val="20"/>
          <w:color w:val="auto"/>
        </w:rPr>
      </w:pPr>
      <w:r>
        <w:rPr>
          <w:rFonts w:ascii="Arial" w:cs="Arial" w:eastAsia="Arial" w:hAnsi="Arial"/>
          <w:sz w:val="16"/>
          <w:szCs w:val="16"/>
          <w:color w:val="auto"/>
        </w:rPr>
        <w:t>Under Mr. Obstler’s offer letter, if he resigns for good reason or we terminate his employment other than for cause, death or “permanent disability” (as defined in his offer letter), then Mr. Obstler will be eligible to receive the following severance benefits (less applicable tax withholdings):</w:t>
      </w:r>
    </w:p>
    <w:p>
      <w:pPr>
        <w:spacing w:after="0" w:line="1" w:lineRule="exact"/>
        <w:rPr>
          <w:sz w:val="20"/>
          <w:szCs w:val="20"/>
          <w:color w:val="auto"/>
        </w:rPr>
      </w:pPr>
    </w:p>
    <w:p>
      <w:pPr>
        <w:ind w:left="500" w:hanging="245"/>
        <w:spacing w:after="0"/>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six months of base salary paid in accordance with our regular payroll practices; (2) a prorated target bonus for the greater of the portion of the</w:t>
      </w:r>
    </w:p>
    <w:p>
      <w:pPr>
        <w:spacing w:after="0" w:line="18" w:lineRule="exact"/>
        <w:rPr>
          <w:rFonts w:ascii="Arial" w:cs="Arial" w:eastAsia="Arial" w:hAnsi="Arial"/>
          <w:sz w:val="17"/>
          <w:szCs w:val="17"/>
          <w:color w:val="auto"/>
        </w:rPr>
      </w:pPr>
    </w:p>
    <w:p>
      <w:pPr>
        <w:ind w:left="260" w:right="40"/>
        <w:spacing w:after="0" w:line="284" w:lineRule="auto"/>
        <w:rPr>
          <w:rFonts w:ascii="Arial" w:cs="Arial" w:eastAsia="Arial" w:hAnsi="Arial"/>
          <w:sz w:val="17"/>
          <w:szCs w:val="17"/>
          <w:color w:val="auto"/>
        </w:rPr>
      </w:pPr>
      <w:r>
        <w:rPr>
          <w:rFonts w:ascii="Arial" w:cs="Arial" w:eastAsia="Arial" w:hAnsi="Arial"/>
          <w:sz w:val="16"/>
          <w:szCs w:val="16"/>
          <w:color w:val="auto"/>
        </w:rPr>
        <w:t>applicable calendar year during which he was employed or six months, payable pro rata over the six month severance period; and (3) payment on his behalf of the premiums for him and his eligible dependents to continue coverage under our group health plan pursuant to the Consolidated Omnibus Budget Reconciliation Act of 1985 for a period of up to six months following the date his employment terminates. As a condition to receiving the severance benefits above, Mr. Obstler must sign and not revoke a general release agreement in a form reasonably acceptable to us within the time period set forth in his offer letter. Further, if Mr. Obstler resigns for good reason or we terminate Mr. Obstler’s employment without cause, in either case within 12 months of a change in control, 100% of the shares subject to the option granted to him in September 2018 will vest and become exercisable. In addition, if the unvested portion of such option is cancelled without payment or issuance of substitute options upon the closing of a change in control, Mr. Obstler will become entitled to receive a cash payment equal to the amount, if any, that he would have received as a cash-out payment at the closing of such transaction as if the unvested portion of the option had been vested at such closing.</w:t>
      </w:r>
    </w:p>
    <w:p>
      <w:pPr>
        <w:spacing w:after="0" w:line="169" w:lineRule="exact"/>
        <w:rPr>
          <w:sz w:val="20"/>
          <w:szCs w:val="20"/>
          <w:color w:val="auto"/>
        </w:rPr>
      </w:pPr>
    </w:p>
    <w:p>
      <w:pPr>
        <w:ind w:left="260" w:right="80" w:firstLine="437"/>
        <w:spacing w:after="0" w:line="271" w:lineRule="auto"/>
        <w:rPr>
          <w:sz w:val="20"/>
          <w:szCs w:val="20"/>
          <w:color w:val="auto"/>
        </w:rPr>
      </w:pPr>
      <w:r>
        <w:rPr>
          <w:rFonts w:ascii="Arial" w:cs="Arial" w:eastAsia="Arial" w:hAnsi="Arial"/>
          <w:sz w:val="18"/>
          <w:szCs w:val="18"/>
          <w:b w:val="1"/>
          <w:bCs w:val="1"/>
          <w:i w:val="1"/>
          <w:iCs w:val="1"/>
          <w:color w:val="auto"/>
        </w:rPr>
        <w:t>Laszlo Kopits</w:t>
      </w:r>
      <w:r>
        <w:rPr>
          <w:rFonts w:ascii="Arial" w:cs="Arial" w:eastAsia="Arial" w:hAnsi="Arial"/>
          <w:sz w:val="18"/>
          <w:szCs w:val="18"/>
          <w:color w:val="auto"/>
        </w:rPr>
        <w:t>. In 2017, we entered into an offer letter with Laszlo Kopits, our General Counsel. The offer letter has no specific term and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at-will employment. Mr. Kopits’s current annual base salary is $300,000.</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Executive Severance Agreements</w:t>
      </w:r>
    </w:p>
    <w:p>
      <w:pPr>
        <w:spacing w:after="0" w:line="225" w:lineRule="exact"/>
        <w:rPr>
          <w:sz w:val="20"/>
          <w:szCs w:val="20"/>
          <w:color w:val="auto"/>
        </w:rPr>
      </w:pPr>
    </w:p>
    <w:p>
      <w:pPr>
        <w:ind w:left="260" w:firstLine="437"/>
        <w:spacing w:after="0" w:line="259" w:lineRule="auto"/>
        <w:rPr>
          <w:sz w:val="20"/>
          <w:szCs w:val="20"/>
          <w:color w:val="auto"/>
        </w:rPr>
      </w:pPr>
      <w:r>
        <w:rPr>
          <w:rFonts w:ascii="Arial" w:cs="Arial" w:eastAsia="Arial" w:hAnsi="Arial"/>
          <w:sz w:val="18"/>
          <w:szCs w:val="18"/>
          <w:color w:val="auto"/>
        </w:rPr>
        <w:t>We intend to enter into an executive severance agreement with each of our named executive officers. These agreements will become effective only upon the completion of this offering. The agreements provide that upon a termination by us without “cause” or by the executive due to “good reason” (each as defined in the agreement),</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60"/>
          </w:cols>
          <w:pgMar w:left="240" w:top="456"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spacing w:after="0" w:line="286" w:lineRule="auto"/>
        <w:rPr>
          <w:sz w:val="20"/>
          <w:szCs w:val="20"/>
          <w:color w:val="auto"/>
        </w:rPr>
      </w:pPr>
      <w:r>
        <w:rPr>
          <w:rFonts w:ascii="Arial" w:cs="Arial" w:eastAsia="Arial" w:hAnsi="Arial"/>
          <w:sz w:val="16"/>
          <w:szCs w:val="16"/>
          <w:color w:val="auto"/>
        </w:rPr>
        <w:t>the executive will receive a lump sum payment equal to the sum of six months of base salary and 50% of the executive’s target bonus, as well as continued payment of COBRA premiums for six months (or, if earlier, until the date that the executive is eligible for substantially equivalent coverage under a subsequent employer’s plan). If such termination of employment occurs within three months prior to, or 12 months following, a “change in control” (as defined in the agreement), the executive will instead receive a lump sum payment equal to the sum of 12 months of base salary and 100% of the executive’s target bonus, as well as continued payment of COBRA premiums for 12 months (or, if earlier, when the executive is eligible for substantially equivalent coverage under a subsequent employer’s plan), and will also receive 100% vesting of equity awards. However, performance-based equity awards will not be subject to this acceleration, and awards granted prior to the completion of this offering will be subject to this acceleration only to the extent more favorable than the existing terms of such awards. In addition, Mr. Obstler’s executive severance agreement will apply only to the extent more favorable than the terms of his offer letter. See “Employment Arrangements” above.</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Equity Incentive Plans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21" w:lineRule="exact"/>
        <w:rPr>
          <w:sz w:val="20"/>
          <w:szCs w:val="20"/>
          <w:color w:val="auto"/>
        </w:rPr>
      </w:pPr>
    </w:p>
    <w:p>
      <w:pPr>
        <w:ind w:left="260" w:right="40" w:firstLine="437"/>
        <w:spacing w:after="0" w:line="255" w:lineRule="auto"/>
        <w:rPr>
          <w:sz w:val="20"/>
          <w:szCs w:val="20"/>
          <w:color w:val="auto"/>
        </w:rPr>
      </w:pPr>
      <w:r>
        <w:rPr>
          <w:rFonts w:ascii="Arial" w:cs="Arial" w:eastAsia="Arial" w:hAnsi="Arial"/>
          <w:sz w:val="18"/>
          <w:szCs w:val="18"/>
          <w:color w:val="auto"/>
        </w:rPr>
        <w:t>Our board of directors adopted, and our stockholders approved, our 2019 Plan in September 2019. Our 2019 Plan is a successor to and continuation of our 2012 Plan. Our 2019 Plan will become effective on the date of the underwriting agreement related to this offering. The 2019 Plan came into existence upon its adoption by our board of directors, but no grants will be made under the 2019 Plan prior to its effectiveness. Once the 2019 Plan is effective, no further grants will be made under the 2012 Plan.</w:t>
      </w:r>
    </w:p>
    <w:p>
      <w:pPr>
        <w:spacing w:after="0" w:line="191" w:lineRule="exact"/>
        <w:rPr>
          <w:sz w:val="20"/>
          <w:szCs w:val="20"/>
          <w:color w:val="auto"/>
        </w:rPr>
      </w:pPr>
    </w:p>
    <w:p>
      <w:pPr>
        <w:ind w:left="260" w:right="180" w:firstLine="437"/>
        <w:spacing w:after="0" w:line="255"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2019 Plan provides for the grant of incentive stock options, or ISOs, within the meaning of Section 422 of the Code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employees of any parent or subsidiary, and for the grant of nonstatutory stock options, or NSOs, stock appreciation rights, restricted stock awards, restricted stock unit awards, performance awards and other forms of awards to employees, directors and consultants, including employees and consultants of our affiliates.</w:t>
      </w:r>
    </w:p>
    <w:p>
      <w:pPr>
        <w:spacing w:after="0" w:line="191" w:lineRule="exact"/>
        <w:rPr>
          <w:sz w:val="20"/>
          <w:szCs w:val="20"/>
          <w:color w:val="auto"/>
        </w:rPr>
      </w:pPr>
    </w:p>
    <w:p>
      <w:pPr>
        <w:ind w:left="260" w:firstLine="437"/>
        <w:spacing w:after="0" w:line="280"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Initially, the maximum number of shares of our Class A common stock that may be issued under our 2019 Plan after it</w:t>
      </w:r>
      <w:r>
        <w:rPr>
          <w:rFonts w:ascii="Arial" w:cs="Arial" w:eastAsia="Arial" w:hAnsi="Arial"/>
          <w:sz w:val="16"/>
          <w:szCs w:val="16"/>
          <w:i w:val="1"/>
          <w:iCs w:val="1"/>
          <w:color w:val="auto"/>
        </w:rPr>
        <w:t xml:space="preserve"> </w:t>
      </w:r>
      <w:r>
        <w:rPr>
          <w:rFonts w:ascii="Arial" w:cs="Arial" w:eastAsia="Arial" w:hAnsi="Arial"/>
          <w:sz w:val="16"/>
          <w:szCs w:val="16"/>
          <w:color w:val="auto"/>
        </w:rPr>
        <w:t>becomes effective will not exceed 70,296,733 shares of our Class A common stock, which is the sum of (1) 30,250,000 new shares of our Class A common stock, plus (2) an additional number of shares of our Class A common stock not to exceed (A) the number of shares that remain available for the issuance of stock awards under our 2012 Plan as of immediately prior to the time our 2019 Plan becomes effective and (B) the number of shares subject to outstanding stock awards granted under our 2012 Plan that, on or after the date the 2019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 available from time to time, provided that any such shares described in clauses (A) and (B) above that are shares of our Class B common stock will be added to the share reserve of our 2019 Plan as shares of our Class A common stock. In addition, the number of shares of our Class A common stock reserved for issuance under our 2019 Plan will automatically increase on January 1 of each year, starting on January 1, 2020 through January 1, 2029, in an amount equal to</w:t>
      </w:r>
    </w:p>
    <w:p>
      <w:pPr>
        <w:spacing w:after="0" w:line="7" w:lineRule="exact"/>
        <w:rPr>
          <w:sz w:val="20"/>
          <w:szCs w:val="20"/>
          <w:color w:val="auto"/>
        </w:rPr>
      </w:pPr>
    </w:p>
    <w:p>
      <w:pPr>
        <w:ind w:left="260" w:right="60" w:hanging="5"/>
        <w:spacing w:after="0" w:line="274" w:lineRule="auto"/>
        <w:tabs>
          <w:tab w:leader="none" w:pos="513" w:val="left"/>
        </w:tabs>
        <w:numPr>
          <w:ilvl w:val="0"/>
          <w:numId w:val="84"/>
        </w:numPr>
        <w:rPr>
          <w:rFonts w:ascii="Arial" w:cs="Arial" w:eastAsia="Arial" w:hAnsi="Arial"/>
          <w:sz w:val="17"/>
          <w:szCs w:val="17"/>
          <w:color w:val="auto"/>
        </w:rPr>
      </w:pPr>
      <w:r>
        <w:rPr>
          <w:rFonts w:ascii="Arial" w:cs="Arial" w:eastAsia="Arial" w:hAnsi="Arial"/>
          <w:sz w:val="17"/>
          <w:szCs w:val="17"/>
          <w:color w:val="auto"/>
        </w:rPr>
        <w:t>5% of the total number of shares of our common stock (both Class A and Class B) outstanding on December 31 of the preceding year, or (2) a lesser number of shares of our Class A common stock determined by our board of directors prior to the date of the increase. The maximum number of shares of our Class A common stock that may be issued on the exercise of ISOs under our 2019 Plan is 210,890,199 shares.</w:t>
      </w:r>
    </w:p>
    <w:p>
      <w:pPr>
        <w:spacing w:after="0" w:line="174" w:lineRule="exact"/>
        <w:rPr>
          <w:sz w:val="20"/>
          <w:szCs w:val="20"/>
          <w:color w:val="auto"/>
        </w:rPr>
      </w:pPr>
    </w:p>
    <w:p>
      <w:pPr>
        <w:ind w:left="260" w:right="80" w:firstLine="437"/>
        <w:spacing w:after="0" w:line="307" w:lineRule="auto"/>
        <w:rPr>
          <w:sz w:val="20"/>
          <w:szCs w:val="20"/>
          <w:color w:val="auto"/>
        </w:rPr>
      </w:pPr>
      <w:r>
        <w:rPr>
          <w:rFonts w:ascii="Arial" w:cs="Arial" w:eastAsia="Arial" w:hAnsi="Arial"/>
          <w:sz w:val="16"/>
          <w:szCs w:val="16"/>
          <w:color w:val="auto"/>
        </w:rPr>
        <w:t>Shares subject to stock awards granted under our 2019 Plan that expire or terminate without being exercised or otherwise issued in full or that are paid out in cash rather than in shares do not reduce the number of shares available for issuance under our 2019 Plan. Shares withheld under a stock award to satisfy the exercise, strike or purchase price of a stock award or to satisfy a tax withholding obligation do not reduce the number of shares</w:t>
      </w:r>
    </w:p>
    <w:p>
      <w:pPr>
        <w:spacing w:after="0" w:line="8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60"/>
          </w:cols>
          <w:pgMar w:left="240" w:top="456"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00"/>
        <w:spacing w:after="0" w:line="272" w:lineRule="auto"/>
        <w:rPr>
          <w:sz w:val="20"/>
          <w:szCs w:val="20"/>
          <w:color w:val="auto"/>
        </w:rPr>
      </w:pPr>
      <w:r>
        <w:rPr>
          <w:rFonts w:ascii="Arial" w:cs="Arial" w:eastAsia="Arial" w:hAnsi="Arial"/>
          <w:sz w:val="17"/>
          <w:szCs w:val="17"/>
          <w:color w:val="auto"/>
        </w:rPr>
        <w:t>available for issuance under our 2019 Plan. If any shares of our Class A common stock issued pursuant to a stock award are forfeited back to or repurchased or reacquired by us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2019 Plan. Any shares previously issued which are reacquired in satisfaction of tax withholding obligations or as consideration for the exercise or purchase price of a stock award will again become available for issuance under the 2019 Plan.</w:t>
      </w:r>
    </w:p>
    <w:p>
      <w:pPr>
        <w:spacing w:after="0" w:line="177"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2019 Plan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95" w:lineRule="exact"/>
        <w:rPr>
          <w:sz w:val="20"/>
          <w:szCs w:val="20"/>
          <w:color w:val="auto"/>
        </w:rPr>
      </w:pPr>
    </w:p>
    <w:p>
      <w:pPr>
        <w:ind w:left="260" w:firstLine="437"/>
        <w:spacing w:after="0" w:line="255" w:lineRule="auto"/>
        <w:rPr>
          <w:sz w:val="20"/>
          <w:szCs w:val="20"/>
          <w:color w:val="auto"/>
        </w:rPr>
      </w:pPr>
      <w:r>
        <w:rPr>
          <w:rFonts w:ascii="Arial" w:cs="Arial" w:eastAsia="Arial" w:hAnsi="Arial"/>
          <w:sz w:val="18"/>
          <w:szCs w:val="18"/>
          <w:color w:val="auto"/>
        </w:rPr>
        <w:t>Under the 2019 Plan, the board of directors also generally has the authority to effect,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generally accepted accounting principles.</w:t>
      </w:r>
    </w:p>
    <w:p>
      <w:pPr>
        <w:spacing w:after="0" w:line="191" w:lineRule="exact"/>
        <w:rPr>
          <w:sz w:val="20"/>
          <w:szCs w:val="20"/>
          <w:color w:val="auto"/>
        </w:rPr>
      </w:pPr>
    </w:p>
    <w:p>
      <w:pPr>
        <w:ind w:left="260" w:right="40" w:firstLine="437"/>
        <w:spacing w:after="0" w:line="275"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under stock option agreements adopted by the plan administrator. The plan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specified in the stock option agreement as determined by the plan administrator.</w:t>
      </w:r>
    </w:p>
    <w:p>
      <w:pPr>
        <w:spacing w:after="0" w:line="175"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The plan administrator determines the term of stock options granted under the 2019 Plan, up to a maximum of 10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4" w:lineRule="exact"/>
        <w:rPr>
          <w:sz w:val="20"/>
          <w:szCs w:val="20"/>
          <w:color w:val="auto"/>
        </w:rPr>
      </w:pPr>
    </w:p>
    <w:p>
      <w:pPr>
        <w:ind w:left="260" w:right="20" w:firstLine="437"/>
        <w:spacing w:after="0" w:line="255" w:lineRule="auto"/>
        <w:rPr>
          <w:sz w:val="20"/>
          <w:szCs w:val="20"/>
          <w:color w:val="auto"/>
        </w:rPr>
      </w:pPr>
      <w:r>
        <w:rPr>
          <w:rFonts w:ascii="Arial" w:cs="Arial" w:eastAsia="Arial" w:hAnsi="Arial"/>
          <w:sz w:val="18"/>
          <w:szCs w:val="18"/>
          <w:color w:val="auto"/>
        </w:rPr>
        <w:t>Acceptable consideration for the purchase of our Class A common stock issued upon the exercise of a stock option will be determined by the plan administrator and may include (1) cash, check, bank draft or money order, (2) a broker-assisted cashless exercise, (3) the tender of shares of our Class A common stock previously owned by the optionholder, (4) a net exercise of the option if it is an NSO, or (5) other legal consideration approved by the plan administrator.</w:t>
      </w:r>
    </w:p>
    <w:p>
      <w:pPr>
        <w:spacing w:after="0" w:line="191" w:lineRule="exact"/>
        <w:rPr>
          <w:sz w:val="20"/>
          <w:szCs w:val="20"/>
          <w:color w:val="auto"/>
        </w:rPr>
      </w:pPr>
    </w:p>
    <w:p>
      <w:pPr>
        <w:jc w:val="both"/>
        <w:ind w:left="260" w:right="40" w:firstLine="437"/>
        <w:spacing w:after="0" w:line="259" w:lineRule="auto"/>
        <w:rPr>
          <w:sz w:val="20"/>
          <w:szCs w:val="20"/>
          <w:color w:val="auto"/>
        </w:rPr>
      </w:pPr>
      <w:r>
        <w:rPr>
          <w:rFonts w:ascii="Arial" w:cs="Arial" w:eastAsia="Arial" w:hAnsi="Arial"/>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spacing w:after="0" w:line="186" w:lineRule="exact"/>
        <w:rPr>
          <w:sz w:val="20"/>
          <w:szCs w:val="20"/>
          <w:color w:val="auto"/>
        </w:rPr>
      </w:pPr>
    </w:p>
    <w:p>
      <w:pPr>
        <w:ind w:left="260" w:right="380" w:firstLine="437"/>
        <w:spacing w:after="0" w:line="271"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award holder during any calendar year</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240" w:top="456"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75" w:lineRule="auto"/>
        <w:rPr>
          <w:sz w:val="20"/>
          <w:szCs w:val="20"/>
          <w:color w:val="auto"/>
        </w:rPr>
      </w:pPr>
      <w:r>
        <w:rPr>
          <w:rFonts w:ascii="Arial" w:cs="Arial" w:eastAsia="Arial" w:hAnsi="Arial"/>
          <w:sz w:val="17"/>
          <w:szCs w:val="17"/>
          <w:color w:val="auto"/>
        </w:rPr>
        <w:t>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75" w:lineRule="exact"/>
        <w:rPr>
          <w:sz w:val="20"/>
          <w:szCs w:val="20"/>
          <w:color w:val="auto"/>
        </w:rPr>
      </w:pPr>
    </w:p>
    <w:p>
      <w:pPr>
        <w:ind w:left="260" w:right="100" w:firstLine="437"/>
        <w:spacing w:after="0" w:line="269"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under restricted stock unit award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shares of our Class A common stock, a combination of cash and shares of our Class A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79" w:lineRule="exact"/>
        <w:rPr>
          <w:sz w:val="20"/>
          <w:szCs w:val="20"/>
          <w:color w:val="auto"/>
        </w:rPr>
      </w:pPr>
    </w:p>
    <w:p>
      <w:pPr>
        <w:ind w:left="260" w:right="160" w:firstLine="437"/>
        <w:spacing w:after="0" w:line="270"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79" w:lineRule="exact"/>
        <w:rPr>
          <w:sz w:val="20"/>
          <w:szCs w:val="20"/>
          <w:color w:val="auto"/>
        </w:rPr>
      </w:pPr>
    </w:p>
    <w:p>
      <w:pPr>
        <w:ind w:left="260" w:right="60" w:firstLine="437"/>
        <w:spacing w:after="0" w:line="293"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are granted under stock appreciation right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strike price for a stock appreciation right, which generally cannot be less than 100% of the fair market value of our Class A common stock on the date of grant. A stock appreciation right granted under the 2019 Plan vests at the rate specified in the stock appreciation right agreement as determined by the plan administrator. Stock appreciation rights may be settled in cash or shares of our Class A common stock or in any other form of payment, as determined by our board of directors and specified in the stock appreciation right agreement.</w:t>
      </w:r>
    </w:p>
    <w:p>
      <w:pPr>
        <w:spacing w:after="0" w:line="161" w:lineRule="exact"/>
        <w:rPr>
          <w:sz w:val="20"/>
          <w:szCs w:val="20"/>
          <w:color w:val="auto"/>
        </w:rPr>
      </w:pPr>
    </w:p>
    <w:p>
      <w:pPr>
        <w:ind w:left="260" w:right="40" w:firstLine="437"/>
        <w:spacing w:after="0" w:line="251" w:lineRule="auto"/>
        <w:rPr>
          <w:sz w:val="20"/>
          <w:szCs w:val="20"/>
          <w:color w:val="auto"/>
        </w:rPr>
      </w:pPr>
      <w:r>
        <w:rPr>
          <w:rFonts w:ascii="Arial" w:cs="Arial" w:eastAsia="Arial" w:hAnsi="Arial"/>
          <w:sz w:val="18"/>
          <w:szCs w:val="18"/>
          <w:color w:val="auto"/>
        </w:rPr>
        <w:t>The plan administrator determines the term of stock appreciation rights granted under the 2019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3" w:lineRule="exact"/>
        <w:rPr>
          <w:sz w:val="20"/>
          <w:szCs w:val="20"/>
          <w:color w:val="auto"/>
        </w:rPr>
      </w:pPr>
    </w:p>
    <w:p>
      <w:pPr>
        <w:jc w:val="both"/>
        <w:ind w:left="260" w:right="180" w:firstLine="437"/>
        <w:spacing w:after="0" w:line="255"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2019 Plan permits the grant of performance awards that may be settled in stock, cash or other property.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24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firstLine="437"/>
        <w:spacing w:after="0" w:line="282" w:lineRule="auto"/>
        <w:rPr>
          <w:sz w:val="20"/>
          <w:szCs w:val="20"/>
          <w:color w:val="auto"/>
        </w:rPr>
      </w:pPr>
      <w:r>
        <w:rPr>
          <w:rFonts w:ascii="Arial" w:cs="Arial" w:eastAsia="Arial" w:hAnsi="Arial"/>
          <w:sz w:val="16"/>
          <w:szCs w:val="16"/>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when the performance award is granted, our board of directors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w:t>
      </w:r>
    </w:p>
    <w:p>
      <w:pPr>
        <w:ind w:left="260" w:right="60" w:hanging="5"/>
        <w:spacing w:after="0" w:line="279" w:lineRule="auto"/>
        <w:tabs>
          <w:tab w:leader="none" w:pos="51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exclude the effects of items that are “unusual” in nature or occur “infrequently” as determined under generally accepted accounting principles; (6) to exclude the dilutive effects of acquisitions or joint ventures; (7) to assume that any portion of our business which is divested achieved performance objectives at targeted levels during the balance of a performance period following such divestiture; (8) to exclude the effect of any change in the outstanding shares of our common stock (both Class A and Class B)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w:t>
      </w:r>
    </w:p>
    <w:p>
      <w:pPr>
        <w:spacing w:after="0" w:line="1" w:lineRule="exact"/>
        <w:rPr>
          <w:rFonts w:ascii="Arial" w:cs="Arial" w:eastAsia="Arial" w:hAnsi="Arial"/>
          <w:sz w:val="16"/>
          <w:szCs w:val="16"/>
          <w:color w:val="auto"/>
        </w:rPr>
      </w:pPr>
    </w:p>
    <w:p>
      <w:pPr>
        <w:jc w:val="both"/>
        <w:ind w:left="260" w:right="620" w:hanging="5"/>
        <w:spacing w:after="0" w:line="252" w:lineRule="auto"/>
        <w:tabs>
          <w:tab w:leader="none" w:pos="60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92" w:lineRule="exact"/>
        <w:rPr>
          <w:sz w:val="20"/>
          <w:szCs w:val="20"/>
          <w:color w:val="auto"/>
        </w:rPr>
      </w:pPr>
    </w:p>
    <w:p>
      <w:pPr>
        <w:ind w:left="260" w:firstLine="437"/>
        <w:spacing w:after="0" w:line="335" w:lineRule="auto"/>
        <w:rPr>
          <w:sz w:val="20"/>
          <w:szCs w:val="20"/>
          <w:color w:val="auto"/>
        </w:rPr>
      </w:pPr>
      <w:r>
        <w:rPr>
          <w:rFonts w:ascii="Arial" w:cs="Arial" w:eastAsia="Arial" w:hAnsi="Arial"/>
          <w:sz w:val="16"/>
          <w:szCs w:val="16"/>
          <w:i w:val="1"/>
          <w:iCs w:val="1"/>
          <w:color w:val="auto"/>
        </w:rPr>
        <w:t>Other Stock Awards</w:t>
      </w:r>
      <w:r>
        <w:rPr>
          <w:rFonts w:ascii="Arial" w:cs="Arial" w:eastAsia="Arial" w:hAnsi="Arial"/>
          <w:sz w:val="16"/>
          <w:szCs w:val="16"/>
          <w:color w:val="auto"/>
        </w:rPr>
        <w:t>. The plan administrator may grant other awards based in whole or in part by reference to our Class A common stock.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will set the number of shares under the stock award (or cash equivalent) and all other terms and conditions of such awards.</w:t>
      </w:r>
    </w:p>
    <w:p>
      <w:pPr>
        <w:spacing w:after="0" w:line="129" w:lineRule="exact"/>
        <w:rPr>
          <w:sz w:val="20"/>
          <w:szCs w:val="20"/>
          <w:color w:val="auto"/>
        </w:rPr>
      </w:pPr>
    </w:p>
    <w:p>
      <w:pPr>
        <w:jc w:val="both"/>
        <w:ind w:left="260" w:right="20" w:firstLine="437"/>
        <w:spacing w:after="0" w:line="307" w:lineRule="auto"/>
        <w:rPr>
          <w:sz w:val="20"/>
          <w:szCs w:val="20"/>
          <w:color w:val="auto"/>
        </w:rPr>
      </w:pPr>
      <w:r>
        <w:rPr>
          <w:rFonts w:ascii="Arial" w:cs="Arial" w:eastAsia="Arial" w:hAnsi="Arial"/>
          <w:sz w:val="16"/>
          <w:szCs w:val="16"/>
          <w:i w:val="1"/>
          <w:iCs w:val="1"/>
          <w:color w:val="auto"/>
        </w:rPr>
        <w:t>Non-Employee Director Compensation Limit</w:t>
      </w:r>
      <w:r>
        <w:rPr>
          <w:rFonts w:ascii="Arial" w:cs="Arial" w:eastAsia="Arial" w:hAnsi="Arial"/>
          <w:sz w:val="16"/>
          <w:szCs w:val="16"/>
          <w:color w:val="auto"/>
        </w:rPr>
        <w:t>. The aggregate value of all compensation granted or paid to any non-employee director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any calendar year, including awards granted and cash fees paid by us to such non-employee director, will not exceed (1) $750,000 in total value or (2) if such non-employee director is first appointed or elected to our board of directors during such calendar year, $1,000,000 in total value.</w:t>
      </w:r>
    </w:p>
    <w:p>
      <w:pPr>
        <w:spacing w:after="0" w:line="150" w:lineRule="exact"/>
        <w:rPr>
          <w:sz w:val="20"/>
          <w:szCs w:val="20"/>
          <w:color w:val="auto"/>
        </w:rPr>
      </w:pPr>
    </w:p>
    <w:p>
      <w:pPr>
        <w:ind w:left="260" w:right="20" w:firstLine="437"/>
        <w:spacing w:after="0" w:line="254"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2019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89" w:lineRule="exact"/>
        <w:rPr>
          <w:sz w:val="20"/>
          <w:szCs w:val="20"/>
          <w:color w:val="auto"/>
        </w:rPr>
      </w:pPr>
    </w:p>
    <w:p>
      <w:pPr>
        <w:jc w:val="both"/>
        <w:ind w:left="260" w:right="60" w:firstLine="437"/>
        <w:spacing w:after="0" w:line="25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2019 Plan in the event of a corporate transaction (as defined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unless otherwise provided in a participant’s stock award agreement or other written agreement with us or one of our affiliates or unless otherwise expressly provided by the plan administrator at the time of grant.</w:t>
      </w:r>
    </w:p>
    <w:p>
      <w:pPr>
        <w:spacing w:after="0" w:line="186" w:lineRule="exact"/>
        <w:rPr>
          <w:sz w:val="20"/>
          <w:szCs w:val="20"/>
          <w:color w:val="auto"/>
        </w:rPr>
      </w:pPr>
    </w:p>
    <w:p>
      <w:pPr>
        <w:ind w:left="260" w:right="20" w:firstLine="437"/>
        <w:spacing w:after="0" w:line="268" w:lineRule="auto"/>
        <w:rPr>
          <w:sz w:val="20"/>
          <w:szCs w:val="20"/>
          <w:color w:val="auto"/>
        </w:rPr>
      </w:pPr>
      <w:r>
        <w:rPr>
          <w:rFonts w:ascii="Arial" w:cs="Arial" w:eastAsia="Arial" w:hAnsi="Arial"/>
          <w:sz w:val="17"/>
          <w:szCs w:val="17"/>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60"/>
          </w:cols>
          <w:pgMar w:left="240" w:top="456"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80"/>
        <w:spacing w:after="0" w:line="254" w:lineRule="auto"/>
        <w:rPr>
          <w:sz w:val="20"/>
          <w:szCs w:val="20"/>
          <w:color w:val="auto"/>
        </w:rPr>
      </w:pPr>
      <w:r>
        <w:rPr>
          <w:rFonts w:ascii="Arial" w:cs="Arial" w:eastAsia="Arial" w:hAnsi="Arial"/>
          <w:sz w:val="18"/>
          <w:szCs w:val="18"/>
          <w:color w:val="auto"/>
        </w:rPr>
        <w:t>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89" w:lineRule="exact"/>
        <w:rPr>
          <w:sz w:val="20"/>
          <w:szCs w:val="20"/>
          <w:color w:val="auto"/>
        </w:rPr>
      </w:pPr>
    </w:p>
    <w:p>
      <w:pPr>
        <w:ind w:left="260" w:right="40" w:firstLine="437"/>
        <w:spacing w:after="0" w:line="252" w:lineRule="auto"/>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w:t>
      </w:r>
    </w:p>
    <w:p>
      <w:pPr>
        <w:spacing w:after="0" w:line="195" w:lineRule="exact"/>
        <w:rPr>
          <w:sz w:val="20"/>
          <w:szCs w:val="20"/>
          <w:color w:val="auto"/>
        </w:rPr>
      </w:pPr>
    </w:p>
    <w:p>
      <w:pPr>
        <w:ind w:left="260" w:firstLine="437"/>
        <w:spacing w:after="0" w:line="275"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of directors has the authority to amend, suspend, or terminate our 2019 Plan at any time,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2019 Plan. No stock awards may be granted under our 2019 Plan while it is suspended or after it is terminated.</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1" w:lineRule="exact"/>
        <w:rPr>
          <w:sz w:val="20"/>
          <w:szCs w:val="20"/>
          <w:color w:val="auto"/>
        </w:rPr>
      </w:pPr>
    </w:p>
    <w:p>
      <w:pPr>
        <w:ind w:left="260" w:firstLine="437"/>
        <w:spacing w:after="0" w:line="254" w:lineRule="auto"/>
        <w:rPr>
          <w:sz w:val="20"/>
          <w:szCs w:val="20"/>
          <w:color w:val="auto"/>
        </w:rPr>
      </w:pPr>
      <w:r>
        <w:rPr>
          <w:rFonts w:ascii="Arial" w:cs="Arial" w:eastAsia="Arial" w:hAnsi="Arial"/>
          <w:sz w:val="18"/>
          <w:szCs w:val="18"/>
          <w:color w:val="auto"/>
        </w:rPr>
        <w:t>Our board of directors adopted, and our stockholders approved, the 2019 Employee Stock Purchase Plan, or ESPP, in September 2019.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89" w:lineRule="exact"/>
        <w:rPr>
          <w:sz w:val="20"/>
          <w:szCs w:val="20"/>
          <w:color w:val="auto"/>
        </w:rPr>
      </w:pPr>
    </w:p>
    <w:p>
      <w:pPr>
        <w:ind w:left="260" w:right="20" w:firstLine="437"/>
        <w:spacing w:after="0" w:line="270"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Following this offering, the ESPP will authorize the issuance of 6,725,000 shares of our common stock pursuant to purchase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granted to our employees or to employees of any of our designated affiliates. The number of shares of our Class A common stock reserved for issuance will automatically increase on January 1 of each year, from January 1, 2020 through January 1, 2029, by the lesser of (1) 1% of the total number of shares of our Class A common stock and our Class B common stock outstanding on December 31 of the preceding calendar year, and (2) 10,087,500 shares of our Class A common stock; </w:t>
      </w:r>
      <w:r>
        <w:rPr>
          <w:rFonts w:ascii="Arial" w:cs="Arial" w:eastAsia="Arial" w:hAnsi="Arial"/>
          <w:sz w:val="17"/>
          <w:szCs w:val="17"/>
          <w:i w:val="1"/>
          <w:iCs w:val="1"/>
          <w:color w:val="auto"/>
        </w:rPr>
        <w:t>provided</w:t>
      </w:r>
      <w:r>
        <w:rPr>
          <w:rFonts w:ascii="Arial" w:cs="Arial" w:eastAsia="Arial" w:hAnsi="Arial"/>
          <w:sz w:val="17"/>
          <w:szCs w:val="17"/>
          <w:color w:val="auto"/>
        </w:rPr>
        <w:t>, that prior to the date of any such increase, our board of directors may determine that such increase will be less than the amount set forth in clauses (1) and (2).</w:t>
      </w:r>
    </w:p>
    <w:p>
      <w:pPr>
        <w:spacing w:after="0" w:line="179" w:lineRule="exact"/>
        <w:rPr>
          <w:sz w:val="20"/>
          <w:szCs w:val="20"/>
          <w:color w:val="auto"/>
        </w:rPr>
      </w:pPr>
    </w:p>
    <w:p>
      <w:pPr>
        <w:ind w:left="260" w:firstLine="437"/>
        <w:spacing w:after="0" w:line="293"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intends to delegate concurrent authority to administer the ESPP to our compensation committee.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61" w:lineRule="exact"/>
        <w:rPr>
          <w:sz w:val="20"/>
          <w:szCs w:val="20"/>
          <w:color w:val="auto"/>
        </w:rPr>
      </w:pPr>
    </w:p>
    <w:p>
      <w:pPr>
        <w:ind w:left="260" w:right="100" w:firstLine="437"/>
        <w:spacing w:after="0" w:line="307" w:lineRule="auto"/>
        <w:rPr>
          <w:sz w:val="20"/>
          <w:szCs w:val="20"/>
          <w:color w:val="auto"/>
        </w:rPr>
      </w:pPr>
      <w:r>
        <w:rPr>
          <w:rFonts w:ascii="Arial" w:cs="Arial" w:eastAsia="Arial" w:hAnsi="Arial"/>
          <w:sz w:val="16"/>
          <w:szCs w:val="16"/>
          <w:i w:val="1"/>
          <w:iCs w:val="1"/>
          <w:color w:val="auto"/>
        </w:rPr>
        <w:t>Payroll Deductions</w:t>
      </w:r>
      <w:r>
        <w:rPr>
          <w:rFonts w:ascii="Arial" w:cs="Arial" w:eastAsia="Arial" w:hAnsi="Arial"/>
          <w:sz w:val="16"/>
          <w:szCs w:val="16"/>
          <w:color w:val="auto"/>
        </w:rPr>
        <w:t>. Generally, all regular employees, including executive officers, employed by us or by any of our designated affiliates, may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ESPP and may contribute, normally through payroll deductions, up to 15% of their earnings (as defined in the ESPP) for the purchase of our Class A common stock under the ESPP. Unless otherwise determined by our board of directors, Class A common stock will be</w:t>
      </w:r>
    </w:p>
    <w:p>
      <w:pPr>
        <w:spacing w:after="0" w:line="8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240" w:top="456"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260" w:right="120"/>
        <w:spacing w:after="0" w:line="259" w:lineRule="auto"/>
        <w:rPr>
          <w:sz w:val="20"/>
          <w:szCs w:val="20"/>
          <w:color w:val="auto"/>
        </w:rPr>
      </w:pPr>
      <w:r>
        <w:rPr>
          <w:rFonts w:ascii="Arial" w:cs="Arial" w:eastAsia="Arial" w:hAnsi="Arial"/>
          <w:sz w:val="18"/>
          <w:szCs w:val="18"/>
          <w:color w:val="auto"/>
        </w:rPr>
        <w:t>purchased for the accounts of employees participating in the ESPP at a price per share equal to the lower of (a) 85% of the fair market value of a share of our Class A common stock on the first trading date of an offering or (b) 85% of the fair market value of a share of our Class A common stock on the date of purchase.</w:t>
      </w:r>
    </w:p>
    <w:p>
      <w:pPr>
        <w:spacing w:after="0" w:line="186" w:lineRule="exact"/>
        <w:rPr>
          <w:sz w:val="20"/>
          <w:szCs w:val="20"/>
          <w:color w:val="auto"/>
        </w:rPr>
      </w:pPr>
    </w:p>
    <w:p>
      <w:pPr>
        <w:ind w:left="260" w:right="60" w:firstLine="437"/>
        <w:spacing w:after="0" w:line="269"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79" w:lineRule="exact"/>
        <w:rPr>
          <w:sz w:val="20"/>
          <w:szCs w:val="20"/>
          <w:color w:val="auto"/>
        </w:rPr>
      </w:pPr>
    </w:p>
    <w:p>
      <w:pPr>
        <w:ind w:left="260" w:right="140" w:firstLine="437"/>
        <w:spacing w:after="0" w:line="252"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95" w:lineRule="exact"/>
        <w:rPr>
          <w:sz w:val="20"/>
          <w:szCs w:val="20"/>
          <w:color w:val="auto"/>
        </w:rPr>
      </w:pPr>
    </w:p>
    <w:p>
      <w:pPr>
        <w:ind w:left="260" w:right="60" w:firstLine="437"/>
        <w:spacing w:after="0" w:line="25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(as defined in the ESPP), any then-outstanding rights to purchase our stock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prior to such corporate transaction, and such purchase rights will terminate immediately.</w:t>
      </w:r>
    </w:p>
    <w:p>
      <w:pPr>
        <w:spacing w:after="0" w:line="189" w:lineRule="exact"/>
        <w:rPr>
          <w:sz w:val="20"/>
          <w:szCs w:val="20"/>
          <w:color w:val="auto"/>
        </w:rPr>
      </w:pPr>
    </w:p>
    <w:p>
      <w:pPr>
        <w:ind w:left="260" w:right="160" w:firstLine="437"/>
        <w:spacing w:after="0" w:line="282" w:lineRule="auto"/>
        <w:rPr>
          <w:sz w:val="20"/>
          <w:szCs w:val="20"/>
          <w:color w:val="auto"/>
        </w:rPr>
      </w:pPr>
      <w:r>
        <w:rPr>
          <w:rFonts w:ascii="Arial" w:cs="Arial" w:eastAsia="Arial" w:hAnsi="Arial"/>
          <w:sz w:val="17"/>
          <w:szCs w:val="17"/>
          <w:i w:val="1"/>
          <w:iCs w:val="1"/>
          <w:color w:val="auto"/>
        </w:rPr>
        <w:t>ESPP Amendments, Termination</w:t>
      </w:r>
      <w:r>
        <w:rPr>
          <w:rFonts w:ascii="Arial" w:cs="Arial" w:eastAsia="Arial" w:hAnsi="Arial"/>
          <w:sz w:val="17"/>
          <w:szCs w:val="17"/>
          <w:color w:val="auto"/>
        </w:rPr>
        <w:t>. Our board of directors has the authority to amend or terminate our ESPP, provided that except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221"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Our board of directors adopted and our stockholders approved our 2012 Plan on November 7, 2012. Our 2012 Plan has been periodically amended, most recently in April 2018. Our 2012 Plan permits the grant of ISOs, NSOs, stock appreciation rights, restricted or unrestricted stock awards, phantom stock, restricted stock units, performance awards, and other stock-based awards. ISOs may be granted only to our employees and to any of our parent or subsidiary corporation’s employees. All other awards may be granted to employees, directors and consultants of ours and to any of our parent or subsidiary corporation’s employees or consultants. Our 2012 Plan will be terminated prior to the completion of this offering, and thereafter we will not grant any additional awards under our 2012 Plan. However, our 2012 Plan will continue to govern the terms and conditions of the outstanding awards previously granted thereunder.</w:t>
      </w:r>
    </w:p>
    <w:p>
      <w:pPr>
        <w:spacing w:after="0" w:line="191" w:lineRule="exact"/>
        <w:rPr>
          <w:sz w:val="20"/>
          <w:szCs w:val="20"/>
          <w:color w:val="auto"/>
        </w:rPr>
      </w:pPr>
    </w:p>
    <w:p>
      <w:pPr>
        <w:ind w:left="260" w:firstLine="437"/>
        <w:spacing w:after="0" w:line="275" w:lineRule="auto"/>
        <w:rPr>
          <w:sz w:val="20"/>
          <w:szCs w:val="20"/>
          <w:color w:val="auto"/>
        </w:rPr>
      </w:pPr>
      <w:r>
        <w:rPr>
          <w:rFonts w:ascii="Arial" w:cs="Arial" w:eastAsia="Arial" w:hAnsi="Arial"/>
          <w:sz w:val="17"/>
          <w:szCs w:val="17"/>
          <w:color w:val="auto"/>
        </w:rPr>
        <w:t>As of June 30, 2019, stock options covering 34,618,503 shares of our Class B common stock with a weighted-average exercise price of $1.53 per share were outstanding, and 976,632 shares of our Class B common stock remained available for the future grant of awards under our 2012 Plan. Any shares of our Class B common stock remaining available for issuance under our 2012 Plan when our 2019 Plan becomes effective will become available for issuance under our 2019 Plan as shares of our Class A common stock. In addition, any shares</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240" w:top="456"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335" w:lineRule="auto"/>
        <w:rPr>
          <w:sz w:val="20"/>
          <w:szCs w:val="20"/>
          <w:color w:val="auto"/>
        </w:rPr>
      </w:pPr>
      <w:r>
        <w:rPr>
          <w:rFonts w:ascii="Arial" w:cs="Arial" w:eastAsia="Arial" w:hAnsi="Arial"/>
          <w:sz w:val="16"/>
          <w:szCs w:val="16"/>
          <w:color w:val="auto"/>
        </w:rPr>
        <w:t>subject to options that expire or terminate prior to exercise or are withheld to satisfy tax withholding obligations related to an option or the exercise price of an option will be added to the number of shares then available for issuance under our 2019 Plan as shares of our Class A common stock</w:t>
      </w:r>
    </w:p>
    <w:p>
      <w:pPr>
        <w:spacing w:after="0" w:line="129" w:lineRule="exact"/>
        <w:rPr>
          <w:sz w:val="20"/>
          <w:szCs w:val="20"/>
          <w:color w:val="auto"/>
        </w:rPr>
      </w:pPr>
    </w:p>
    <w:p>
      <w:pPr>
        <w:ind w:left="260" w:right="160" w:firstLine="437"/>
        <w:spacing w:after="0" w:line="252"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delegated by our board of directors administers our 2012 Plan. Subject to the terms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2012 Plan, the administrator has the power to, among other things, determine the eligible persons to whom, and the times at which, awards will be granted, to determine the terms and conditions of each award (including the number of shares subject to the award, the exercise price of the award, if any, and when the award will vest and, as applicable, become exercisable), to modify or amend outstanding awards, or accept the surrender of outstanding awards and substitute new awards, to accelerate the time(s) at which an award may vest or be exercised, and to construe and interpret the terms of our 2012 Plan and awards granted thereunder.</w:t>
      </w:r>
    </w:p>
    <w:p>
      <w:pPr>
        <w:spacing w:after="0" w:line="195" w:lineRule="exact"/>
        <w:rPr>
          <w:sz w:val="20"/>
          <w:szCs w:val="20"/>
          <w:color w:val="auto"/>
        </w:rPr>
      </w:pPr>
    </w:p>
    <w:p>
      <w:pPr>
        <w:ind w:left="260" w:right="60" w:firstLine="437"/>
        <w:spacing w:after="0" w:line="254"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per share of ISOs granted under our 2012 Plan must be at least 100% of the fair market value per share of our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grant date. NSOs may be granted with a per share exercise price that is less than 100% of the per share fair market value of our Class B common stock. Subject to the provisions of our 2012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89" w:lineRule="exact"/>
        <w:rPr>
          <w:sz w:val="20"/>
          <w:szCs w:val="20"/>
          <w:color w:val="auto"/>
        </w:rPr>
      </w:pPr>
    </w:p>
    <w:p>
      <w:pPr>
        <w:ind w:left="260" w:right="160" w:firstLine="437"/>
        <w:spacing w:after="0" w:line="282"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there is a specified type of change in our capital structure, such as a stock dividend,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appropriate adjustments will be made to (1) the number of shares available for issuance under our 2012 Plan, and (2) the number of shares covered by and, as applicable, the exercise price of each outstanding award granted under our 2012 Plan.</w:t>
      </w:r>
    </w:p>
    <w:p>
      <w:pPr>
        <w:spacing w:after="0" w:line="167" w:lineRule="exact"/>
        <w:rPr>
          <w:sz w:val="20"/>
          <w:szCs w:val="20"/>
          <w:color w:val="auto"/>
        </w:rPr>
      </w:pPr>
    </w:p>
    <w:p>
      <w:pPr>
        <w:ind w:left="260" w:right="200" w:firstLine="437"/>
        <w:spacing w:after="0" w:line="271"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in the 2012 Plan), our board of directors generally may take one or more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actions with respect to outstanding awards:</w:t>
      </w:r>
    </w:p>
    <w:p>
      <w:pPr>
        <w:spacing w:after="0" w:line="81" w:lineRule="exact"/>
        <w:rPr>
          <w:sz w:val="20"/>
          <w:szCs w:val="20"/>
          <w:color w:val="auto"/>
        </w:rPr>
      </w:pPr>
    </w:p>
    <w:p>
      <w:pPr>
        <w:ind w:left="1220" w:hanging="537"/>
        <w:spacing w:after="0"/>
        <w:tabs>
          <w:tab w:leader="none" w:pos="12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arrange for the assumption, continuation or substitution of the award by the surviving or acquiring corporation (or its parent company);</w:t>
      </w:r>
    </w:p>
    <w:p>
      <w:pPr>
        <w:spacing w:after="0" w:line="150" w:lineRule="exact"/>
        <w:rPr>
          <w:rFonts w:ascii="Arial" w:cs="Arial" w:eastAsia="Arial" w:hAnsi="Arial"/>
          <w:sz w:val="16"/>
          <w:szCs w:val="16"/>
          <w:color w:val="auto"/>
        </w:rPr>
      </w:pPr>
    </w:p>
    <w:p>
      <w:pPr>
        <w:ind w:left="1220" w:right="440" w:hanging="537"/>
        <w:spacing w:after="0" w:line="271" w:lineRule="auto"/>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the surviving or acquiring corporation (or its parent company);</w:t>
      </w:r>
    </w:p>
    <w:p>
      <w:pPr>
        <w:spacing w:after="0" w:line="81" w:lineRule="exact"/>
        <w:rPr>
          <w:rFonts w:ascii="Arial" w:cs="Arial" w:eastAsia="Arial" w:hAnsi="Arial"/>
          <w:sz w:val="18"/>
          <w:szCs w:val="18"/>
          <w:color w:val="auto"/>
        </w:rPr>
      </w:pPr>
    </w:p>
    <w:p>
      <w:pPr>
        <w:ind w:left="1220" w:right="60" w:hanging="537"/>
        <w:spacing w:after="0" w:line="271" w:lineRule="auto"/>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accelerate the vesting and, if applicable, exercisability of the award and provide for its termination prior to the effective time of the change in control;</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rights held by us;</w:t>
      </w:r>
    </w:p>
    <w:p>
      <w:pPr>
        <w:spacing w:after="0" w:line="127" w:lineRule="exact"/>
        <w:rPr>
          <w:rFonts w:ascii="Arial" w:cs="Arial" w:eastAsia="Arial" w:hAnsi="Arial"/>
          <w:sz w:val="18"/>
          <w:szCs w:val="18"/>
          <w:color w:val="auto"/>
        </w:rPr>
      </w:pPr>
    </w:p>
    <w:p>
      <w:pPr>
        <w:ind w:left="1220" w:right="360" w:hanging="537"/>
        <w:spacing w:after="0" w:line="271" w:lineRule="auto"/>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cancel or arrange for the cancellation of the award in exchange for such cash consideration, if any, as our board of directors may deem appropriate; or</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make a payment equal to the excess of (1) the value of the property the participant would have received upon exercise of the award over</w:t>
      </w:r>
    </w:p>
    <w:p>
      <w:pPr>
        <w:spacing w:after="0" w:line="4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(2) the exercise price or strike price otherwise payable in connection with the award.</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board of directors is not obligated to treat all awards in the same manner.</w:t>
      </w:r>
    </w:p>
    <w:p>
      <w:pPr>
        <w:spacing w:after="0" w:line="221" w:lineRule="exact"/>
        <w:rPr>
          <w:sz w:val="20"/>
          <w:szCs w:val="20"/>
          <w:color w:val="auto"/>
        </w:rPr>
      </w:pPr>
    </w:p>
    <w:p>
      <w:pPr>
        <w:ind w:left="260" w:right="120" w:firstLine="437"/>
        <w:spacing w:after="0" w:line="271" w:lineRule="auto"/>
        <w:rPr>
          <w:sz w:val="20"/>
          <w:szCs w:val="20"/>
          <w:color w:val="auto"/>
        </w:rPr>
      </w:pPr>
      <w:r>
        <w:rPr>
          <w:rFonts w:ascii="Arial" w:cs="Arial" w:eastAsia="Arial" w:hAnsi="Arial"/>
          <w:sz w:val="18"/>
          <w:szCs w:val="18"/>
          <w:color w:val="auto"/>
        </w:rPr>
        <w:t>However, if awards will not be continued, assumed or substituted in connection with the change in control, such awards will become fully vested and, if applicable, exercisable, immediately before the effective time of the change in control.</w:t>
      </w:r>
    </w:p>
    <w:p>
      <w:pPr>
        <w:spacing w:after="0" w:line="175" w:lineRule="exact"/>
        <w:rPr>
          <w:sz w:val="20"/>
          <w:szCs w:val="20"/>
          <w:color w:val="auto"/>
        </w:rPr>
      </w:pPr>
    </w:p>
    <w:p>
      <w:pPr>
        <w:ind w:left="260" w:right="80" w:firstLine="437"/>
        <w:spacing w:after="0" w:line="301"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of directors may amend, modify or terminate our 2012 Plan at any time. As discussed above,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 our 2012 Plan prior to the completion of this offering and no new awards will be granted thereunder following such termination.</w:t>
      </w:r>
    </w:p>
    <w:p>
      <w:pPr>
        <w:spacing w:after="0" w:line="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60"/>
          </w:cols>
          <w:pgMar w:left="240" w:top="456"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5" w:lineRule="exact"/>
        <w:rPr>
          <w:sz w:val="20"/>
          <w:szCs w:val="20"/>
          <w:color w:val="auto"/>
        </w:rPr>
      </w:pPr>
    </w:p>
    <w:p>
      <w:pPr>
        <w:ind w:left="260" w:right="460" w:firstLine="437"/>
        <w:spacing w:after="0" w:line="307" w:lineRule="auto"/>
        <w:rPr>
          <w:sz w:val="20"/>
          <w:szCs w:val="20"/>
          <w:color w:val="auto"/>
        </w:rPr>
      </w:pPr>
      <w:r>
        <w:rPr>
          <w:rFonts w:ascii="Arial" w:cs="Arial" w:eastAsia="Arial" w:hAnsi="Arial"/>
          <w:sz w:val="16"/>
          <w:szCs w:val="16"/>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57" w:lineRule="exact"/>
        <w:rPr>
          <w:sz w:val="20"/>
          <w:szCs w:val="20"/>
          <w:color w:val="auto"/>
        </w:rPr>
      </w:pPr>
    </w:p>
    <w:p>
      <w:pPr>
        <w:ind w:left="1220" w:hanging="537"/>
        <w:spacing w:after="0"/>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1" w:lineRule="exact"/>
        <w:rPr>
          <w:sz w:val="20"/>
          <w:szCs w:val="20"/>
          <w:color w:val="auto"/>
        </w:rPr>
      </w:pPr>
    </w:p>
    <w:p>
      <w:pPr>
        <w:ind w:left="260" w:right="620" w:firstLine="437"/>
        <w:spacing w:after="0" w:line="271"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5" w:lineRule="exact"/>
        <w:rPr>
          <w:sz w:val="20"/>
          <w:szCs w:val="20"/>
          <w:color w:val="auto"/>
        </w:rPr>
      </w:pPr>
    </w:p>
    <w:p>
      <w:pPr>
        <w:ind w:left="260" w:firstLine="437"/>
        <w:spacing w:after="0" w:line="284" w:lineRule="auto"/>
        <w:rPr>
          <w:sz w:val="20"/>
          <w:szCs w:val="20"/>
          <w:color w:val="auto"/>
        </w:rPr>
      </w:pPr>
      <w:r>
        <w:rPr>
          <w:rFonts w:ascii="Arial" w:cs="Arial" w:eastAsia="Arial" w:hAnsi="Arial"/>
          <w:sz w:val="16"/>
          <w:szCs w:val="16"/>
          <w:color w:val="auto"/>
        </w:rPr>
        <w:t>Our amended and restated certificate of incorporation that will be in effect on the completion of this offering will authorize us to indemnify our directors, officers, employees and other agents to the 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71" w:lineRule="exact"/>
        <w:rPr>
          <w:sz w:val="20"/>
          <w:szCs w:val="20"/>
          <w:color w:val="auto"/>
        </w:rPr>
      </w:pPr>
    </w:p>
    <w:p>
      <w:pPr>
        <w:ind w:left="260" w:right="20" w:firstLine="437"/>
        <w:spacing w:after="0" w:line="254"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9" w:lineRule="exact"/>
        <w:rPr>
          <w:sz w:val="20"/>
          <w:szCs w:val="20"/>
          <w:color w:val="auto"/>
        </w:rPr>
      </w:pPr>
    </w:p>
    <w:p>
      <w:pPr>
        <w:ind w:left="260" w:right="180" w:firstLine="437"/>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Rule 10b5-1 Sales Plans</w:t>
      </w:r>
    </w:p>
    <w:p>
      <w:pPr>
        <w:spacing w:after="0" w:line="225" w:lineRule="exact"/>
        <w:rPr>
          <w:sz w:val="20"/>
          <w:szCs w:val="20"/>
          <w:color w:val="auto"/>
        </w:rPr>
      </w:pPr>
    </w:p>
    <w:p>
      <w:pPr>
        <w:ind w:left="260" w:right="20" w:firstLine="437"/>
        <w:spacing w:after="0" w:line="293" w:lineRule="auto"/>
        <w:rPr>
          <w:sz w:val="20"/>
          <w:szCs w:val="20"/>
          <w:color w:val="auto"/>
        </w:rPr>
      </w:pPr>
      <w:r>
        <w:rPr>
          <w:rFonts w:ascii="Arial" w:cs="Arial" w:eastAsia="Arial" w:hAnsi="Arial"/>
          <w:sz w:val="16"/>
          <w:szCs w:val="16"/>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240" w:top="456"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60" w:right="500" w:firstLine="437"/>
        <w:spacing w:after="0" w:line="271"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2016 to which we were a party or will be a party, in which:</w:t>
      </w:r>
    </w:p>
    <w:p>
      <w:pPr>
        <w:spacing w:after="0" w:line="81" w:lineRule="exact"/>
        <w:rPr>
          <w:sz w:val="20"/>
          <w:szCs w:val="20"/>
          <w:color w:val="auto"/>
        </w:rPr>
      </w:pPr>
    </w:p>
    <w:p>
      <w:pPr>
        <w:ind w:left="1220" w:hanging="537"/>
        <w:spacing w:after="0"/>
        <w:tabs>
          <w:tab w:leader="none" w:pos="1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27" w:lineRule="exact"/>
        <w:rPr>
          <w:rFonts w:ascii="Arial" w:cs="Arial" w:eastAsia="Arial" w:hAnsi="Arial"/>
          <w:sz w:val="18"/>
          <w:szCs w:val="18"/>
          <w:color w:val="auto"/>
        </w:rPr>
      </w:pPr>
    </w:p>
    <w:p>
      <w:pPr>
        <w:ind w:left="1220" w:right="400" w:hanging="537"/>
        <w:spacing w:after="0" w:line="301" w:lineRule="auto"/>
        <w:tabs>
          <w:tab w:leader="none" w:pos="12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Third-Party Tender Offer</w:t>
      </w:r>
    </w:p>
    <w:p>
      <w:pPr>
        <w:spacing w:after="0" w:line="225" w:lineRule="exact"/>
        <w:rPr>
          <w:sz w:val="20"/>
          <w:szCs w:val="20"/>
          <w:color w:val="auto"/>
        </w:rPr>
      </w:pPr>
    </w:p>
    <w:p>
      <w:pPr>
        <w:ind w:left="260" w:firstLine="437"/>
        <w:spacing w:after="0" w:line="285" w:lineRule="auto"/>
        <w:rPr>
          <w:sz w:val="20"/>
          <w:szCs w:val="20"/>
          <w:color w:val="auto"/>
        </w:rPr>
      </w:pPr>
      <w:r>
        <w:rPr>
          <w:rFonts w:ascii="Arial" w:cs="Arial" w:eastAsia="Arial" w:hAnsi="Arial"/>
          <w:sz w:val="16"/>
          <w:szCs w:val="16"/>
          <w:color w:val="auto"/>
        </w:rPr>
        <w:t>In March 2019, we entered into an agreement with certain investors, including entities associated with T. Rowe Price Associates, Dragoneer Investment Group, Index Ventures, ICONIQ Capital Management and Institutional Venture Partners, pursuant to which we agreed to waive certain transfer restrictions in connection with, and assist in the administration of, a tender offer that such investors proposed to commence. In March 2019, these investors commenced a tender offer to purchase shares of our capital stock from certain of our stockholders at a price of $15.92 per share, pursuant to an offer to purchase to which we were not a party. In connection with the tender offer, and to the extent not already bound by such agreements, the investors signed a joinder to our investors’ rights agreement and our voting agreement. These investors did not receive any rights or privileges beyond those afforded to all Class B stockholders. In addition, the shares purchased by the investors in the tender offer are subject to lock-up agreements that restrict their ability to transfer such shares for at least 180 days from the date of this prospectus and for 18 months from the date of this prospectus in the case of shares held by entities affiliated with Dragoneer Investment Group, Index Ventures, ICONIQ Capital Management and Institutional Venture Partners. See “Shares Eligible for Future Sale—Lock-Up Arrangements” for more information.</w:t>
      </w:r>
    </w:p>
    <w:p>
      <w:pPr>
        <w:spacing w:after="0" w:line="170" w:lineRule="exact"/>
        <w:rPr>
          <w:sz w:val="20"/>
          <w:szCs w:val="20"/>
          <w:color w:val="auto"/>
        </w:rPr>
      </w:pPr>
    </w:p>
    <w:p>
      <w:pPr>
        <w:ind w:left="260" w:right="40" w:firstLine="437"/>
        <w:spacing w:after="0" w:line="275" w:lineRule="auto"/>
        <w:rPr>
          <w:sz w:val="20"/>
          <w:szCs w:val="20"/>
          <w:color w:val="auto"/>
        </w:rPr>
      </w:pPr>
      <w:r>
        <w:rPr>
          <w:rFonts w:ascii="Arial" w:cs="Arial" w:eastAsia="Arial" w:hAnsi="Arial"/>
          <w:sz w:val="17"/>
          <w:szCs w:val="17"/>
          <w:color w:val="auto"/>
        </w:rPr>
        <w:t>Olivier Pomel and Alexis Lê-Quôc, each of whom is a member of our board of directors, an executive officer and a beneficial holder of more than 5% of our outstanding capital stock, Kirill Sheynkman, who was a member of our board of directors at the time of the transaction, and Michael Callahan, who is currently a member of our board of directors, Laszlo Kopits, Amit Agarwal and Dan Fougere, each of whom is one of our executive officers, as well as certain of the Company’s employees sold shares of our capital stock in the tender offer.</w:t>
      </w:r>
    </w:p>
    <w:p>
      <w:pPr>
        <w:spacing w:after="0" w:line="175" w:lineRule="exact"/>
        <w:rPr>
          <w:sz w:val="20"/>
          <w:szCs w:val="20"/>
          <w:color w:val="auto"/>
        </w:rPr>
      </w:pPr>
    </w:p>
    <w:p>
      <w:pPr>
        <w:ind w:left="260" w:firstLine="437"/>
        <w:spacing w:after="0" w:line="307" w:lineRule="auto"/>
        <w:rPr>
          <w:sz w:val="20"/>
          <w:szCs w:val="20"/>
          <w:color w:val="auto"/>
        </w:rPr>
      </w:pPr>
      <w:r>
        <w:rPr>
          <w:rFonts w:ascii="Arial" w:cs="Arial" w:eastAsia="Arial" w:hAnsi="Arial"/>
          <w:sz w:val="16"/>
          <w:szCs w:val="16"/>
          <w:color w:val="auto"/>
        </w:rPr>
        <w:t>An aggregate of 14,366,871 shares of our capital stock were successfully tendered pursuant to the tender offer, of which Index Ventures and its affiliates collectively purchased 628,272 shares for an aggregate purchase price of approximately $10.0 million. Index Ventures and its affiliates are beneficial holders of more than 5% of our outstanding capital stock and Shardul Shah, a partner at Index Ventures, is a member of our board of directors.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Repurchases of Outstanding Stock</w:t>
      </w:r>
    </w:p>
    <w:p>
      <w:pPr>
        <w:spacing w:after="0" w:line="118" w:lineRule="exact"/>
        <w:rPr>
          <w:sz w:val="20"/>
          <w:szCs w:val="20"/>
          <w:color w:val="auto"/>
        </w:rPr>
      </w:pPr>
    </w:p>
    <w:p>
      <w:pPr>
        <w:ind w:left="260" w:right="100" w:firstLine="437"/>
        <w:spacing w:after="0" w:line="275" w:lineRule="auto"/>
        <w:rPr>
          <w:sz w:val="20"/>
          <w:szCs w:val="20"/>
          <w:color w:val="auto"/>
        </w:rPr>
      </w:pPr>
      <w:r>
        <w:rPr>
          <w:rFonts w:ascii="Arial" w:cs="Arial" w:eastAsia="Arial" w:hAnsi="Arial"/>
          <w:sz w:val="17"/>
          <w:szCs w:val="17"/>
          <w:color w:val="auto"/>
        </w:rPr>
        <w:t>On January 29, 2016 we entered into a series of common stock repurchase agreements, pursuant to which we repurchased from existing investors an aggregate of 1,329,270 shares of our common stock, 1,197,717 of our Series C convertible preferred stock, 1,842,201 of our Series B convertible preferred stock, 119,499 of our Series A convertible preferred stock and 362,697 of our Series Seed convertible preferred stock at a purchase price of $9.17 per share, for an aggregate consideration of about $44.5 million. The participants in this repurchase</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520"/>
        <w:spacing w:after="0" w:line="271" w:lineRule="auto"/>
        <w:rPr>
          <w:sz w:val="20"/>
          <w:szCs w:val="20"/>
          <w:color w:val="auto"/>
        </w:rPr>
      </w:pPr>
      <w:r>
        <w:rPr>
          <w:rFonts w:ascii="Arial" w:cs="Arial" w:eastAsia="Arial" w:hAnsi="Arial"/>
          <w:sz w:val="18"/>
          <w:szCs w:val="18"/>
          <w:color w:val="auto"/>
        </w:rPr>
        <w:t>included certain beneficial owners of more than 5% of our capital stock and entities affiliated with certain of our directors, as set forth in the table below:</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Series of Convertible</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2"/>
              </w:rPr>
              <w:t>Participants</w:t>
            </w:r>
          </w:p>
        </w:tc>
        <w:tc>
          <w:tcPr>
            <w:tcW w:w="3320" w:type="dxa"/>
            <w:vAlign w:val="bottom"/>
            <w:vMerge w:val="restart"/>
          </w:tcPr>
          <w:p>
            <w:pPr>
              <w:spacing w:after="0"/>
              <w:rPr>
                <w:sz w:val="13"/>
                <w:szCs w:val="13"/>
                <w:color w:val="auto"/>
              </w:rPr>
            </w:pPr>
          </w:p>
        </w:tc>
        <w:tc>
          <w:tcPr>
            <w:tcW w:w="2900" w:type="dxa"/>
            <w:vAlign w:val="bottom"/>
            <w:gridSpan w:val="3"/>
          </w:tcPr>
          <w:p>
            <w:pPr>
              <w:jc w:val="center"/>
              <w:ind w:left="393"/>
              <w:spacing w:after="0" w:line="157" w:lineRule="exact"/>
              <w:rPr>
                <w:sz w:val="20"/>
                <w:szCs w:val="20"/>
                <w:color w:val="auto"/>
              </w:rPr>
            </w:pPr>
            <w:r>
              <w:rPr>
                <w:rFonts w:ascii="Arial" w:cs="Arial" w:eastAsia="Arial" w:hAnsi="Arial"/>
                <w:sz w:val="14"/>
                <w:szCs w:val="14"/>
                <w:b w:val="1"/>
                <w:bCs w:val="1"/>
                <w:color w:val="auto"/>
                <w:w w:val="91"/>
              </w:rPr>
              <w:t>Number of Shares</w:t>
            </w:r>
          </w:p>
        </w:tc>
        <w:tc>
          <w:tcPr>
            <w:tcW w:w="20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Preferred Stock;</w:t>
            </w:r>
          </w:p>
        </w:tc>
        <w:tc>
          <w:tcPr>
            <w:tcW w:w="1900" w:type="dxa"/>
            <w:vAlign w:val="bottom"/>
            <w:gridSpan w:val="4"/>
          </w:tcPr>
          <w:p>
            <w:pPr>
              <w:ind w:left="620"/>
              <w:spacing w:after="0" w:line="157" w:lineRule="exact"/>
              <w:rPr>
                <w:sz w:val="20"/>
                <w:szCs w:val="20"/>
                <w:color w:val="auto"/>
              </w:rPr>
            </w:pPr>
            <w:r>
              <w:rPr>
                <w:rFonts w:ascii="Arial" w:cs="Arial" w:eastAsia="Arial" w:hAnsi="Arial"/>
                <w:sz w:val="14"/>
                <w:szCs w:val="14"/>
                <w:b w:val="1"/>
                <w:bCs w:val="1"/>
                <w:color w:val="auto"/>
                <w:w w:val="92"/>
              </w:rPr>
              <w:t>Aggregate Purchase</w:t>
            </w:r>
          </w:p>
        </w:tc>
        <w:tc>
          <w:tcPr>
            <w:tcW w:w="0" w:type="dxa"/>
            <w:vAlign w:val="bottom"/>
          </w:tcPr>
          <w:p>
            <w:pPr>
              <w:spacing w:after="0"/>
              <w:rPr>
                <w:sz w:val="1"/>
                <w:szCs w:val="1"/>
                <w:color w:val="auto"/>
              </w:rPr>
            </w:pPr>
          </w:p>
        </w:tc>
      </w:tr>
      <w:tr>
        <w:trPr>
          <w:trHeight w:val="181"/>
        </w:trPr>
        <w:tc>
          <w:tcPr>
            <w:tcW w:w="76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7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Repurchased</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1"/>
        </w:trPr>
        <w:tc>
          <w:tcPr>
            <w:tcW w:w="40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Olivier Pomel</w:t>
            </w:r>
          </w:p>
        </w:tc>
        <w:tc>
          <w:tcPr>
            <w:tcW w:w="1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545,010</w:t>
            </w:r>
          </w:p>
        </w:tc>
        <w:tc>
          <w:tcPr>
            <w:tcW w:w="64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Common</w:t>
            </w: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5,000,005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Arial" w:cs="Arial" w:eastAsia="Arial" w:hAnsi="Arial"/>
                <w:sz w:val="18"/>
                <w:szCs w:val="18"/>
                <w:color w:val="auto"/>
              </w:rPr>
              <w:t>The Alexis Lê-Quôc Revocable Trust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545,010</w:t>
            </w:r>
          </w:p>
        </w:tc>
        <w:tc>
          <w:tcPr>
            <w:tcW w:w="6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Common</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Agarwal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Common</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Arial" w:cs="Arial" w:eastAsia="Arial" w:hAnsi="Arial"/>
                <w:sz w:val="18"/>
                <w:szCs w:val="18"/>
                <w:color w:val="auto"/>
              </w:rPr>
              <w:t>Michael Callahan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80,292</w:t>
            </w:r>
          </w:p>
        </w:tc>
        <w:tc>
          <w:tcPr>
            <w:tcW w:w="6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Series Seed Preferred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736,611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69,708</w:t>
            </w:r>
          </w:p>
        </w:tc>
        <w:tc>
          <w:tcPr>
            <w:tcW w:w="6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Series A Preferred</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Arial" w:cs="Arial" w:eastAsia="Arial" w:hAnsi="Arial"/>
                <w:sz w:val="18"/>
                <w:szCs w:val="18"/>
                <w:color w:val="auto"/>
              </w:rPr>
              <w:t>Kirill Sheynkman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9,243</w:t>
            </w:r>
          </w:p>
        </w:tc>
        <w:tc>
          <w:tcPr>
            <w:tcW w:w="6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Series B Preferred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6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Series C Preferred</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2"/>
          </w:tcPr>
          <w:p>
            <w:pPr>
              <w:spacing w:after="0"/>
              <w:rPr>
                <w:sz w:val="20"/>
                <w:szCs w:val="20"/>
                <w:color w:val="auto"/>
              </w:rPr>
            </w:pPr>
            <w:r>
              <w:rPr>
                <w:rFonts w:ascii="Arial" w:cs="Arial" w:eastAsia="Arial" w:hAnsi="Arial"/>
                <w:sz w:val="18"/>
                <w:szCs w:val="18"/>
                <w:color w:val="auto"/>
              </w:rPr>
              <w:t>Entities Associated with RTP Ventures</w:t>
            </w:r>
            <w:r>
              <w:rPr>
                <w:rFonts w:ascii="Arial" w:cs="Arial" w:eastAsia="Arial" w:hAnsi="Arial"/>
                <w:sz w:val="15"/>
                <w:szCs w:val="15"/>
                <w:color w:val="auto"/>
              </w:rPr>
              <w:t>(1)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1,832,958</w:t>
            </w:r>
          </w:p>
        </w:tc>
        <w:tc>
          <w:tcPr>
            <w:tcW w:w="6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Series B Preferred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16,815,838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1,193,532</w:t>
            </w:r>
          </w:p>
        </w:tc>
        <w:tc>
          <w:tcPr>
            <w:tcW w:w="6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Series C Preferred</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85090</wp:posOffset>
            </wp:positionV>
            <wp:extent cx="7562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149" w:lineRule="exact"/>
        <w:rPr>
          <w:sz w:val="20"/>
          <w:szCs w:val="20"/>
          <w:color w:val="auto"/>
        </w:rPr>
      </w:pPr>
    </w:p>
    <w:p>
      <w:pPr>
        <w:ind w:left="680" w:right="160" w:hanging="425"/>
        <w:spacing w:after="0" w:line="236" w:lineRule="auto"/>
        <w:tabs>
          <w:tab w:leader="none" w:pos="6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Consists of (a) 1,832,958 shares of Series B convertible preferred stock held by ru-Net Technology Capital LP, (b) 698,631 shares of Series C convertible preferred stock held by ru-Net Technology Capital LP, and (c) 494,901 shares of Series C convertible preferred stock held by ru-Net Technology Capital AIV LP. Kirill Sheynkman, a former member of our board of directors, is the founder and Senior Managing Director of RTP Ventures.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Directed Share Program</w:t>
      </w:r>
    </w:p>
    <w:p>
      <w:pPr>
        <w:spacing w:after="0" w:line="118" w:lineRule="exact"/>
        <w:rPr>
          <w:sz w:val="20"/>
          <w:szCs w:val="20"/>
          <w:color w:val="auto"/>
        </w:rPr>
      </w:pPr>
    </w:p>
    <w:p>
      <w:pPr>
        <w:jc w:val="both"/>
        <w:ind w:left="260" w:right="420" w:firstLine="437"/>
        <w:spacing w:after="0" w:line="259" w:lineRule="auto"/>
        <w:rPr>
          <w:sz w:val="20"/>
          <w:szCs w:val="20"/>
          <w:color w:val="auto"/>
        </w:rPr>
      </w:pPr>
      <w:r>
        <w:rPr>
          <w:rFonts w:ascii="Arial" w:cs="Arial" w:eastAsia="Arial" w:hAnsi="Arial"/>
          <w:sz w:val="18"/>
          <w:szCs w:val="18"/>
          <w:color w:val="auto"/>
        </w:rPr>
        <w:t>At our request, the underwriters have reserved for sale at the initial public offering price per share up to 5% of the shares of Class A common stock offered by this prospectus, to certain individuals through a directed share program, including our directors, employees and certain other early supporters of Datadog identified by management.</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Indemnification Agreements</w:t>
      </w:r>
    </w:p>
    <w:p>
      <w:pPr>
        <w:spacing w:after="0" w:line="118" w:lineRule="exact"/>
        <w:rPr>
          <w:sz w:val="20"/>
          <w:szCs w:val="20"/>
          <w:color w:val="auto"/>
        </w:rPr>
      </w:pPr>
    </w:p>
    <w:p>
      <w:pPr>
        <w:ind w:left="260" w:right="60" w:firstLine="437"/>
        <w:spacing w:after="0" w:line="269" w:lineRule="auto"/>
        <w:rPr>
          <w:sz w:val="20"/>
          <w:szCs w:val="20"/>
          <w:color w:val="auto"/>
        </w:rPr>
      </w:pPr>
      <w:r>
        <w:rPr>
          <w:rFonts w:ascii="Arial" w:cs="Arial" w:eastAsia="Arial" w:hAnsi="Arial"/>
          <w:sz w:val="17"/>
          <w:szCs w:val="17"/>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18" w:lineRule="exact"/>
        <w:rPr>
          <w:sz w:val="20"/>
          <w:szCs w:val="20"/>
          <w:color w:val="auto"/>
        </w:rPr>
      </w:pPr>
    </w:p>
    <w:p>
      <w:pPr>
        <w:ind w:left="260" w:right="20" w:firstLine="437"/>
        <w:spacing w:after="0" w:line="267" w:lineRule="auto"/>
        <w:rPr>
          <w:sz w:val="20"/>
          <w:szCs w:val="20"/>
          <w:color w:val="auto"/>
        </w:rPr>
      </w:pPr>
      <w:r>
        <w:rPr>
          <w:rFonts w:ascii="Arial" w:cs="Arial" w:eastAsia="Arial" w:hAnsi="Arial"/>
          <w:sz w:val="17"/>
          <w:szCs w:val="17"/>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6"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July 31, 2019 by:</w:t>
      </w:r>
    </w:p>
    <w:p>
      <w:pPr>
        <w:spacing w:after="0" w:line="128" w:lineRule="exact"/>
        <w:rPr>
          <w:sz w:val="20"/>
          <w:szCs w:val="20"/>
          <w:color w:val="auto"/>
        </w:rPr>
      </w:pPr>
    </w:p>
    <w:p>
      <w:pPr>
        <w:ind w:left="1220" w:hanging="537"/>
        <w:spacing w:after="0"/>
        <w:tabs>
          <w:tab w:leader="none" w:pos="1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directors and executive officers as a group; and</w:t>
      </w:r>
    </w:p>
    <w:p>
      <w:pPr>
        <w:spacing w:after="0" w:line="127" w:lineRule="exact"/>
        <w:rPr>
          <w:rFonts w:ascii="Arial" w:cs="Arial" w:eastAsia="Arial" w:hAnsi="Arial"/>
          <w:sz w:val="18"/>
          <w:szCs w:val="18"/>
          <w:color w:val="auto"/>
        </w:rPr>
      </w:pPr>
    </w:p>
    <w:p>
      <w:pPr>
        <w:ind w:left="1220" w:hanging="537"/>
        <w:spacing w:after="0" w:line="271" w:lineRule="auto"/>
        <w:tabs>
          <w:tab w:leader="none" w:pos="1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Class A common stock and Class B common stock (by number or by voting power).</w:t>
      </w:r>
    </w:p>
    <w:p>
      <w:pPr>
        <w:spacing w:after="0" w:line="175" w:lineRule="exact"/>
        <w:rPr>
          <w:sz w:val="20"/>
          <w:szCs w:val="20"/>
          <w:color w:val="auto"/>
        </w:rPr>
      </w:pPr>
    </w:p>
    <w:p>
      <w:pPr>
        <w:ind w:left="260" w:right="140" w:firstLine="437"/>
        <w:spacing w:after="0" w:line="255"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91" w:lineRule="exact"/>
        <w:rPr>
          <w:sz w:val="20"/>
          <w:szCs w:val="20"/>
          <w:color w:val="auto"/>
        </w:rPr>
      </w:pPr>
    </w:p>
    <w:p>
      <w:pPr>
        <w:ind w:left="260" w:right="20" w:firstLine="437"/>
        <w:spacing w:after="0" w:line="267" w:lineRule="auto"/>
        <w:rPr>
          <w:sz w:val="20"/>
          <w:szCs w:val="20"/>
          <w:color w:val="auto"/>
        </w:rPr>
      </w:pPr>
      <w:r>
        <w:rPr>
          <w:rFonts w:ascii="Arial" w:cs="Arial" w:eastAsia="Arial" w:hAnsi="Arial"/>
          <w:sz w:val="17"/>
          <w:szCs w:val="17"/>
          <w:color w:val="auto"/>
        </w:rPr>
        <w:t>Applicable percentage ownership before the offering is based on no shares of Class A common stock and 266,327,196 shares of Class B common stock outstanding as of July 31, 2019, assuming the automatic conversion of all outstanding shares of convertible preferred stock into an aggregate of 179,011,431 shares of Class B common stock, which will occur immediately prior to the completion of this offering. Applicable percentage ownership after the offering is based on the issuance of 24,000,000 shares of Class A common stock in this offering, assuming no exercise by the underwriters of their option to purchase additional shares of Class A common stock from us and excluding any potential purchases in this offering by the persons and entities named in the table below.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July 31, 2019. However, except as described above, we did not deem such shares outstanding for the purpose of computing the percentage ownership of any other person.</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240" w:top="456"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160" w:firstLine="437"/>
        <w:spacing w:after="0" w:line="271" w:lineRule="auto"/>
        <w:rPr>
          <w:sz w:val="20"/>
          <w:szCs w:val="20"/>
          <w:color w:val="auto"/>
        </w:rPr>
      </w:pPr>
      <w:r>
        <w:rPr>
          <w:rFonts w:ascii="Arial" w:cs="Arial" w:eastAsia="Arial" w:hAnsi="Arial"/>
          <w:sz w:val="18"/>
          <w:szCs w:val="18"/>
          <w:color w:val="auto"/>
        </w:rPr>
        <w:t>Unless otherwise indicated, the address for each beneficial owner listed in the table below is c/o Datadog, Inc., 620 8th Avenue, 45th Floor, New York, New York 10018.</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Beneficial Ownership</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Beneficial Ownership</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Before the Offering</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After the Offering</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6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80" w:type="dxa"/>
            <w:vAlign w:val="bottom"/>
            <w:gridSpan w:val="2"/>
          </w:tcPr>
          <w:p>
            <w:pPr>
              <w:jc w:val="center"/>
              <w:ind w:left="276"/>
              <w:spacing w:after="0" w:line="157" w:lineRule="exact"/>
              <w:rPr>
                <w:sz w:val="20"/>
                <w:szCs w:val="20"/>
                <w:color w:val="auto"/>
              </w:rPr>
            </w:pPr>
            <w:r>
              <w:rPr>
                <w:rFonts w:ascii="Arial" w:cs="Arial" w:eastAsia="Arial" w:hAnsi="Arial"/>
                <w:sz w:val="14"/>
                <w:szCs w:val="14"/>
                <w:b w:val="1"/>
                <w:bCs w:val="1"/>
                <w:color w:val="auto"/>
                <w:w w:val="85"/>
              </w:rPr>
              <w:t>Class B</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1"/>
              </w:rPr>
              <w:t>Voting</w:t>
            </w:r>
          </w:p>
        </w:tc>
        <w:tc>
          <w:tcPr>
            <w:tcW w:w="120" w:type="dxa"/>
            <w:vAlign w:val="bottom"/>
          </w:tcPr>
          <w:p>
            <w:pPr>
              <w:spacing w:after="0"/>
              <w:rPr>
                <w:sz w:val="13"/>
                <w:szCs w:val="13"/>
                <w:color w:val="auto"/>
              </w:rPr>
            </w:pPr>
          </w:p>
        </w:tc>
        <w:tc>
          <w:tcPr>
            <w:tcW w:w="680" w:type="dxa"/>
            <w:vAlign w:val="bottom"/>
            <w:gridSpan w:val="3"/>
          </w:tcPr>
          <w:p>
            <w:pPr>
              <w:jc w:val="center"/>
              <w:ind w:left="94"/>
              <w:spacing w:after="0" w:line="157"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left="264"/>
              <w:spacing w:after="0" w:line="157" w:lineRule="exact"/>
              <w:rPr>
                <w:sz w:val="20"/>
                <w:szCs w:val="20"/>
                <w:color w:val="auto"/>
              </w:rPr>
            </w:pPr>
            <w:r>
              <w:rPr>
                <w:rFonts w:ascii="Arial" w:cs="Arial" w:eastAsia="Arial" w:hAnsi="Arial"/>
                <w:sz w:val="14"/>
                <w:szCs w:val="14"/>
                <w:b w:val="1"/>
                <w:bCs w:val="1"/>
                <w:color w:val="auto"/>
                <w:w w:val="89"/>
              </w:rPr>
              <w:t>Class B</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80" w:type="dxa"/>
            <w:vAlign w:val="bottom"/>
            <w:gridSpan w:val="2"/>
          </w:tcPr>
          <w:p>
            <w:pPr>
              <w:jc w:val="center"/>
              <w:ind w:left="276"/>
              <w:spacing w:after="0" w:line="147" w:lineRule="exact"/>
              <w:rPr>
                <w:sz w:val="20"/>
                <w:szCs w:val="20"/>
                <w:color w:val="auto"/>
              </w:rPr>
            </w:pPr>
            <w:r>
              <w:rPr>
                <w:rFonts w:ascii="Arial" w:cs="Arial" w:eastAsia="Arial" w:hAnsi="Arial"/>
                <w:sz w:val="14"/>
                <w:szCs w:val="14"/>
                <w:b w:val="1"/>
                <w:bCs w:val="1"/>
                <w:color w:val="auto"/>
                <w:w w:val="92"/>
              </w:rPr>
              <w:t>Common</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Power</w:t>
            </w:r>
          </w:p>
        </w:tc>
        <w:tc>
          <w:tcPr>
            <w:tcW w:w="120" w:type="dxa"/>
            <w:vAlign w:val="bottom"/>
          </w:tcPr>
          <w:p>
            <w:pPr>
              <w:spacing w:after="0"/>
              <w:rPr>
                <w:sz w:val="12"/>
                <w:szCs w:val="12"/>
                <w:color w:val="auto"/>
              </w:rPr>
            </w:pPr>
          </w:p>
        </w:tc>
        <w:tc>
          <w:tcPr>
            <w:tcW w:w="88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1080" w:type="dxa"/>
            <w:vAlign w:val="bottom"/>
            <w:gridSpan w:val="2"/>
          </w:tcPr>
          <w:p>
            <w:pPr>
              <w:jc w:val="center"/>
              <w:ind w:left="284"/>
              <w:spacing w:after="0" w:line="147" w:lineRule="exact"/>
              <w:rPr>
                <w:sz w:val="20"/>
                <w:szCs w:val="20"/>
                <w:color w:val="auto"/>
              </w:rPr>
            </w:pPr>
            <w:r>
              <w:rPr>
                <w:rFonts w:ascii="Arial" w:cs="Arial" w:eastAsia="Arial" w:hAnsi="Arial"/>
                <w:sz w:val="14"/>
                <w:szCs w:val="14"/>
                <w:b w:val="1"/>
                <w:bCs w:val="1"/>
                <w:color w:val="auto"/>
                <w:w w:val="92"/>
              </w:rPr>
              <w:t>Common</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80" w:type="dxa"/>
            <w:vAlign w:val="bottom"/>
            <w:gridSpan w:val="2"/>
          </w:tcPr>
          <w:p>
            <w:pPr>
              <w:jc w:val="center"/>
              <w:ind w:left="276"/>
              <w:spacing w:after="0" w:line="147" w:lineRule="exact"/>
              <w:rPr>
                <w:sz w:val="20"/>
                <w:szCs w:val="20"/>
                <w:color w:val="auto"/>
              </w:rPr>
            </w:pPr>
            <w:r>
              <w:rPr>
                <w:rFonts w:ascii="Arial" w:cs="Arial" w:eastAsia="Arial" w:hAnsi="Arial"/>
                <w:sz w:val="14"/>
                <w:szCs w:val="14"/>
                <w:b w:val="1"/>
                <w:bCs w:val="1"/>
                <w:color w:val="auto"/>
                <w:w w:val="94"/>
              </w:rPr>
              <w:t>Stock</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680" w:type="dxa"/>
            <w:vAlign w:val="bottom"/>
            <w:gridSpan w:val="3"/>
          </w:tcPr>
          <w:p>
            <w:pPr>
              <w:jc w:val="center"/>
              <w:ind w:left="94"/>
              <w:spacing w:after="0" w:line="147"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left="264"/>
              <w:spacing w:after="0" w:line="147" w:lineRule="exact"/>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27"/>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Beneficial Owner</w:t>
            </w:r>
          </w:p>
        </w:tc>
        <w:tc>
          <w:tcPr>
            <w:tcW w:w="286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gridSpan w:val="2"/>
            <w:vMerge w:val="restart"/>
          </w:tcPr>
          <w:p>
            <w:pPr>
              <w:jc w:val="center"/>
              <w:ind w:right="280"/>
              <w:spacing w:after="0" w:line="138" w:lineRule="exact"/>
              <w:rPr>
                <w:sz w:val="20"/>
                <w:szCs w:val="20"/>
                <w:color w:val="auto"/>
              </w:rPr>
            </w:pPr>
            <w:r>
              <w:rPr>
                <w:rFonts w:ascii="Arial" w:cs="Arial" w:eastAsia="Arial" w:hAnsi="Arial"/>
                <w:sz w:val="14"/>
                <w:szCs w:val="14"/>
                <w:b w:val="1"/>
                <w:bCs w:val="1"/>
                <w:color w:val="auto"/>
                <w:w w:val="85"/>
              </w:rPr>
              <w:t>the</w:t>
            </w: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jc w:val="center"/>
              <w:ind w:right="220"/>
              <w:spacing w:after="0" w:line="138"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91"/>
        </w:trPr>
        <w:tc>
          <w:tcPr>
            <w:tcW w:w="1600" w:type="dxa"/>
            <w:vAlign w:val="bottom"/>
            <w:vMerge w:val="continue"/>
          </w:tcPr>
          <w:p>
            <w:pPr>
              <w:spacing w:after="0"/>
              <w:rPr>
                <w:sz w:val="7"/>
                <w:szCs w:val="7"/>
                <w:color w:val="auto"/>
              </w:rPr>
            </w:pPr>
          </w:p>
        </w:tc>
        <w:tc>
          <w:tcPr>
            <w:tcW w:w="2860" w:type="dxa"/>
            <w:vAlign w:val="bottom"/>
            <w:vMerge w:val="continue"/>
          </w:tcPr>
          <w:p>
            <w:pPr>
              <w:spacing w:after="0"/>
              <w:rPr>
                <w:sz w:val="7"/>
                <w:szCs w:val="7"/>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3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2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7"/>
                <w:szCs w:val="7"/>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0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5"/>
              </w:rPr>
              <w:t>Offering</w:t>
            </w:r>
          </w:p>
        </w:tc>
        <w:tc>
          <w:tcPr>
            <w:tcW w:w="800" w:type="dxa"/>
            <w:vAlign w:val="bottom"/>
            <w:gridSpan w:val="4"/>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8"/>
                <w:szCs w:val="8"/>
                <w:b w:val="1"/>
                <w:bCs w:val="1"/>
                <w:color w:val="auto"/>
                <w:w w:val="95"/>
              </w:rPr>
              <w:t>†</w:t>
            </w:r>
          </w:p>
        </w:tc>
        <w:tc>
          <w:tcPr>
            <w:tcW w:w="0" w:type="dxa"/>
            <w:vAlign w:val="bottom"/>
          </w:tcPr>
          <w:p>
            <w:pPr>
              <w:spacing w:after="0"/>
              <w:rPr>
                <w:sz w:val="1"/>
                <w:szCs w:val="1"/>
                <w:color w:val="auto"/>
              </w:rPr>
            </w:pPr>
          </w:p>
        </w:tc>
      </w:tr>
      <w:tr>
        <w:trPr>
          <w:trHeight w:val="187"/>
        </w:trPr>
        <w:tc>
          <w:tcPr>
            <w:tcW w:w="44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Entities associated with Index Ventures</w:t>
            </w: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53,500,077</w:t>
            </w:r>
          </w:p>
        </w:tc>
        <w:tc>
          <w:tcPr>
            <w:tcW w:w="2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53,500,077</w:t>
            </w: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20.1%</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OpenView Venture Partners</w:t>
            </w:r>
            <w:r>
              <w:rPr>
                <w:rFonts w:ascii="Arial" w:cs="Arial" w:eastAsia="Arial" w:hAnsi="Arial"/>
                <w:sz w:val="15"/>
                <w:szCs w:val="15"/>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42,402,876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15.9</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42,402,876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15.9</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Entities associated with ICONIQ Strategic Partners</w:t>
            </w:r>
            <w:r>
              <w:rPr>
                <w:rFonts w:ascii="Arial" w:cs="Arial" w:eastAsia="Arial" w:hAnsi="Arial"/>
                <w:sz w:val="15"/>
                <w:szCs w:val="15"/>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30,145,965</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11.3</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30,145,965</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11.3</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RTP Ventures</w:t>
            </w:r>
            <w:r>
              <w:rPr>
                <w:rFonts w:ascii="Arial" w:cs="Arial" w:eastAsia="Arial" w:hAnsi="Arial"/>
                <w:sz w:val="15"/>
                <w:szCs w:val="15"/>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21,878,160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21,878,160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Pomel</w:t>
            </w:r>
            <w:r>
              <w:rPr>
                <w:rFonts w:ascii="Arial" w:cs="Arial" w:eastAsia="Arial" w:hAnsi="Arial"/>
                <w:sz w:val="15"/>
                <w:szCs w:val="15"/>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39,642,354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14.5</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39,642,354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Alexis Lê-Quôc</w:t>
            </w:r>
            <w:r>
              <w:rPr>
                <w:rFonts w:ascii="Arial" w:cs="Arial" w:eastAsia="Arial" w:hAnsi="Arial"/>
                <w:sz w:val="15"/>
                <w:szCs w:val="15"/>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25,081,164</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25,081,164</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Obstler</w:t>
            </w:r>
            <w:r>
              <w:rPr>
                <w:rFonts w:ascii="Arial" w:cs="Arial" w:eastAsia="Arial" w:hAnsi="Arial"/>
                <w:sz w:val="15"/>
                <w:szCs w:val="15"/>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Laszlo Kopits</w:t>
            </w:r>
            <w:r>
              <w:rPr>
                <w:rFonts w:ascii="Arial" w:cs="Arial" w:eastAsia="Arial" w:hAnsi="Arial"/>
                <w:sz w:val="15"/>
                <w:szCs w:val="15"/>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529,992</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529,992</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Callahan</w:t>
            </w:r>
            <w:r>
              <w:rPr>
                <w:rFonts w:ascii="Arial" w:cs="Arial" w:eastAsia="Arial" w:hAnsi="Arial"/>
                <w:sz w:val="15"/>
                <w:szCs w:val="15"/>
                <w:color w:val="auto"/>
              </w:rPr>
              <w:t>(9)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1,103,646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1,103,646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Dev Ittycheria</w:t>
            </w:r>
            <w:r>
              <w:rPr>
                <w:rFonts w:ascii="Arial" w:cs="Arial" w:eastAsia="Arial" w:hAnsi="Arial"/>
                <w:sz w:val="15"/>
                <w:szCs w:val="15"/>
                <w:color w:val="auto"/>
              </w:rPr>
              <w:t>(10)</w:t>
            </w:r>
          </w:p>
        </w:tc>
        <w:tc>
          <w:tcPr>
            <w:tcW w:w="860" w:type="dxa"/>
            <w:vAlign w:val="bottom"/>
          </w:tcPr>
          <w:p>
            <w:pPr>
              <w:jc w:val="right"/>
              <w:spacing w:after="0"/>
              <w:rPr>
                <w:sz w:val="20"/>
                <w:szCs w:val="20"/>
                <w:color w:val="auto"/>
              </w:rPr>
            </w:pPr>
            <w:r>
              <w:rPr>
                <w:rFonts w:ascii="Arial" w:cs="Arial" w:eastAsia="Arial" w:hAnsi="Arial"/>
                <w:sz w:val="18"/>
                <w:szCs w:val="18"/>
                <w:color w:val="auto"/>
              </w:rPr>
              <w:t>1,872,894</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1,872,894</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Jacobson</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460" w:type="dxa"/>
            <w:vAlign w:val="bottom"/>
            <w:gridSpan w:val="2"/>
          </w:tcPr>
          <w:p>
            <w:pPr>
              <w:spacing w:after="0"/>
              <w:rPr>
                <w:sz w:val="20"/>
                <w:szCs w:val="20"/>
                <w:color w:val="auto"/>
              </w:rPr>
            </w:pPr>
            <w:r>
              <w:rPr>
                <w:rFonts w:ascii="Arial" w:cs="Arial" w:eastAsia="Arial" w:hAnsi="Arial"/>
                <w:sz w:val="18"/>
                <w:szCs w:val="18"/>
                <w:color w:val="auto"/>
              </w:rPr>
              <w:t>Julie Richardson</w:t>
            </w:r>
            <w:r>
              <w:rPr>
                <w:rFonts w:ascii="Arial" w:cs="Arial" w:eastAsia="Arial" w:hAnsi="Arial"/>
                <w:sz w:val="15"/>
                <w:szCs w:val="15"/>
                <w:color w:val="auto"/>
              </w:rPr>
              <w:t>(11)</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Shardul Shah</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460" w:type="dxa"/>
            <w:vAlign w:val="bottom"/>
            <w:gridSpan w:val="2"/>
          </w:tcPr>
          <w:p>
            <w:pPr>
              <w:spacing w:after="0" w:line="201" w:lineRule="exact"/>
              <w:rPr>
                <w:sz w:val="20"/>
                <w:szCs w:val="20"/>
                <w:color w:val="auto"/>
              </w:rPr>
            </w:pPr>
            <w:r>
              <w:rPr>
                <w:rFonts w:ascii="Arial" w:cs="Arial" w:eastAsia="Arial" w:hAnsi="Arial"/>
                <w:sz w:val="18"/>
                <w:szCs w:val="18"/>
                <w:color w:val="auto"/>
                <w:w w:val="94"/>
              </w:rPr>
              <w:t>All directors and executive officers as a group (11 persons)</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0"/>
              </w:rPr>
              <w:t>80,310,585</w:t>
            </w:r>
          </w:p>
        </w:tc>
        <w:tc>
          <w:tcPr>
            <w:tcW w:w="22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6"/>
              </w:rPr>
              <w:t>28.3</w:t>
            </w:r>
          </w:p>
        </w:tc>
        <w:tc>
          <w:tcPr>
            <w:tcW w:w="38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w w:val="88"/>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80,310,585</w:t>
            </w:r>
          </w:p>
        </w:tc>
        <w:tc>
          <w:tcPr>
            <w:tcW w:w="24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w w:val="96"/>
              </w:rPr>
              <w:t>28.3</w:t>
            </w:r>
          </w:p>
        </w:tc>
        <w:tc>
          <w:tcPr>
            <w:tcW w:w="260" w:type="dxa"/>
            <w:vAlign w:val="bottom"/>
          </w:tcPr>
          <w:p>
            <w:pPr>
              <w:spacing w:after="0"/>
              <w:rPr>
                <w:sz w:val="17"/>
                <w:szCs w:val="17"/>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00" w:type="dxa"/>
            <w:vAlign w:val="bottom"/>
          </w:tcPr>
          <w:p>
            <w:pPr>
              <w:ind w:left="180"/>
              <w:spacing w:after="0"/>
              <w:rPr>
                <w:sz w:val="20"/>
                <w:szCs w:val="20"/>
                <w:color w:val="auto"/>
              </w:rPr>
            </w:pPr>
            <w:r>
              <w:rPr>
                <w:rFonts w:ascii="Arial" w:cs="Arial" w:eastAsia="Arial" w:hAnsi="Arial"/>
                <w:sz w:val="15"/>
                <w:szCs w:val="15"/>
                <w:color w:val="auto"/>
              </w:rPr>
              <w:t>(12)</w:t>
            </w:r>
          </w:p>
        </w:tc>
        <w:tc>
          <w:tcPr>
            <w:tcW w:w="28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74295</wp:posOffset>
            </wp:positionV>
            <wp:extent cx="7562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130" w:lineRule="exact"/>
        <w:rPr>
          <w:sz w:val="20"/>
          <w:szCs w:val="20"/>
          <w:color w:val="auto"/>
        </w:rPr>
      </w:pPr>
    </w:p>
    <w:p>
      <w:pPr>
        <w:ind w:left="680" w:hanging="425"/>
        <w:spacing w:after="0"/>
        <w:tabs>
          <w:tab w:leader="none" w:pos="6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680" w:hanging="425"/>
        <w:spacing w:after="0" w:line="236" w:lineRule="auto"/>
        <w:tabs>
          <w:tab w:leader="none" w:pos="6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shares of our Class A and Class B common stock, as a single class. The holders of our Class B common</w:t>
      </w:r>
    </w:p>
    <w:p>
      <w:pPr>
        <w:ind w:left="680" w:right="360"/>
        <w:spacing w:after="0" w:line="219" w:lineRule="auto"/>
        <w:rPr>
          <w:sz w:val="20"/>
          <w:szCs w:val="20"/>
          <w:color w:val="auto"/>
        </w:rPr>
      </w:pPr>
      <w:r>
        <w:rPr>
          <w:rFonts w:ascii="Arial" w:cs="Arial" w:eastAsia="Arial" w:hAnsi="Arial"/>
          <w:sz w:val="14"/>
          <w:szCs w:val="14"/>
          <w:color w:val="auto"/>
        </w:rPr>
        <w:t>stock are entitled to ten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p>
      <w:pPr>
        <w:spacing w:after="0" w:line="1" w:lineRule="exact"/>
        <w:rPr>
          <w:sz w:val="20"/>
          <w:szCs w:val="20"/>
          <w:color w:val="auto"/>
        </w:rPr>
      </w:pPr>
    </w:p>
    <w:p>
      <w:pPr>
        <w:ind w:left="680" w:right="40" w:hanging="425"/>
        <w:spacing w:after="0" w:line="239" w:lineRule="auto"/>
        <w:tabs>
          <w:tab w:leader="none" w:pos="6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Consists of (a) 38,915,736 shares of Class B common stock held by Index Ventures VI (Jersey), L.P., (b) 13,096,854 shares of Class B common stock held by Index Ventures Growth III (Jersey), L.P., (c) 785,520 shares of Class B common stock held by Index Ventures VI Parallel Entrepreneur Fund (Jersey), L.P., (d) 199,428 shares of Class B common stock held by Yucca (Jersey) SLP (Index Ventures Growth III co-investment scheme) and (e) 502,539 shares of Class B common stock held by Yucca (Jersey) SLP (Index Ventures co-investment scheme). Index Venture Associates VI Limited is the managing general partner of Index Ventures VI (Jersey), L.P. and Index Ventures VI Parallel Entrepreneur Fund (Jersey), L.P., Index Venture Growth Associates III Limited is the managing general partner of Index Ventures Growth III (Jersey) L.P. which limited partnerships (“the Funds”) together with Yucca (Jersey) SLP are the Index Venture Entities. Yucca (Jersey) SLP is the administrator of the Index co-investment vehicles that are contractually required to mirror the relevant Funds’ investment. David Hall, Phil Balderson, Ian Henderson, Nigel Greenwood and Sinéad Meehan are the members of the board of directors of Index Venture Associates VI Limited and may be deemed to have shared voting, investment and dispositive power with respect to the shares held by this entity. David Hall, Phil Balderson, Ian Henderson, Nigel Greenwood and Sinéad Meehan are the members of the board of directors of Index Venture Growth Associates III Limited and may be deemed to have shared voting, investment and dispositive power with respect to the shares held by this entity. These individuals disclaim beneficial ownership with respect to such shares except to the extent of their pecuniary interest therein. The address of each of these entities is 5th Floor, 44 Esplanade, St Helier, Jersey JE1 3FG, Channel Islands, except for Yucca (Jersey) SLP (Index Ventures co-investment scheme), the address of which is 44 Esplanade, St. Helier, Jersey JE4 9WG.</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6"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80" w:right="80" w:hanging="425"/>
        <w:spacing w:after="0" w:line="223"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40,808,280 shares of Class B common stock held by OpenView Venture Partners III, L.P. and (b) 1,594,596 shares of Class B common stock held by OpenView Affiliates Fund III, L.P. Blake Bartlett, Elizabeth Cain, John Craven, Daniel Demmer, Scott Maxwell, John McCullough, Devon McDonald and Richard Pelletier are members of the investment committee of OpenView Advisors, LLC and may be deemed to have shared voting, investment and dispositive power with respect to the shares held by these entities. The address of each of these entities is 303 Congress Street, Boston, MA 02210.</w:t>
      </w:r>
    </w:p>
    <w:p>
      <w:pPr>
        <w:spacing w:after="0" w:line="2" w:lineRule="exact"/>
        <w:rPr>
          <w:rFonts w:ascii="Arial" w:cs="Arial" w:eastAsia="Arial" w:hAnsi="Arial"/>
          <w:sz w:val="14"/>
          <w:szCs w:val="14"/>
          <w:color w:val="auto"/>
        </w:rPr>
      </w:pPr>
    </w:p>
    <w:p>
      <w:pPr>
        <w:ind w:left="680" w:hanging="425"/>
        <w:spacing w:after="0" w:line="219"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11,333,424 shares of Class B common stock held by ICONIQ Strategic Partners II, L.P., or ICONIQ II, (b) 8,871,768 shares of Class B common stock held by ICONIQ Strategic Partners II-B, L.P., or ICONIQ II-B, (c) 4,120,260 shares of Class B common stock held by ICONIQ Strategic Partners II Co-Invest, L.P., DD Series, or ICONIQ DD, (d) 408,849 shares of Class B common stock held by ICONIQ Strategic Partners III, L.P., or ICONIQ III, (e) 436,857 shares of Class B common stock held by ICONIQ Strategic Partners III-B, L.P., or ICONIQ III-B, (f) 1,890,426 shares of Class B common stock held by ICONIQ Strategic Partners IV, L.P., or ICONIQ IV and (g) 3,084,381 shares of Class B common stock held by ICONIQ Strategic Partners IV-B, L.P., or ICONIQ IV-B. ICONIQ II, ICONIQ II-B, ICONIQ DD, ICONIQ III, ICONIQ III-B, ICONIQ IV and ICONIQ IV-B are the ICONIQ Entities. ICONIQ Strategic Partners II GP, L.P., or ICONIQ GP II, is the general partner of ICONIQ II, ICONIQ II-B and ICONIQ DD. ICONIQ Strategic Partners II TT GP, Ltd., or ICONIQ Parent GP II, is the general partner of ICONIQ GP II. ICONIQ Strategic Partners III GP, L.P., or ICONIQ GP III, is the general partner of ICONIQ III and ICONIQ III-B. ICONIQ Strategic Partners III TT GP, Ltd., or ICONIQ Parent GP III, is the general partner of ICONIQ GP III. ICONIQ Strategic Partners IV GP, L.P., or ICONIQ GP IV, is the general partner of ICONIQ IV and ICONIQ IV-B. ICONIQ Strategic Partners IV TT GP, Ltd., or ICONIQ Parent GP IV, is the general partner of ICONIQ GP IV. Divesh Makan and William Griffith are the sole equity holders and directors of ICONIQ Parent GP II, ICONIQ Parent GP III and ICONIQ Parent GP IV and may be deemed to have shared voting, investment and dispositive power with respect to the shares held by the ICONIQ Entities. The address of each of these entities is 394 Pacific Avenue, 2nd Floor, San Francisco, CA 94111.</w:t>
      </w:r>
    </w:p>
    <w:p>
      <w:pPr>
        <w:spacing w:after="0" w:line="3" w:lineRule="exact"/>
        <w:rPr>
          <w:rFonts w:ascii="Arial" w:cs="Arial" w:eastAsia="Arial" w:hAnsi="Arial"/>
          <w:sz w:val="14"/>
          <w:szCs w:val="14"/>
          <w:color w:val="auto"/>
        </w:rPr>
      </w:pPr>
    </w:p>
    <w:p>
      <w:pPr>
        <w:ind w:left="680" w:right="20" w:hanging="425"/>
        <w:spacing w:after="0" w:line="236" w:lineRule="auto"/>
        <w:tabs>
          <w:tab w:leader="none" w:pos="6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Consists of (a) 19,898,568 shares of Class B common stock held by ru-Net Technology Capital, L.P. and (b) 1,979,592 shares of Class B common stock held by ru-Net Technology Capital AIV, L.P. Ru-Net Technology Partners, LLC, or RTP Ventures, is the managing general partner of ru-Net Technology Capital, L.P. and ru-Net Technology Capital AIV, L.P., which limited partnerships together with RTP Ventures are the Ru-Net Entities. Kirill Sheynkman, Sabri Murat Bicer and Maria Krayukhina are members of RTP Ventures and may be deemed to have shared voting, investment and dispositive power with respect to the shares held by the Ru-Net Entities. This does not reflect the distribution of 18,276,594 shares, 54 shares, 483,759 shares and 1,138,161 shares by ru-Net Technology Capital, L.P. to its limited partners, Enfield Investments Holdings Corp., Maria Krajukhina, Sabri Murat Bicer and Kirill Sheynkman, respectively, on August 8, 2019. The address of each of these entities is 885 Third Ave, 24th floor, NY, NY 10022.</w:t>
      </w:r>
    </w:p>
    <w:p>
      <w:pPr>
        <w:spacing w:after="0" w:line="1" w:lineRule="exact"/>
        <w:rPr>
          <w:rFonts w:ascii="Arial" w:cs="Arial" w:eastAsia="Arial" w:hAnsi="Arial"/>
          <w:sz w:val="13"/>
          <w:szCs w:val="13"/>
          <w:color w:val="auto"/>
        </w:rPr>
      </w:pPr>
    </w:p>
    <w:p>
      <w:pPr>
        <w:ind w:left="680" w:hanging="425"/>
        <w:spacing w:after="0" w:line="219"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13,163,964 shares of Class B common stock held by Mr. Pomel, (b) 4,500,000 shares of Class B common stock held by the Olivier Pomel 2018 GRAT, (c) 600,000 shares of Class B common stock held by the Pomel Descendants’ 2018 Trust, (d) 600,000 shares of Class B common stock held by the Agathe Lê-Quôc 2018 Trust and 600,000 shares of Class B common stock held by the Artémis Lê-Quôc 2018 Trust, in each case, for which Mr. Pomel acts as trustee, (e) 6,817,200 shares of Class B common stock issuable upon the exercise of options, and (f) 13,361,190 shares of Class B common stock over which Mr. Pomel has voting power pursuant to an irrevocable proxy granted by certain of the investors who purchased shares in the third-party tender offer conducted in March 2019. See the section titled “Certain Relationships and Related Party Transactions—Third- Party Tender Offer.”</w:t>
      </w:r>
    </w:p>
    <w:p>
      <w:pPr>
        <w:spacing w:after="0" w:line="1" w:lineRule="exact"/>
        <w:rPr>
          <w:rFonts w:ascii="Arial" w:cs="Arial" w:eastAsia="Arial" w:hAnsi="Arial"/>
          <w:sz w:val="14"/>
          <w:szCs w:val="14"/>
          <w:color w:val="auto"/>
        </w:rPr>
      </w:pPr>
    </w:p>
    <w:p>
      <w:pPr>
        <w:ind w:left="680" w:right="120" w:hanging="425"/>
        <w:spacing w:after="0" w:line="219"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13,558,395 shares of Class B common stock held by the Alexis Lê-Quôc Revocable Trust, (b) 3,505,569 shares of Class B common stock held by the Alexis Lê-Quôc 2016 GRAT, (c) 600,000 shares of Class B common stock held by the Agathe Lê-Quôc 2018 Trust, (d) 600,000 shares of Class B common stock held by the Artémis Lê-Quôc 2018 Trust, (e) 600,000 shares of Class B common stock held by the Pomel Descendants’ 2018 Trust, for which Mr. Lê-Quôc acts as trustee, and (f) 6,217,200 shares of Class B common stock issuable upon the exercise of options.</w:t>
      </w:r>
    </w:p>
    <w:p>
      <w:pPr>
        <w:spacing w:after="0" w:line="1" w:lineRule="exact"/>
        <w:rPr>
          <w:rFonts w:ascii="Arial" w:cs="Arial" w:eastAsia="Arial" w:hAnsi="Arial"/>
          <w:sz w:val="14"/>
          <w:szCs w:val="14"/>
          <w:color w:val="auto"/>
        </w:rPr>
      </w:pPr>
    </w:p>
    <w:p>
      <w:pPr>
        <w:ind w:left="680" w:right="180" w:hanging="425"/>
        <w:spacing w:after="0" w:line="219"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1,181,250 shares of Class B common stock held by Mr. Obstler, (b) 618,750 shares of Class B common stock held by the David Obstler 2019 GRAT and (c) 900,000 shares of Class B common stock issuable upon the exercise of options.</w:t>
      </w:r>
    </w:p>
    <w:p>
      <w:pPr>
        <w:ind w:left="680" w:hanging="425"/>
        <w:spacing w:after="0" w:line="219"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519,996 shares of Class B common stock held by Mr. Kopits and (b) 9,996 shares of Class B common stock issuable upon the exercise of options.</w:t>
      </w:r>
    </w:p>
    <w:p>
      <w:pPr>
        <w:ind w:left="680" w:hanging="425"/>
        <w:spacing w:after="0" w:line="219"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1,099,674 shares of Class B common stock held by Mr. Callahan and (b) 3,972 shares of Class B common stock issuable upon the exercise of options.</w:t>
      </w:r>
    </w:p>
    <w:p>
      <w:pPr>
        <w:ind w:left="680" w:right="340" w:hanging="425"/>
        <w:spacing w:after="0" w:line="219"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671,031 shares of Class B common stock held by Mr. Ittycheria, (b) 1,130,889 shares of Class B common stock held by the Ittycheria Family Trust and (c) 70,974 shares of Class B common stock issuable upon the exercise of options.</w:t>
      </w:r>
    </w:p>
    <w:p>
      <w:pPr>
        <w:ind w:left="680" w:hanging="425"/>
        <w:spacing w:after="0" w:line="219" w:lineRule="auto"/>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150,000 shares of Class B common stock issuable upon the exercise of options held by Ms. Richardson.</w:t>
      </w:r>
    </w:p>
    <w:p>
      <w:pPr>
        <w:ind w:left="680" w:hanging="425"/>
        <w:spacing w:after="0"/>
        <w:tabs>
          <w:tab w:leader="none" w:pos="6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(a) 63,236,046 shares of Class B common stock and (b) 17,074,539 shares of Class B common stock issuable upon the exercise of options.</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240" w:top="456"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CAPITAL STOCK</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left="260" w:right="140" w:firstLine="437"/>
        <w:spacing w:after="0" w:line="254"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189" w:lineRule="exact"/>
        <w:rPr>
          <w:sz w:val="20"/>
          <w:szCs w:val="20"/>
          <w:color w:val="auto"/>
        </w:rPr>
      </w:pPr>
    </w:p>
    <w:p>
      <w:pPr>
        <w:jc w:val="both"/>
        <w:ind w:left="260" w:right="120" w:firstLine="437"/>
        <w:spacing w:after="0" w:line="255" w:lineRule="auto"/>
        <w:rPr>
          <w:sz w:val="20"/>
          <w:szCs w:val="20"/>
          <w:color w:val="auto"/>
        </w:rPr>
      </w:pPr>
      <w:r>
        <w:rPr>
          <w:rFonts w:ascii="Arial" w:cs="Arial" w:eastAsia="Arial" w:hAnsi="Arial"/>
          <w:sz w:val="18"/>
          <w:szCs w:val="18"/>
          <w:color w:val="auto"/>
        </w:rPr>
        <w:t>On the completion of this offering, our amended and restated certificate of incorporation will provide for two classes of common stock: Class A common stock and Class B common stock. In addition, our amended and restated certificate of incorporation that will be in effect on the completion of this offering will authorize shares of undesignated preferred stock, the rights, preferences and privileges of which may be designated from time to time by our board of directors.</w:t>
      </w:r>
    </w:p>
    <w:p>
      <w:pPr>
        <w:spacing w:after="0" w:line="191" w:lineRule="exact"/>
        <w:rPr>
          <w:sz w:val="20"/>
          <w:szCs w:val="20"/>
          <w:color w:val="auto"/>
        </w:rPr>
      </w:pPr>
    </w:p>
    <w:p>
      <w:pPr>
        <w:ind w:left="260" w:right="60" w:firstLine="437"/>
        <w:spacing w:after="0" w:line="271" w:lineRule="auto"/>
        <w:rPr>
          <w:sz w:val="20"/>
          <w:szCs w:val="20"/>
          <w:color w:val="auto"/>
        </w:rPr>
      </w:pPr>
      <w:r>
        <w:rPr>
          <w:rFonts w:ascii="Arial" w:cs="Arial" w:eastAsia="Arial" w:hAnsi="Arial"/>
          <w:sz w:val="18"/>
          <w:szCs w:val="18"/>
          <w:color w:val="auto"/>
        </w:rPr>
        <w:t>Upon the completion of this offering, our authorized capital stock will consist of 2,330,000,000 shares, all with a par value of $0.00001 per share, of which:</w:t>
      </w:r>
    </w:p>
    <w:p>
      <w:pPr>
        <w:spacing w:after="0" w:line="81" w:lineRule="exact"/>
        <w:rPr>
          <w:sz w:val="20"/>
          <w:szCs w:val="20"/>
          <w:color w:val="auto"/>
        </w:rPr>
      </w:pPr>
    </w:p>
    <w:p>
      <w:pPr>
        <w:ind w:left="1220" w:hanging="537"/>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2,000,000,000 shares are designated Class A common stock;</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310,000,000 shares are designated Class B common stock; and</w:t>
      </w:r>
    </w:p>
    <w:p>
      <w:pPr>
        <w:spacing w:after="0" w:line="127" w:lineRule="exact"/>
        <w:rPr>
          <w:rFonts w:ascii="Arial" w:cs="Arial" w:eastAsia="Arial" w:hAnsi="Arial"/>
          <w:sz w:val="18"/>
          <w:szCs w:val="18"/>
          <w:color w:val="auto"/>
        </w:rPr>
      </w:pPr>
    </w:p>
    <w:p>
      <w:pPr>
        <w:ind w:left="1220" w:hanging="537"/>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20,000,000 shares are designated preferred stock.</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2019, we had outstanding:</w:t>
      </w:r>
    </w:p>
    <w:p>
      <w:pPr>
        <w:spacing w:after="0" w:line="128" w:lineRule="exact"/>
        <w:rPr>
          <w:sz w:val="20"/>
          <w:szCs w:val="20"/>
          <w:color w:val="auto"/>
        </w:rPr>
      </w:pPr>
    </w:p>
    <w:p>
      <w:pPr>
        <w:ind w:left="1220" w:hanging="537"/>
        <w:spacing w:after="0"/>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shares of Class A common stock; and</w:t>
      </w:r>
    </w:p>
    <w:p>
      <w:pPr>
        <w:spacing w:after="0" w:line="127" w:lineRule="exact"/>
        <w:rPr>
          <w:rFonts w:ascii="Arial" w:cs="Arial" w:eastAsia="Arial" w:hAnsi="Arial"/>
          <w:sz w:val="18"/>
          <w:szCs w:val="18"/>
          <w:color w:val="auto"/>
        </w:rPr>
      </w:pPr>
    </w:p>
    <w:p>
      <w:pPr>
        <w:ind w:left="1220" w:right="140" w:hanging="537"/>
        <w:spacing w:after="0" w:line="259" w:lineRule="auto"/>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265,834,665 shares of Class B common stock, which assumes the automatic conversion of 179,011,431 outstanding shares of convertible preferred stock into the same number of shares of Class B common stock, which will occur immediately prior to the completion of this offering.</w:t>
      </w:r>
    </w:p>
    <w:p>
      <w:pPr>
        <w:spacing w:after="0" w:line="186" w:lineRule="exact"/>
        <w:rPr>
          <w:sz w:val="20"/>
          <w:szCs w:val="20"/>
          <w:color w:val="auto"/>
        </w:rPr>
      </w:pPr>
    </w:p>
    <w:p>
      <w:pPr>
        <w:ind w:left="260" w:right="680" w:firstLine="437"/>
        <w:spacing w:after="0" w:line="301" w:lineRule="auto"/>
        <w:rPr>
          <w:sz w:val="20"/>
          <w:szCs w:val="20"/>
          <w:color w:val="auto"/>
        </w:rPr>
      </w:pPr>
      <w:r>
        <w:rPr>
          <w:rFonts w:ascii="Arial" w:cs="Arial" w:eastAsia="Arial" w:hAnsi="Arial"/>
          <w:sz w:val="17"/>
          <w:szCs w:val="17"/>
          <w:color w:val="auto"/>
        </w:rPr>
        <w:t>Our outstanding capital stock was held by 1,393 stockholders of record as of June 30, 2019. Our board of directors is authorized, without stockholder approval except as required by the listing standards of Nasdaq, to issue additional shares of our capital stock.</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1" w:lineRule="exact"/>
        <w:rPr>
          <w:sz w:val="20"/>
          <w:szCs w:val="20"/>
          <w:color w:val="auto"/>
        </w:rPr>
      </w:pPr>
    </w:p>
    <w:p>
      <w:pPr>
        <w:ind w:left="260" w:right="140" w:firstLine="437"/>
        <w:spacing w:after="0" w:line="255" w:lineRule="auto"/>
        <w:rPr>
          <w:sz w:val="20"/>
          <w:szCs w:val="20"/>
          <w:color w:val="auto"/>
        </w:rPr>
      </w:pPr>
      <w:r>
        <w:rPr>
          <w:rFonts w:ascii="Arial" w:cs="Arial" w:eastAsia="Arial" w:hAnsi="Arial"/>
          <w:sz w:val="18"/>
          <w:szCs w:val="18"/>
          <w:color w:val="auto"/>
        </w:rPr>
        <w:t>The Class A common stock is entitled to one vote per share on any matter that is submitted to a vote of our stockholders. Holders of our Class B common stock are entitled to ten votes per share on any matter submitted to our stockholders. Holders of shares of Class B common stock and Class A common stock will vote together as a single class on all matters (including the election of directors) submitted to a vote of stockholders, unless otherwise required by Delaware law.</w:t>
      </w:r>
    </w:p>
    <w:p>
      <w:pPr>
        <w:spacing w:after="0" w:line="191" w:lineRule="exact"/>
        <w:rPr>
          <w:sz w:val="20"/>
          <w:szCs w:val="20"/>
          <w:color w:val="auto"/>
        </w:rPr>
      </w:pPr>
    </w:p>
    <w:p>
      <w:pPr>
        <w:ind w:left="260" w:firstLine="437"/>
        <w:spacing w:after="0" w:line="272" w:lineRule="auto"/>
        <w:rPr>
          <w:sz w:val="20"/>
          <w:szCs w:val="20"/>
          <w:color w:val="auto"/>
        </w:rPr>
      </w:pPr>
      <w:r>
        <w:rPr>
          <w:rFonts w:ascii="Arial" w:cs="Arial" w:eastAsia="Arial" w:hAnsi="Arial"/>
          <w:sz w:val="17"/>
          <w:szCs w:val="17"/>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As a result, in these limited instances, the holders of a majority of the Class A common stock could defeat any amendment to our amended and restated certificate of incorporation. For</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240" w:top="456"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0"/>
        <w:spacing w:after="0" w:line="255" w:lineRule="auto"/>
        <w:rPr>
          <w:sz w:val="20"/>
          <w:szCs w:val="20"/>
          <w:color w:val="auto"/>
        </w:rPr>
      </w:pPr>
      <w:r>
        <w:rPr>
          <w:rFonts w:ascii="Arial" w:cs="Arial" w:eastAsia="Arial" w:hAnsi="Arial"/>
          <w:sz w:val="18"/>
          <w:szCs w:val="18"/>
          <w:color w:val="auto"/>
        </w:rPr>
        <w:t>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191" w:lineRule="exact"/>
        <w:rPr>
          <w:sz w:val="20"/>
          <w:szCs w:val="20"/>
          <w:color w:val="auto"/>
        </w:rPr>
      </w:pPr>
    </w:p>
    <w:p>
      <w:pPr>
        <w:ind w:left="260" w:right="440" w:firstLine="437"/>
        <w:spacing w:after="0" w:line="271"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Economic Rights</w:t>
      </w:r>
    </w:p>
    <w:p>
      <w:pPr>
        <w:spacing w:after="0" w:line="221" w:lineRule="exact"/>
        <w:rPr>
          <w:sz w:val="20"/>
          <w:szCs w:val="20"/>
          <w:color w:val="auto"/>
        </w:rPr>
      </w:pPr>
    </w:p>
    <w:p>
      <w:pPr>
        <w:jc w:val="both"/>
        <w:ind w:left="260" w:right="80" w:firstLine="437"/>
        <w:spacing w:after="0" w:line="282" w:lineRule="auto"/>
        <w:rPr>
          <w:sz w:val="20"/>
          <w:szCs w:val="20"/>
          <w:color w:val="auto"/>
        </w:rPr>
      </w:pPr>
      <w:r>
        <w:rPr>
          <w:rFonts w:ascii="Arial" w:cs="Arial" w:eastAsia="Arial" w:hAnsi="Arial"/>
          <w:sz w:val="17"/>
          <w:szCs w:val="17"/>
          <w:color w:val="auto"/>
        </w:rPr>
        <w:t>Except as otherwise will be expressly provided in our amended and restated certificate of incorporation that will be in effect on the completion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221" w:lineRule="exact"/>
        <w:rPr>
          <w:sz w:val="20"/>
          <w:szCs w:val="20"/>
          <w:color w:val="auto"/>
        </w:rPr>
      </w:pPr>
    </w:p>
    <w:p>
      <w:pPr>
        <w:ind w:left="260" w:right="40" w:firstLine="437"/>
        <w:spacing w:after="0" w:line="25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1" w:lineRule="exact"/>
        <w:rPr>
          <w:sz w:val="20"/>
          <w:szCs w:val="20"/>
          <w:color w:val="auto"/>
        </w:rPr>
      </w:pPr>
    </w:p>
    <w:p>
      <w:pPr>
        <w:jc w:val="both"/>
        <w:ind w:left="260" w:right="20" w:firstLine="437"/>
        <w:spacing w:after="0" w:line="255" w:lineRule="auto"/>
        <w:rPr>
          <w:sz w:val="20"/>
          <w:szCs w:val="20"/>
          <w:color w:val="auto"/>
        </w:rPr>
      </w:pPr>
      <w:r>
        <w:rPr>
          <w:rFonts w:ascii="Arial" w:cs="Arial" w:eastAsia="Arial" w:hAnsi="Arial"/>
          <w:sz w:val="18"/>
          <w:szCs w:val="18"/>
          <w:color w:val="auto"/>
        </w:rPr>
        <w:t>On our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of Control Transactions</w:t>
      </w:r>
    </w:p>
    <w:p>
      <w:pPr>
        <w:spacing w:after="0" w:line="221" w:lineRule="exact"/>
        <w:rPr>
          <w:sz w:val="20"/>
          <w:szCs w:val="20"/>
          <w:color w:val="auto"/>
        </w:rPr>
      </w:pPr>
    </w:p>
    <w:p>
      <w:pPr>
        <w:ind w:left="260" w:firstLine="437"/>
        <w:spacing w:after="0" w:line="284" w:lineRule="auto"/>
        <w:rPr>
          <w:sz w:val="20"/>
          <w:szCs w:val="20"/>
          <w:color w:val="auto"/>
        </w:rPr>
      </w:pPr>
      <w:r>
        <w:rPr>
          <w:rFonts w:ascii="Arial" w:cs="Arial" w:eastAsia="Arial" w:hAnsi="Arial"/>
          <w:sz w:val="16"/>
          <w:szCs w:val="16"/>
          <w:color w:val="auto"/>
        </w:rPr>
        <w:t>The holders of Class A common stock and Class B 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consolidation, merger or reorganization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consolidation, merger or reorganization under any employment, consulting, severance or other compensatory arrangement will be disregarded for the purposes of determining whether holders of common stock are treated equally and identically.</w:t>
      </w:r>
    </w:p>
    <w:p>
      <w:pPr>
        <w:spacing w:after="0" w:line="10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240" w:top="456"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221" w:lineRule="exact"/>
        <w:rPr>
          <w:sz w:val="20"/>
          <w:szCs w:val="20"/>
          <w:color w:val="auto"/>
        </w:rPr>
      </w:pPr>
    </w:p>
    <w:p>
      <w:pPr>
        <w:ind w:left="260" w:right="220" w:firstLine="437"/>
        <w:spacing w:after="0" w:line="271"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classes will be subdivided or combined in the same proportion and manner.</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1" w:lineRule="exact"/>
        <w:rPr>
          <w:sz w:val="20"/>
          <w:szCs w:val="20"/>
          <w:color w:val="auto"/>
        </w:rPr>
      </w:pPr>
    </w:p>
    <w:p>
      <w:pPr>
        <w:ind w:left="260" w:right="400" w:firstLine="437"/>
        <w:spacing w:after="0" w:line="301" w:lineRule="auto"/>
        <w:rPr>
          <w:sz w:val="20"/>
          <w:szCs w:val="20"/>
          <w:color w:val="auto"/>
        </w:rPr>
      </w:pPr>
      <w:r>
        <w:rPr>
          <w:rFonts w:ascii="Arial" w:cs="Arial" w:eastAsia="Arial" w:hAnsi="Arial"/>
          <w:sz w:val="17"/>
          <w:szCs w:val="17"/>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Conversion</w:t>
      </w:r>
    </w:p>
    <w:p>
      <w:pPr>
        <w:spacing w:after="0" w:line="221" w:lineRule="exact"/>
        <w:rPr>
          <w:sz w:val="20"/>
          <w:szCs w:val="20"/>
          <w:color w:val="auto"/>
        </w:rPr>
      </w:pPr>
    </w:p>
    <w:p>
      <w:pPr>
        <w:ind w:left="260" w:right="100" w:firstLine="437"/>
        <w:spacing w:after="0" w:line="272"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After the completion of this offering, on any transfer of shares of Class B common stock, whether or not for value, each such transferred share will automatically convert into one share of Class A common stock, except for certain transfers described in our amended and restated certificate of incorporation that will be in effect on the completion of this offering, including transfers for tax and estate planning purposes, so long as the transferring holder continues to hold sole voting and dispositive power with respect to the shares transferred.</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Any holder’s shares of Class B common stock will convert automatically into Class A common stock, on a one-to-one basis, upon the following:</w:t>
      </w:r>
    </w:p>
    <w:p>
      <w:pPr>
        <w:spacing w:after="0" w:line="43" w:lineRule="exact"/>
        <w:rPr>
          <w:sz w:val="20"/>
          <w:szCs w:val="20"/>
          <w:color w:val="auto"/>
        </w:rPr>
      </w:pPr>
    </w:p>
    <w:p>
      <w:pPr>
        <w:ind w:left="260" w:right="480" w:hanging="5"/>
        <w:spacing w:after="0" w:line="256" w:lineRule="auto"/>
        <w:tabs>
          <w:tab w:leader="none" w:pos="5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sale or transfer of such share of Class B common stock; (2) the death of the Class B common stockholder; and (3) on the final conversion date, defined as the tenth anniversary of this offering.</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Once transferred and converted into Class A common stock, the Class B common may not be reissued.</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1" w:lineRule="exact"/>
        <w:rPr>
          <w:sz w:val="20"/>
          <w:szCs w:val="20"/>
          <w:color w:val="auto"/>
        </w:rPr>
      </w:pPr>
    </w:p>
    <w:p>
      <w:pPr>
        <w:ind w:left="260" w:right="140" w:firstLine="437"/>
        <w:spacing w:after="0" w:line="271"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under this offering will be fully paid and non-assessable.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Preferred Stock</w:t>
      </w:r>
    </w:p>
    <w:p>
      <w:pPr>
        <w:spacing w:after="0" w:line="225" w:lineRule="exact"/>
        <w:rPr>
          <w:sz w:val="20"/>
          <w:szCs w:val="20"/>
          <w:color w:val="auto"/>
        </w:rPr>
      </w:pPr>
    </w:p>
    <w:p>
      <w:pPr>
        <w:ind w:left="260" w:right="320" w:firstLine="437"/>
        <w:spacing w:after="0" w:line="301" w:lineRule="auto"/>
        <w:rPr>
          <w:sz w:val="20"/>
          <w:szCs w:val="20"/>
          <w:color w:val="auto"/>
        </w:rPr>
      </w:pPr>
      <w:r>
        <w:rPr>
          <w:rFonts w:ascii="Arial" w:cs="Arial" w:eastAsia="Arial" w:hAnsi="Arial"/>
          <w:sz w:val="17"/>
          <w:szCs w:val="17"/>
          <w:color w:val="auto"/>
        </w:rPr>
        <w:t>As of June 30, 2019, there were 179,011,431 shares of our convertible preferred stock outstanding. Immediately prior to the completion of this offering, each outstanding share of our convertible preferred stock will convert into one share of our Class B common stock.</w:t>
      </w:r>
    </w:p>
    <w:p>
      <w:pPr>
        <w:spacing w:after="0" w:line="152"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On the completion of this offering and under our amended and restated certificate of incorporation that will be in effect on the completion of this offering,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240" w:top="456"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Options</w:t>
      </w:r>
    </w:p>
    <w:p>
      <w:pPr>
        <w:spacing w:after="0" w:line="225" w:lineRule="exact"/>
        <w:rPr>
          <w:sz w:val="20"/>
          <w:szCs w:val="20"/>
          <w:color w:val="auto"/>
        </w:rPr>
      </w:pPr>
    </w:p>
    <w:p>
      <w:pPr>
        <w:ind w:left="260" w:right="160" w:firstLine="437"/>
        <w:spacing w:after="0" w:line="271" w:lineRule="auto"/>
        <w:rPr>
          <w:sz w:val="20"/>
          <w:szCs w:val="20"/>
          <w:color w:val="auto"/>
        </w:rPr>
      </w:pPr>
      <w:r>
        <w:rPr>
          <w:rFonts w:ascii="Arial" w:cs="Arial" w:eastAsia="Arial" w:hAnsi="Arial"/>
          <w:sz w:val="18"/>
          <w:szCs w:val="18"/>
          <w:color w:val="auto"/>
        </w:rPr>
        <w:t>As of June 30, 2019, we had outstanding options to purchase 34,618,503 shares of our common stock, with a weighted-average exercise price of approximately $1.53 per share, under our 2012 Plan.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221" w:lineRule="exact"/>
        <w:rPr>
          <w:sz w:val="20"/>
          <w:szCs w:val="20"/>
          <w:color w:val="auto"/>
        </w:rPr>
      </w:pPr>
    </w:p>
    <w:p>
      <w:pPr>
        <w:ind w:left="260" w:right="60" w:firstLine="437"/>
        <w:spacing w:after="0" w:line="269" w:lineRule="auto"/>
        <w:rPr>
          <w:sz w:val="20"/>
          <w:szCs w:val="20"/>
          <w:color w:val="auto"/>
        </w:rPr>
      </w:pPr>
      <w:r>
        <w:rPr>
          <w:rFonts w:ascii="Arial" w:cs="Arial" w:eastAsia="Arial" w:hAnsi="Arial"/>
          <w:sz w:val="17"/>
          <w:szCs w:val="17"/>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December 2015. In addition, certain holders of our convertible preferred stock have registration rights under the purchase agreement under which they originally purchased their convertible preferred stock.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79" w:lineRule="exact"/>
        <w:rPr>
          <w:sz w:val="20"/>
          <w:szCs w:val="20"/>
          <w:color w:val="auto"/>
        </w:rPr>
      </w:pPr>
    </w:p>
    <w:p>
      <w:pPr>
        <w:ind w:left="260" w:right="60" w:firstLine="437"/>
        <w:spacing w:after="0" w:line="293"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is a part,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1" w:lineRule="exact"/>
        <w:rPr>
          <w:sz w:val="20"/>
          <w:szCs w:val="20"/>
          <w:color w:val="auto"/>
        </w:rPr>
      </w:pPr>
    </w:p>
    <w:p>
      <w:pPr>
        <w:ind w:left="260" w:right="20" w:firstLine="437"/>
        <w:spacing w:after="0" w:line="255" w:lineRule="auto"/>
        <w:rPr>
          <w:sz w:val="20"/>
          <w:szCs w:val="20"/>
          <w:color w:val="auto"/>
        </w:rPr>
      </w:pPr>
      <w:r>
        <w:rPr>
          <w:rFonts w:ascii="Arial" w:cs="Arial" w:eastAsia="Arial" w:hAnsi="Arial"/>
          <w:sz w:val="18"/>
          <w:szCs w:val="18"/>
          <w:color w:val="auto"/>
        </w:rPr>
        <w:t>The holders of an aggregate of 196,312,314 shares of our Class B common stock will be entitled to certain demand registration rights. At any time beginning 180 days after the completion of this offering, the holders of a majority of these shares may, on not more than one occasion, request that we register all or a portion of their shares. Such request for registration must cover shares with an anticipated aggregate offering price, net of underwriting discounts and commissions, of at least $10.0 million.</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1" w:lineRule="exact"/>
        <w:rPr>
          <w:sz w:val="20"/>
          <w:szCs w:val="20"/>
          <w:color w:val="auto"/>
        </w:rPr>
      </w:pPr>
    </w:p>
    <w:p>
      <w:pPr>
        <w:ind w:left="260" w:right="20" w:firstLine="437"/>
        <w:spacing w:after="0" w:line="268" w:lineRule="auto"/>
        <w:rPr>
          <w:sz w:val="20"/>
          <w:szCs w:val="20"/>
          <w:color w:val="auto"/>
        </w:rPr>
      </w:pPr>
      <w:r>
        <w:rPr>
          <w:rFonts w:ascii="Arial" w:cs="Arial" w:eastAsia="Arial" w:hAnsi="Arial"/>
          <w:sz w:val="17"/>
          <w:szCs w:val="17"/>
          <w:color w:val="auto"/>
        </w:rPr>
        <w:t>In connection with this offering, the holders of an aggregate of 196,312,314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1" w:lineRule="exact"/>
        <w:rPr>
          <w:sz w:val="20"/>
          <w:szCs w:val="20"/>
          <w:color w:val="auto"/>
        </w:rPr>
      </w:pPr>
    </w:p>
    <w:p>
      <w:pPr>
        <w:ind w:left="260" w:firstLine="437"/>
        <w:spacing w:after="0" w:line="271" w:lineRule="auto"/>
        <w:rPr>
          <w:sz w:val="20"/>
          <w:szCs w:val="20"/>
          <w:color w:val="auto"/>
        </w:rPr>
      </w:pPr>
      <w:r>
        <w:rPr>
          <w:rFonts w:ascii="Arial" w:cs="Arial" w:eastAsia="Arial" w:hAnsi="Arial"/>
          <w:sz w:val="18"/>
          <w:szCs w:val="18"/>
          <w:color w:val="auto"/>
        </w:rPr>
        <w:t>The holders of an aggregate of 196,312,314 shares of Class B common stock will be entitled to certain Form S-3 registration rights. The holders of at least 20% of these shares can make a request that we register their shares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60"/>
          </w:cols>
          <w:pgMar w:left="24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260" w:right="400"/>
        <w:spacing w:after="0" w:line="335" w:lineRule="auto"/>
        <w:rPr>
          <w:sz w:val="20"/>
          <w:szCs w:val="20"/>
          <w:color w:val="auto"/>
        </w:rPr>
      </w:pPr>
      <w:r>
        <w:rPr>
          <w:rFonts w:ascii="Arial" w:cs="Arial" w:eastAsia="Arial" w:hAnsi="Arial"/>
          <w:sz w:val="16"/>
          <w:szCs w:val="16"/>
          <w:color w:val="auto"/>
        </w:rPr>
        <w:t>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Anti-Takeover Provisions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on the Completion of This Offering</w:t>
      </w:r>
    </w:p>
    <w:p>
      <w:pPr>
        <w:spacing w:after="0" w:line="221" w:lineRule="exact"/>
        <w:rPr>
          <w:sz w:val="20"/>
          <w:szCs w:val="20"/>
          <w:color w:val="auto"/>
        </w:rPr>
      </w:pPr>
    </w:p>
    <w:p>
      <w:pPr>
        <w:ind w:left="260" w:right="80" w:firstLine="437"/>
        <w:spacing w:after="0" w:line="269" w:lineRule="auto"/>
        <w:rPr>
          <w:sz w:val="20"/>
          <w:szCs w:val="20"/>
          <w:color w:val="auto"/>
        </w:rPr>
      </w:pPr>
      <w:r>
        <w:rPr>
          <w:rFonts w:ascii="Arial" w:cs="Arial" w:eastAsia="Arial" w:hAnsi="Arial"/>
          <w:sz w:val="17"/>
          <w:szCs w:val="17"/>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and our chief executive officer.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179" w:lineRule="exact"/>
        <w:rPr>
          <w:sz w:val="20"/>
          <w:szCs w:val="20"/>
          <w:color w:val="auto"/>
        </w:rPr>
      </w:pPr>
    </w:p>
    <w:p>
      <w:pPr>
        <w:ind w:left="260" w:right="400" w:firstLine="437"/>
        <w:spacing w:after="0" w:line="307" w:lineRule="auto"/>
        <w:rPr>
          <w:sz w:val="20"/>
          <w:szCs w:val="20"/>
          <w:color w:val="auto"/>
        </w:rPr>
      </w:pPr>
      <w:r>
        <w:rPr>
          <w:rFonts w:ascii="Arial" w:cs="Arial" w:eastAsia="Arial" w:hAnsi="Arial"/>
          <w:sz w:val="16"/>
          <w:szCs w:val="16"/>
          <w:color w:val="auto"/>
        </w:rPr>
        <w:t>Our amended and restated certificate of incorporation to be effective on the completion of this offering will further provide for a dual-class common stock structure, which provides our current investors, officers and employees with control over all matters requiring stockholder approval, including the election of directors and significant corporate transactions, such as a merger or other sale of our company or its assets.</w:t>
      </w:r>
    </w:p>
    <w:p>
      <w:pPr>
        <w:spacing w:after="0" w:line="150" w:lineRule="exact"/>
        <w:rPr>
          <w:sz w:val="20"/>
          <w:szCs w:val="20"/>
          <w:color w:val="auto"/>
        </w:rPr>
      </w:pPr>
    </w:p>
    <w:p>
      <w:pPr>
        <w:ind w:left="260" w:right="120" w:firstLine="437"/>
        <w:spacing w:after="0" w:line="271" w:lineRule="auto"/>
        <w:rPr>
          <w:sz w:val="20"/>
          <w:szCs w:val="20"/>
          <w:color w:val="auto"/>
        </w:rPr>
      </w:pPr>
      <w:r>
        <w:rPr>
          <w:rFonts w:ascii="Arial" w:cs="Arial" w:eastAsia="Arial" w:hAnsi="Arial"/>
          <w:sz w:val="18"/>
          <w:szCs w:val="18"/>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75" w:lineRule="exact"/>
        <w:rPr>
          <w:sz w:val="20"/>
          <w:szCs w:val="20"/>
          <w:color w:val="auto"/>
        </w:rPr>
      </w:pPr>
    </w:p>
    <w:p>
      <w:pPr>
        <w:ind w:left="260" w:right="140" w:firstLine="437"/>
        <w:spacing w:after="0" w:line="297" w:lineRule="auto"/>
        <w:rPr>
          <w:sz w:val="20"/>
          <w:szCs w:val="20"/>
          <w:color w:val="auto"/>
        </w:rPr>
      </w:pPr>
      <w:r>
        <w:rPr>
          <w:rFonts w:ascii="Arial" w:cs="Arial" w:eastAsia="Arial" w:hAnsi="Arial"/>
          <w:sz w:val="16"/>
          <w:szCs w:val="16"/>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60" w:lineRule="exact"/>
        <w:rPr>
          <w:sz w:val="20"/>
          <w:szCs w:val="20"/>
          <w:color w:val="auto"/>
        </w:rPr>
      </w:pPr>
    </w:p>
    <w:p>
      <w:pPr>
        <w:ind w:left="260" w:firstLine="437"/>
        <w:spacing w:after="0" w:line="251" w:lineRule="auto"/>
        <w:rPr>
          <w:sz w:val="20"/>
          <w:szCs w:val="20"/>
          <w:color w:val="auto"/>
        </w:rPr>
      </w:pPr>
      <w:r>
        <w:rPr>
          <w:rFonts w:ascii="Arial" w:cs="Arial" w:eastAsia="Arial" w:hAnsi="Arial"/>
          <w:sz w:val="18"/>
          <w:szCs w:val="18"/>
          <w:color w:val="auto"/>
        </w:rPr>
        <w:t>These provisions, including the dual-class structure of our common stock, are intended to preserve our existing control structure after completion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1" w:lineRule="exact"/>
        <w:rPr>
          <w:sz w:val="20"/>
          <w:szCs w:val="20"/>
          <w:color w:val="auto"/>
        </w:rPr>
      </w:pPr>
    </w:p>
    <w:p>
      <w:pPr>
        <w:ind w:left="260" w:right="100" w:firstLine="437"/>
        <w:spacing w:after="0" w:line="255"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60"/>
          </w:cols>
          <w:pgMar w:left="24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1" w:lineRule="exact"/>
        <w:rPr>
          <w:sz w:val="20"/>
          <w:szCs w:val="20"/>
          <w:color w:val="auto"/>
        </w:rPr>
      </w:pPr>
    </w:p>
    <w:p>
      <w:pPr>
        <w:ind w:left="260" w:right="40" w:firstLine="437"/>
        <w:spacing w:after="0" w:line="283" w:lineRule="auto"/>
        <w:rPr>
          <w:sz w:val="20"/>
          <w:szCs w:val="20"/>
          <w:color w:val="auto"/>
        </w:rPr>
      </w:pPr>
      <w:r>
        <w:rPr>
          <w:rFonts w:ascii="Arial" w:cs="Arial" w:eastAsia="Arial" w:hAnsi="Arial"/>
          <w:sz w:val="16"/>
          <w:szCs w:val="16"/>
          <w:color w:val="auto"/>
        </w:rPr>
        <w:t>Our amended and restated certificate of incorporation to be effective on the completion of this offering will provide that the Court of Chancery of the State of Delaware be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w:t>
      </w:r>
    </w:p>
    <w:p>
      <w:pPr>
        <w:spacing w:after="0" w:line="1" w:lineRule="exact"/>
        <w:rPr>
          <w:sz w:val="20"/>
          <w:szCs w:val="20"/>
          <w:color w:val="auto"/>
        </w:rPr>
      </w:pPr>
    </w:p>
    <w:p>
      <w:pPr>
        <w:ind w:left="260" w:hanging="5"/>
        <w:spacing w:after="0" w:line="268" w:lineRule="auto"/>
        <w:tabs>
          <w:tab w:leader="none" w:pos="513"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Exchange Listing</w:t>
      </w:r>
    </w:p>
    <w:p>
      <w:pPr>
        <w:spacing w:after="0" w:line="225" w:lineRule="exact"/>
        <w:rPr>
          <w:sz w:val="20"/>
          <w:szCs w:val="20"/>
          <w:color w:val="auto"/>
        </w:rPr>
      </w:pPr>
    </w:p>
    <w:p>
      <w:pPr>
        <w:ind w:left="260" w:right="240" w:firstLine="437"/>
        <w:spacing w:after="0" w:line="271" w:lineRule="auto"/>
        <w:rPr>
          <w:sz w:val="20"/>
          <w:szCs w:val="20"/>
          <w:color w:val="auto"/>
        </w:rPr>
      </w:pPr>
      <w:r>
        <w:rPr>
          <w:rFonts w:ascii="Arial" w:cs="Arial" w:eastAsia="Arial" w:hAnsi="Arial"/>
          <w:sz w:val="18"/>
          <w:szCs w:val="18"/>
          <w:color w:val="auto"/>
        </w:rPr>
        <w:t>Our Class A common stock is currently not listed on any securities exchange. We have applied to have our Class A common stock approved for listing on Nasdaq under the symbol “DDOG.”</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Transfer Agent and Registrar</w:t>
      </w:r>
    </w:p>
    <w:p>
      <w:pPr>
        <w:spacing w:after="0" w:line="225" w:lineRule="exact"/>
        <w:rPr>
          <w:sz w:val="20"/>
          <w:szCs w:val="20"/>
          <w:color w:val="auto"/>
        </w:rPr>
      </w:pPr>
    </w:p>
    <w:p>
      <w:pPr>
        <w:ind w:left="260" w:right="280" w:firstLine="437"/>
        <w:spacing w:after="0" w:line="259" w:lineRule="auto"/>
        <w:rPr>
          <w:sz w:val="20"/>
          <w:szCs w:val="20"/>
          <w:color w:val="auto"/>
        </w:rPr>
      </w:pPr>
      <w:r>
        <w:rPr>
          <w:rFonts w:ascii="Arial" w:cs="Arial" w:eastAsia="Arial" w:hAnsi="Arial"/>
          <w:sz w:val="18"/>
          <w:szCs w:val="18"/>
          <w:color w:val="auto"/>
        </w:rPr>
        <w:t>On the completion of this offering, the transfer agent and registrar for our Class A common stock and Class B common stock will be American Stock Transfer &amp; Trust Company, LLC. The transfer agent’s address is 6201 15th Avenue, Brooklyn, New York 11219 and the telephone number is (800) 937-5449.</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24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jc w:val="both"/>
        <w:ind w:left="260" w:right="40" w:firstLine="437"/>
        <w:spacing w:after="0" w:line="307"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including shares issued on the exercise of outstanding options, in the public market after this offering, or the possibility of these sales or issuances occurring, could adversely affect the prevailing market price for our Class A common stock or impair our ability to raise equity capital.</w:t>
      </w:r>
    </w:p>
    <w:p>
      <w:pPr>
        <w:spacing w:after="0" w:line="150" w:lineRule="exact"/>
        <w:rPr>
          <w:sz w:val="20"/>
          <w:szCs w:val="20"/>
          <w:color w:val="auto"/>
        </w:rPr>
      </w:pPr>
    </w:p>
    <w:p>
      <w:pPr>
        <w:ind w:left="260" w:right="20" w:firstLine="437"/>
        <w:spacing w:after="0" w:line="252" w:lineRule="auto"/>
        <w:rPr>
          <w:sz w:val="20"/>
          <w:szCs w:val="20"/>
          <w:color w:val="auto"/>
        </w:rPr>
      </w:pPr>
      <w:r>
        <w:rPr>
          <w:rFonts w:ascii="Arial" w:cs="Arial" w:eastAsia="Arial" w:hAnsi="Arial"/>
          <w:sz w:val="18"/>
          <w:szCs w:val="18"/>
          <w:color w:val="auto"/>
        </w:rPr>
        <w:t>Based on our shares outstanding as of June 30, 2019, on the completion of this offering, a total of 24,000,000 shares of Class A common stock and 265,834,665 shares of Class B common stock will be outstanding, assuming the automatic conversion of all of our outstanding shares of convertible preferred stock into an aggregate of 179,011,431 shares of Class B common stock. Of these shares, all of the Class A common stock sold in this offering by us, plus any shares sold by us on exercise of the underwriters’ option to purchase additional Class A common stock, will be freely tradable in the public market without restriction or further registration under the Securities Act, unless these shares are held by “affiliates,” as that term is defined in Rule 144 under the Securities Act.</w:t>
      </w:r>
    </w:p>
    <w:p>
      <w:pPr>
        <w:spacing w:after="0" w:line="195" w:lineRule="exact"/>
        <w:rPr>
          <w:sz w:val="20"/>
          <w:szCs w:val="20"/>
          <w:color w:val="auto"/>
        </w:rPr>
      </w:pPr>
    </w:p>
    <w:p>
      <w:pPr>
        <w:ind w:left="260" w:right="40" w:firstLine="437"/>
        <w:spacing w:after="0" w:line="254" w:lineRule="auto"/>
        <w:rPr>
          <w:sz w:val="20"/>
          <w:szCs w:val="20"/>
          <w:color w:val="auto"/>
        </w:rPr>
      </w:pPr>
      <w:r>
        <w:rPr>
          <w:rFonts w:ascii="Arial" w:cs="Arial" w:eastAsia="Arial" w:hAnsi="Arial"/>
          <w:sz w:val="18"/>
          <w:szCs w:val="18"/>
          <w:color w:val="auto"/>
        </w:rPr>
        <w:t>The remaining shares of Class A common stock and Class B common stock will be, and shares of Class A common stock or Class B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9" w:lineRule="exact"/>
        <w:rPr>
          <w:sz w:val="20"/>
          <w:szCs w:val="20"/>
          <w:color w:val="auto"/>
        </w:rPr>
      </w:pPr>
    </w:p>
    <w:p>
      <w:pPr>
        <w:ind w:left="260" w:right="100" w:firstLine="437"/>
        <w:spacing w:after="0" w:line="301" w:lineRule="auto"/>
        <w:rPr>
          <w:sz w:val="20"/>
          <w:szCs w:val="20"/>
          <w:color w:val="auto"/>
        </w:rPr>
      </w:pPr>
      <w:r>
        <w:rPr>
          <w:rFonts w:ascii="Arial" w:cs="Arial" w:eastAsia="Arial" w:hAnsi="Arial"/>
          <w:sz w:val="17"/>
          <w:szCs w:val="17"/>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Rule 144</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of Section 13 or</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Section 15(d) of the Exchange Act for at least 90 days, an eligible stockholder is entitled to sell such shares without complying with the manner of sale,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volume limitation or notice provisions of Rule 144, subject to compliance with the public information requirements of Rule 144. To be an eligible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stockholder under Rule 144, such stockholder must not be deemed to have been one of our affiliates for purposes of the Securities Act at any time during</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90 days preceding a sale and must have beneficially owned the shares proposed to be sold for at least six months, including the holding period of any</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prior owner other than our affiliates. If such a person has beneficially owned the shares proposed to be sold for at least one year, including the holding</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period of any prior owner other than our affiliates, then such person is entitled to sell such shares without complying with any of the requirements of</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Rule 144, subject to the expiration of the lock-up agreements described below.</w:t>
      </w:r>
    </w:p>
    <w:p>
      <w:pPr>
        <w:spacing w:after="0" w:line="208" w:lineRule="exact"/>
        <w:rPr>
          <w:sz w:val="20"/>
          <w:szCs w:val="20"/>
          <w:color w:val="auto"/>
        </w:rPr>
      </w:pPr>
    </w:p>
    <w:p>
      <w:pPr>
        <w:ind w:left="260" w:right="360" w:firstLine="437"/>
        <w:spacing w:after="0" w:line="259"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93" w:lineRule="exact"/>
        <w:rPr>
          <w:sz w:val="20"/>
          <w:szCs w:val="20"/>
          <w:color w:val="auto"/>
        </w:rPr>
      </w:pPr>
    </w:p>
    <w:p>
      <w:pPr>
        <w:ind w:left="1220" w:right="500" w:hanging="537"/>
        <w:spacing w:after="0" w:line="335" w:lineRule="auto"/>
        <w:tabs>
          <w:tab w:leader="none" w:pos="1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1% of the number of Class A common stock then outstanding, which will equal approximately 240,000 shares immediately after this offering, assuming no exercise of the underwriters’ option to purchase additional shares of Class A common stock from us; or</w:t>
      </w:r>
    </w:p>
    <w:p>
      <w:pPr>
        <w:spacing w:after="0" w:line="34" w:lineRule="exact"/>
        <w:rPr>
          <w:rFonts w:ascii="Arial" w:cs="Arial" w:eastAsia="Arial" w:hAnsi="Arial"/>
          <w:sz w:val="16"/>
          <w:szCs w:val="16"/>
          <w:color w:val="auto"/>
        </w:rPr>
      </w:pPr>
    </w:p>
    <w:p>
      <w:pPr>
        <w:ind w:left="1220" w:right="480" w:hanging="537"/>
        <w:spacing w:after="0" w:line="271" w:lineRule="auto"/>
        <w:tabs>
          <w:tab w:leader="none" w:pos="1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Nasdaq during the four calendar weeks preceding the filing of a notice on Form 144 with respect to such sale.</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6"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60" w:firstLine="437"/>
        <w:spacing w:after="0" w:line="271"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Rule 701</w:t>
      </w:r>
    </w:p>
    <w:p>
      <w:pPr>
        <w:spacing w:after="0" w:line="225" w:lineRule="exact"/>
        <w:rPr>
          <w:sz w:val="20"/>
          <w:szCs w:val="20"/>
          <w:color w:val="auto"/>
        </w:rPr>
      </w:pPr>
    </w:p>
    <w:p>
      <w:pPr>
        <w:ind w:left="260" w:right="20" w:firstLine="437"/>
        <w:spacing w:after="0" w:line="252"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Form S-8 Registration Statements</w:t>
      </w:r>
    </w:p>
    <w:p>
      <w:pPr>
        <w:spacing w:after="0" w:line="225" w:lineRule="exact"/>
        <w:rPr>
          <w:sz w:val="20"/>
          <w:szCs w:val="20"/>
          <w:color w:val="auto"/>
        </w:rPr>
      </w:pPr>
    </w:p>
    <w:p>
      <w:pPr>
        <w:ind w:left="260" w:right="80" w:firstLine="437"/>
        <w:spacing w:after="0" w:line="297" w:lineRule="auto"/>
        <w:rPr>
          <w:sz w:val="20"/>
          <w:szCs w:val="20"/>
          <w:color w:val="auto"/>
        </w:rPr>
      </w:pPr>
      <w:r>
        <w:rPr>
          <w:rFonts w:ascii="Arial" w:cs="Arial" w:eastAsia="Arial" w:hAnsi="Arial"/>
          <w:sz w:val="16"/>
          <w:szCs w:val="16"/>
          <w:color w:val="auto"/>
        </w:rPr>
        <w:t>We intend to file one or more registration statements on Form S-8 under the Securities Act with the SEC to register the offer and sale of shares of our Class A common stock and Class B common stock that are issuable under our 2012 Plan, 2019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Lock-up Arrangements</w:t>
      </w:r>
    </w:p>
    <w:p>
      <w:pPr>
        <w:spacing w:after="0" w:line="225" w:lineRule="exact"/>
        <w:rPr>
          <w:sz w:val="20"/>
          <w:szCs w:val="20"/>
          <w:color w:val="auto"/>
        </w:rPr>
      </w:pPr>
    </w:p>
    <w:p>
      <w:pPr>
        <w:ind w:left="260" w:firstLine="437"/>
        <w:spacing w:after="0" w:line="281" w:lineRule="auto"/>
        <w:rPr>
          <w:sz w:val="20"/>
          <w:szCs w:val="20"/>
          <w:color w:val="auto"/>
        </w:rPr>
      </w:pPr>
      <w:r>
        <w:rPr>
          <w:rFonts w:ascii="Arial" w:cs="Arial" w:eastAsia="Arial" w:hAnsi="Arial"/>
          <w:sz w:val="16"/>
          <w:szCs w:val="16"/>
          <w:color w:val="auto"/>
        </w:rPr>
        <w:t>We, and all of our directors, executive officers and the holders of substantially all of our common stock and securities exercisable for or convertible into our Class A common stock and Class B common stock outstanding immediately on the completion of this offering, have agreed, or will agree, with the underwriters that, until 180 days after the date of this prospectus (the “restricted period”), subject to certain exceptions, we and they will not, without the prior written consent of Morgan Stanley &amp; Co. LLC and either of Goldman Sachs &amp; Co. LLC or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provided that such restricted period will end with respect to 20% of the shares subject to each lock-up agreement if at any time beginning 90 days after the date of this prospectus (1) we have filed at least one quarterly report on Form 10-Q or annual report on Form 10-K and</w:t>
      </w:r>
    </w:p>
    <w:p>
      <w:pPr>
        <w:spacing w:after="0" w:line="2" w:lineRule="exact"/>
        <w:rPr>
          <w:sz w:val="20"/>
          <w:szCs w:val="20"/>
          <w:color w:val="auto"/>
        </w:rPr>
      </w:pPr>
    </w:p>
    <w:p>
      <w:pPr>
        <w:ind w:left="260" w:hanging="5"/>
        <w:spacing w:after="0" w:line="284" w:lineRule="auto"/>
        <w:tabs>
          <w:tab w:leader="none" w:pos="51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last reported closing price of our Class A common stock is at least 33% greater than the initial public offering price of our Class A common stock for 10 out of any 15 consecutive trading days, including the last day,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180 days after the date of this prospectus occurs within five trading days of a trading black-out period, the restricted period will expire on the sixth trading day immediately preceding the commencement of the trading black-out period. These agreements are described in the section titled “Underwriting.” Morgan Stanley &amp; Co. LLC and either of Goldman Sachs &amp; Co. LLC or J.P. Morgan Securities LLC may release any of the securities subject to these lock-up agreements at any time, subject to applicable notice requirements.</w:t>
      </w:r>
    </w:p>
    <w:p>
      <w:pPr>
        <w:spacing w:after="0" w:line="172" w:lineRule="exact"/>
        <w:rPr>
          <w:sz w:val="20"/>
          <w:szCs w:val="20"/>
          <w:color w:val="auto"/>
        </w:rPr>
      </w:pPr>
    </w:p>
    <w:p>
      <w:pPr>
        <w:ind w:left="260" w:right="20" w:firstLine="437"/>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240" w:top="456"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260" w:firstLine="437"/>
        <w:spacing w:after="0" w:line="275" w:lineRule="auto"/>
        <w:rPr>
          <w:sz w:val="20"/>
          <w:szCs w:val="20"/>
          <w:color w:val="auto"/>
        </w:rPr>
      </w:pPr>
      <w:r>
        <w:rPr>
          <w:rFonts w:ascii="Arial" w:cs="Arial" w:eastAsia="Arial" w:hAnsi="Arial"/>
          <w:sz w:val="17"/>
          <w:szCs w:val="17"/>
          <w:color w:val="auto"/>
        </w:rPr>
        <w:t>Upon the completion of this offering, the holders of 196,312,314 shares of our Class B common stock or their transferees,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10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20"/>
          </w:cols>
          <w:pgMar w:left="240" w:top="456" w:right="7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CLASS A COMMON STOCK</w:t>
      </w:r>
    </w:p>
    <w:p>
      <w:pPr>
        <w:spacing w:after="0" w:line="208" w:lineRule="exact"/>
        <w:rPr>
          <w:sz w:val="20"/>
          <w:szCs w:val="20"/>
          <w:color w:val="auto"/>
        </w:rPr>
      </w:pPr>
    </w:p>
    <w:p>
      <w:pPr>
        <w:ind w:left="260" w:firstLine="437"/>
        <w:spacing w:after="0" w:line="282" w:lineRule="auto"/>
        <w:rPr>
          <w:sz w:val="20"/>
          <w:szCs w:val="20"/>
          <w:color w:val="auto"/>
        </w:rPr>
      </w:pPr>
      <w:r>
        <w:rPr>
          <w:rFonts w:ascii="Arial" w:cs="Arial" w:eastAsia="Arial" w:hAnsi="Arial"/>
          <w:sz w:val="16"/>
          <w:szCs w:val="16"/>
          <w:color w:val="auto"/>
        </w:rPr>
        <w:t>The following summary describes the material U.S. federal income tax consequences of the acquisition, ownership, and disposition of our common stock acquired in this offering by Non-U.S. Holders (as defined below). This discussion is not a complete analysis of all potential U.S. federal income tax consequences relating thereto, and does not deal with foreign, state, and local consequences that may be relevant to Non-U.S. Holders in light of their particular circumstances, nor does it address U.S. federal tax consequences (such as gift and estate taxes) other than income taxes. Special rules different from those described below may apply to certain Non-U.S. Holders that are subject to special treatment under the Internal Revenue Code of 1986, as amended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persons subject to the alternative minimum tax or federal Medicare contribution tax on net investment income, persons subject to special tax accounting rules under Section 451(b) of the Code,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72" w:lineRule="exact"/>
        <w:rPr>
          <w:sz w:val="20"/>
          <w:szCs w:val="20"/>
          <w:color w:val="auto"/>
        </w:rPr>
      </w:pPr>
    </w:p>
    <w:p>
      <w:pPr>
        <w:ind w:left="260" w:right="120" w:firstLine="437"/>
        <w:spacing w:after="0" w:line="255" w:lineRule="auto"/>
        <w:rPr>
          <w:sz w:val="20"/>
          <w:szCs w:val="20"/>
          <w:color w:val="auto"/>
        </w:rPr>
      </w:pPr>
      <w:r>
        <w:rPr>
          <w:rFonts w:ascii="Arial" w:cs="Arial" w:eastAsia="Arial" w:hAnsi="Arial"/>
          <w:sz w:val="18"/>
          <w:szCs w:val="18"/>
          <w:color w:val="auto"/>
        </w:rPr>
        <w:t>This discussion is for informational purposes only and is not tax advice. Persons considering the purchase of our common stock pursuant to this offering should consult their own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91" w:lineRule="exact"/>
        <w:rPr>
          <w:sz w:val="20"/>
          <w:szCs w:val="20"/>
          <w:color w:val="auto"/>
        </w:rPr>
      </w:pPr>
    </w:p>
    <w:p>
      <w:pPr>
        <w:ind w:left="260" w:right="380" w:firstLine="437"/>
        <w:spacing w:after="0" w:line="255" w:lineRule="auto"/>
        <w:rPr>
          <w:sz w:val="20"/>
          <w:szCs w:val="20"/>
          <w:color w:val="auto"/>
        </w:rPr>
      </w:pPr>
      <w:r>
        <w:rPr>
          <w:rFonts w:ascii="Arial" w:cs="Arial" w:eastAsia="Arial" w:hAnsi="Arial"/>
          <w:sz w:val="18"/>
          <w:szCs w:val="18"/>
          <w:color w:val="auto"/>
        </w:rPr>
        <w:t>For the purposes of this discussion, a “Non-U.S. Holder” is, for U.S. federal income tax purposes,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any of the following:</w:t>
      </w:r>
    </w:p>
    <w:p>
      <w:pPr>
        <w:spacing w:after="0" w:line="97" w:lineRule="exact"/>
        <w:rPr>
          <w:sz w:val="20"/>
          <w:szCs w:val="20"/>
          <w:color w:val="auto"/>
        </w:rPr>
      </w:pPr>
    </w:p>
    <w:p>
      <w:pPr>
        <w:ind w:left="1220" w:hanging="537"/>
        <w:spacing w:after="0"/>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7" w:lineRule="exact"/>
        <w:rPr>
          <w:rFonts w:ascii="Arial" w:cs="Arial" w:eastAsia="Arial" w:hAnsi="Arial"/>
          <w:sz w:val="18"/>
          <w:szCs w:val="18"/>
          <w:color w:val="auto"/>
        </w:rPr>
      </w:pPr>
    </w:p>
    <w:p>
      <w:pPr>
        <w:ind w:left="1220" w:right="160" w:hanging="537"/>
        <w:spacing w:after="0" w:line="271" w:lineRule="auto"/>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81" w:lineRule="exact"/>
        <w:rPr>
          <w:rFonts w:ascii="Arial" w:cs="Arial" w:eastAsia="Arial" w:hAnsi="Arial"/>
          <w:sz w:val="18"/>
          <w:szCs w:val="18"/>
          <w:color w:val="auto"/>
        </w:rPr>
      </w:pPr>
    </w:p>
    <w:p>
      <w:pPr>
        <w:ind w:left="1220" w:hanging="537"/>
        <w:spacing w:after="0"/>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27" w:lineRule="exact"/>
        <w:rPr>
          <w:rFonts w:ascii="Arial" w:cs="Arial" w:eastAsia="Arial" w:hAnsi="Arial"/>
          <w:sz w:val="18"/>
          <w:szCs w:val="18"/>
          <w:color w:val="auto"/>
        </w:rPr>
      </w:pPr>
    </w:p>
    <w:p>
      <w:pPr>
        <w:ind w:left="1220" w:hanging="537"/>
        <w:spacing w:after="0" w:line="259" w:lineRule="auto"/>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80"/>
          </w:cols>
          <w:pgMar w:left="240" w:top="456"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Distributions</w:t>
      </w:r>
    </w:p>
    <w:p>
      <w:pPr>
        <w:spacing w:after="0" w:line="225" w:lineRule="exact"/>
        <w:rPr>
          <w:sz w:val="20"/>
          <w:szCs w:val="20"/>
          <w:color w:val="auto"/>
        </w:rPr>
      </w:pPr>
    </w:p>
    <w:p>
      <w:pPr>
        <w:ind w:left="260" w:firstLine="437"/>
        <w:spacing w:after="0" w:line="283" w:lineRule="auto"/>
        <w:rPr>
          <w:sz w:val="20"/>
          <w:szCs w:val="20"/>
          <w:color w:val="auto"/>
        </w:rPr>
      </w:pPr>
      <w:r>
        <w:rPr>
          <w:rFonts w:ascii="Arial" w:cs="Arial" w:eastAsia="Arial" w:hAnsi="Arial"/>
          <w:sz w:val="16"/>
          <w:szCs w:val="16"/>
          <w:color w:val="auto"/>
        </w:rPr>
        <w:t>Distributions, if any, made on our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177" w:lineRule="exact"/>
        <w:rPr>
          <w:sz w:val="20"/>
          <w:szCs w:val="20"/>
          <w:color w:val="auto"/>
        </w:rPr>
      </w:pPr>
    </w:p>
    <w:p>
      <w:pPr>
        <w:ind w:left="260" w:right="40" w:firstLine="437"/>
        <w:spacing w:after="0" w:line="251"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residents.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93" w:lineRule="exact"/>
        <w:rPr>
          <w:sz w:val="20"/>
          <w:szCs w:val="20"/>
          <w:color w:val="auto"/>
        </w:rPr>
      </w:pPr>
    </w:p>
    <w:p>
      <w:pPr>
        <w:ind w:left="260" w:right="560" w:firstLine="437"/>
        <w:spacing w:after="0" w:line="307" w:lineRule="auto"/>
        <w:rPr>
          <w:sz w:val="20"/>
          <w:szCs w:val="20"/>
          <w:color w:val="auto"/>
        </w:rPr>
      </w:pPr>
      <w:r>
        <w:rPr>
          <w:rFonts w:ascii="Arial" w:cs="Arial" w:eastAsia="Arial" w:hAnsi="Arial"/>
          <w:sz w:val="16"/>
          <w:szCs w:val="16"/>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5" w:lineRule="exact"/>
        <w:rPr>
          <w:sz w:val="20"/>
          <w:szCs w:val="20"/>
          <w:color w:val="auto"/>
        </w:rPr>
      </w:pPr>
    </w:p>
    <w:p>
      <w:pPr>
        <w:ind w:left="260" w:right="60" w:firstLine="437"/>
        <w:spacing w:after="0" w:line="285" w:lineRule="auto"/>
        <w:rPr>
          <w:sz w:val="20"/>
          <w:szCs w:val="20"/>
          <w:color w:val="auto"/>
        </w:rPr>
      </w:pPr>
      <w:r>
        <w:rPr>
          <w:rFonts w:ascii="Arial" w:cs="Arial" w:eastAsia="Arial" w:hAnsi="Arial"/>
          <w:sz w:val="16"/>
          <w:szCs w:val="16"/>
          <w:color w:val="auto"/>
        </w:rPr>
        <w:t>Subject to the discussions below regarding backup withholding and foreign accounts, a Non-U.S. Holder generally will not be subject to U.S. federal income tax with respect to gain realized on a sale or other disposition of our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general, we would be a United States real property holding corporation if our interests in U.S. real estate comprise (by fair market value) at least half of our business assets. We believe that we have not been and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60"/>
          </w:cols>
          <w:pgMar w:left="240" w:top="456"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hanging="5"/>
        <w:spacing w:after="0" w:line="290" w:lineRule="auto"/>
        <w:tabs>
          <w:tab w:leader="none" w:pos="51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Non-U.S. Holder owned, directly, indirectly and constructively, no more than 5% of our common stock at all times within the shorter of (i) the five-year period preceding the disposition or (ii) the holder’s holding period and (2) our common stock is regularly traded on an established securities market. There can be no assurance that our common stock will continue to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65" w:lineRule="exact"/>
        <w:rPr>
          <w:sz w:val="20"/>
          <w:szCs w:val="20"/>
          <w:color w:val="auto"/>
        </w:rPr>
      </w:pPr>
    </w:p>
    <w:p>
      <w:pPr>
        <w:ind w:left="260" w:right="60" w:firstLine="437"/>
        <w:spacing w:after="0" w:line="252" w:lineRule="auto"/>
        <w:rPr>
          <w:sz w:val="20"/>
          <w:szCs w:val="20"/>
          <w:color w:val="auto"/>
        </w:rPr>
      </w:pPr>
      <w:r>
        <w:rPr>
          <w:rFonts w:ascii="Arial" w:cs="Arial" w:eastAsia="Arial" w:hAnsi="Arial"/>
          <w:sz w:val="18"/>
          <w:szCs w:val="18"/>
          <w:color w:val="auto"/>
        </w:rPr>
        <w:t>If you are a Non-U.S. Holder described in (a) above, you will be required to pay tax on the net gain derived from the sale at regular U.S. federal income tax rates, and corporate Non-U.S. Holders described in (a) above may be subject to the additional branch profits tax at a 30% rate or such lower rate as may be specified by an applicable income tax treaty. Gain described in (b) above will be subject to U.S. federal income tax at a flat 30% rate or such lower rate as may be specified by an applicable income tax treaty, which gain may be offset by certain U.S.-source capital losses (even though you are not considered a resident of the United States), provided that the Non-U.S. Holder has timely filed U.S. federal income tax returns with respect to such losses.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225" w:lineRule="exact"/>
        <w:rPr>
          <w:sz w:val="20"/>
          <w:szCs w:val="20"/>
          <w:color w:val="auto"/>
        </w:rPr>
      </w:pPr>
    </w:p>
    <w:p>
      <w:pPr>
        <w:ind w:left="260" w:right="20" w:firstLine="437"/>
        <w:spacing w:after="0" w:line="255" w:lineRule="auto"/>
        <w:rPr>
          <w:sz w:val="20"/>
          <w:szCs w:val="20"/>
          <w:color w:val="auto"/>
        </w:rPr>
      </w:pPr>
      <w:r>
        <w:rPr>
          <w:rFonts w:ascii="Arial" w:cs="Arial" w:eastAsia="Arial" w:hAnsi="Arial"/>
          <w:sz w:val="18"/>
          <w:szCs w:val="18"/>
          <w:color w:val="auto"/>
        </w:rPr>
        <w:t>Generally, we must report information to the IRS with respect to any dividends we pay on our common stock (even if the payments are exempt from withholding),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91" w:lineRule="exact"/>
        <w:rPr>
          <w:sz w:val="20"/>
          <w:szCs w:val="20"/>
          <w:color w:val="auto"/>
        </w:rPr>
      </w:pPr>
    </w:p>
    <w:p>
      <w:pPr>
        <w:ind w:left="260" w:right="240" w:firstLine="437"/>
        <w:spacing w:after="0" w:line="255"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91" w:lineRule="exact"/>
        <w:rPr>
          <w:sz w:val="20"/>
          <w:szCs w:val="20"/>
          <w:color w:val="auto"/>
        </w:rPr>
      </w:pPr>
    </w:p>
    <w:p>
      <w:pPr>
        <w:ind w:left="260" w:firstLine="437"/>
        <w:spacing w:after="0" w:line="268" w:lineRule="auto"/>
        <w:rPr>
          <w:sz w:val="20"/>
          <w:szCs w:val="20"/>
          <w:color w:val="auto"/>
        </w:rPr>
      </w:pPr>
      <w:r>
        <w:rPr>
          <w:rFonts w:ascii="Arial" w:cs="Arial" w:eastAsia="Arial" w:hAnsi="Arial"/>
          <w:sz w:val="17"/>
          <w:szCs w:val="17"/>
          <w:color w:val="auto"/>
        </w:rPr>
        <w:t>U.S. information reporting and backup withholding requirements generally will apply to the proceeds of a disposition of our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1" w:lineRule="exact"/>
        <w:rPr>
          <w:sz w:val="20"/>
          <w:szCs w:val="20"/>
          <w:color w:val="auto"/>
        </w:rPr>
      </w:pPr>
    </w:p>
    <w:p>
      <w:pPr>
        <w:ind w:left="260" w:firstLine="437"/>
        <w:spacing w:after="0" w:line="27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Accounts</w:t>
      </w:r>
    </w:p>
    <w:p>
      <w:pPr>
        <w:spacing w:after="0" w:line="225" w:lineRule="exact"/>
        <w:rPr>
          <w:sz w:val="20"/>
          <w:szCs w:val="20"/>
          <w:color w:val="auto"/>
        </w:rPr>
      </w:pPr>
    </w:p>
    <w:p>
      <w:pPr>
        <w:ind w:left="260" w:right="80" w:firstLine="437"/>
        <w:spacing w:after="0" w:line="259"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including dividends paid on, and the gross proceeds of a disposition of, our common stock paid to a foreign financial institution (as specifically defined by applicable rules) unless</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240" w:top="456"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68" w:lineRule="auto"/>
        <w:rPr>
          <w:sz w:val="20"/>
          <w:szCs w:val="20"/>
          <w:color w:val="auto"/>
        </w:rPr>
      </w:pPr>
      <w:r>
        <w:rPr>
          <w:rFonts w:ascii="Arial" w:cs="Arial" w:eastAsia="Arial" w:hAnsi="Arial"/>
          <w:sz w:val="17"/>
          <w:szCs w:val="17"/>
          <w:color w:val="auto"/>
        </w:rPr>
        <w:t>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including dividends paid on, and the gross proceeds of a disposition of, our common stock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81" w:lineRule="exact"/>
        <w:rPr>
          <w:sz w:val="20"/>
          <w:szCs w:val="20"/>
          <w:color w:val="auto"/>
        </w:rPr>
      </w:pPr>
    </w:p>
    <w:p>
      <w:pPr>
        <w:ind w:left="260" w:right="240" w:firstLine="437"/>
        <w:spacing w:after="0" w:line="297" w:lineRule="auto"/>
        <w:rPr>
          <w:sz w:val="20"/>
          <w:szCs w:val="20"/>
          <w:color w:val="auto"/>
        </w:rPr>
      </w:pPr>
      <w:r>
        <w:rPr>
          <w:rFonts w:ascii="Arial" w:cs="Arial" w:eastAsia="Arial" w:hAnsi="Arial"/>
          <w:sz w:val="16"/>
          <w:szCs w:val="16"/>
          <w:color w:val="auto"/>
        </w:rPr>
        <w:t>The U.S. Treasury Department recently released proposed regulations which, if finalized in their present form, would eliminate the federal withholding tax of 30% applicable to the gross proceeds of a disposition of our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common stock.</w:t>
      </w:r>
    </w:p>
    <w:p>
      <w:pPr>
        <w:spacing w:after="0" w:line="156" w:lineRule="exact"/>
        <w:rPr>
          <w:sz w:val="20"/>
          <w:szCs w:val="20"/>
          <w:color w:val="auto"/>
        </w:rPr>
      </w:pPr>
    </w:p>
    <w:p>
      <w:pPr>
        <w:jc w:val="both"/>
        <w:ind w:left="260" w:right="20" w:firstLine="437"/>
        <w:spacing w:after="0" w:line="262"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240" w:top="456"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jc w:val="both"/>
        <w:ind w:left="260" w:right="160" w:firstLine="437"/>
        <w:spacing w:after="0" w:line="282"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and J.P. Morgan Securities LLC are acting as representatives, have severally agreed to purchase, and we have agreed to sell to them, severally, the number of shares indicated below:</w:t>
      </w:r>
    </w:p>
    <w:p>
      <w:pPr>
        <w:spacing w:after="0" w:line="186"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3300" w:type="dxa"/>
            <w:vAlign w:val="bottom"/>
            <w:gridSpan w:val="2"/>
          </w:tcPr>
          <w:p>
            <w:pPr>
              <w:ind w:left="2940"/>
              <w:spacing w:after="0"/>
              <w:rPr>
                <w:sz w:val="20"/>
                <w:szCs w:val="20"/>
                <w:color w:val="auto"/>
              </w:rPr>
            </w:pPr>
            <w:r>
              <w:rPr>
                <w:rFonts w:ascii="Arial" w:cs="Arial" w:eastAsia="Arial" w:hAnsi="Arial"/>
                <w:sz w:val="14"/>
                <w:szCs w:val="14"/>
                <w:b w:val="1"/>
                <w:bCs w:val="1"/>
                <w:color w:val="auto"/>
                <w:w w:val="89"/>
              </w:rPr>
              <w:t>Name</w:t>
            </w:r>
          </w:p>
        </w:tc>
        <w:tc>
          <w:tcPr>
            <w:tcW w:w="3080" w:type="dxa"/>
            <w:vAlign w:val="bottom"/>
          </w:tcPr>
          <w:p>
            <w:pPr>
              <w:spacing w:after="0"/>
              <w:rPr>
                <w:sz w:val="16"/>
                <w:szCs w:val="16"/>
                <w:color w:val="auto"/>
              </w:rPr>
            </w:pPr>
          </w:p>
        </w:tc>
        <w:tc>
          <w:tcPr>
            <w:tcW w:w="182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 of Shares</w:t>
            </w:r>
          </w:p>
        </w:tc>
      </w:tr>
      <w:tr>
        <w:trPr>
          <w:trHeight w:val="201"/>
        </w:trPr>
        <w:tc>
          <w:tcPr>
            <w:tcW w:w="29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Morgan Stanley &amp; Co. LLC</w:t>
            </w:r>
          </w:p>
        </w:tc>
        <w:tc>
          <w:tcPr>
            <w:tcW w:w="360" w:type="dxa"/>
            <w:vAlign w:val="bottom"/>
            <w:tcBorders>
              <w:top w:val="single" w:sz="8" w:color="auto"/>
            </w:tcBorders>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4"/>
        </w:trPr>
        <w:tc>
          <w:tcPr>
            <w:tcW w:w="33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330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330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3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330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3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3300" w:type="dxa"/>
            <w:vAlign w:val="bottom"/>
            <w:gridSpan w:val="2"/>
          </w:tcPr>
          <w:p>
            <w:pPr>
              <w:spacing w:after="0"/>
              <w:rPr>
                <w:sz w:val="20"/>
                <w:szCs w:val="20"/>
                <w:color w:val="auto"/>
              </w:rPr>
            </w:pPr>
            <w:r>
              <w:rPr>
                <w:rFonts w:ascii="Arial" w:cs="Arial" w:eastAsia="Arial" w:hAnsi="Arial"/>
                <w:sz w:val="18"/>
                <w:szCs w:val="18"/>
                <w:color w:val="auto"/>
                <w:w w:val="99"/>
              </w:rPr>
              <w:t>Stifel, Nicolaus &amp; Company, Incorporated</w:t>
            </w: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30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1"/>
        </w:trPr>
        <w:tc>
          <w:tcPr>
            <w:tcW w:w="3300" w:type="dxa"/>
            <w:vAlign w:val="bottom"/>
            <w:gridSpan w:val="2"/>
          </w:tcPr>
          <w:p>
            <w:pPr>
              <w:spacing w:after="0"/>
              <w:rPr>
                <w:sz w:val="20"/>
                <w:szCs w:val="20"/>
                <w:color w:val="auto"/>
              </w:rPr>
            </w:pPr>
            <w:r>
              <w:rPr>
                <w:rFonts w:ascii="Arial" w:cs="Arial" w:eastAsia="Arial" w:hAnsi="Arial"/>
                <w:sz w:val="18"/>
                <w:szCs w:val="18"/>
                <w:color w:val="auto"/>
              </w:rPr>
              <w:t>Needham &amp; Company, LLC</w:t>
            </w:r>
          </w:p>
        </w:tc>
        <w:tc>
          <w:tcPr>
            <w:tcW w:w="308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3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80" w:type="dxa"/>
            <w:vAlign w:val="bottom"/>
            <w:shd w:val="clear" w:color="auto" w:fill="CCEEFF"/>
          </w:tcPr>
          <w:p>
            <w:pPr>
              <w:spacing w:after="0"/>
              <w:rPr>
                <w:sz w:val="18"/>
                <w:szCs w:val="18"/>
                <w:color w:val="auto"/>
              </w:rPr>
            </w:pPr>
          </w:p>
        </w:tc>
      </w:tr>
      <w:tr>
        <w:trPr>
          <w:trHeight w:val="20"/>
        </w:trPr>
        <w:tc>
          <w:tcPr>
            <w:tcW w:w="2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firstLine="437"/>
        <w:spacing w:after="0" w:line="270"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79" w:lineRule="exact"/>
        <w:rPr>
          <w:sz w:val="20"/>
          <w:szCs w:val="20"/>
          <w:color w:val="auto"/>
        </w:rPr>
      </w:pPr>
    </w:p>
    <w:p>
      <w:pPr>
        <w:ind w:left="260" w:right="140" w:firstLine="437"/>
        <w:spacing w:after="0" w:line="255"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91" w:lineRule="exact"/>
        <w:rPr>
          <w:sz w:val="20"/>
          <w:szCs w:val="20"/>
          <w:color w:val="auto"/>
        </w:rPr>
      </w:pPr>
    </w:p>
    <w:p>
      <w:pPr>
        <w:ind w:left="260" w:right="60" w:firstLine="437"/>
        <w:spacing w:after="0" w:line="338" w:lineRule="auto"/>
        <w:rPr>
          <w:sz w:val="20"/>
          <w:szCs w:val="20"/>
          <w:color w:val="auto"/>
        </w:rPr>
      </w:pPr>
      <w:r>
        <w:rPr>
          <w:rFonts w:ascii="Arial" w:cs="Arial" w:eastAsia="Arial" w:hAnsi="Arial"/>
          <w:sz w:val="14"/>
          <w:szCs w:val="14"/>
          <w:color w:val="auto"/>
        </w:rPr>
        <w:t>We have granted to the underwriters an option, exercisable for 30 days from the date of this prospectus, to purchase up to 3,600,000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38" w:lineRule="exact"/>
        <w:rPr>
          <w:sz w:val="20"/>
          <w:szCs w:val="20"/>
          <w:color w:val="auto"/>
        </w:rPr>
      </w:pPr>
    </w:p>
    <w:p>
      <w:pPr>
        <w:jc w:val="both"/>
        <w:ind w:left="260" w:right="40" w:firstLine="437"/>
        <w:spacing w:after="0" w:line="259"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3,600,000 shares of Class A common stock.</w:t>
      </w:r>
    </w:p>
    <w:p>
      <w:pPr>
        <w:spacing w:after="0" w:line="205"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0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Per</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47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jc w:val="right"/>
              <w:ind w:right="190"/>
              <w:spacing w:after="0" w:line="118" w:lineRule="exact"/>
              <w:rPr>
                <w:sz w:val="20"/>
                <w:szCs w:val="20"/>
                <w:color w:val="auto"/>
              </w:rPr>
            </w:pPr>
            <w:r>
              <w:rPr>
                <w:rFonts w:ascii="Arial" w:cs="Arial" w:eastAsia="Arial" w:hAnsi="Arial"/>
                <w:sz w:val="13"/>
                <w:szCs w:val="13"/>
                <w:b w:val="1"/>
                <w:bCs w:val="1"/>
                <w:color w:val="auto"/>
              </w:rPr>
              <w:t>No</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00" w:type="dxa"/>
            <w:vAlign w:val="bottom"/>
          </w:tcPr>
          <w:p>
            <w:pPr>
              <w:jc w:val="right"/>
              <w:ind w:right="103"/>
              <w:spacing w:after="0"/>
              <w:rPr>
                <w:sz w:val="20"/>
                <w:szCs w:val="20"/>
                <w:color w:val="auto"/>
              </w:rPr>
            </w:pPr>
            <w:r>
              <w:rPr>
                <w:rFonts w:ascii="Arial" w:cs="Arial" w:eastAsia="Arial" w:hAnsi="Arial"/>
                <w:sz w:val="14"/>
                <w:szCs w:val="14"/>
                <w:b w:val="1"/>
                <w:bCs w:val="1"/>
                <w:color w:val="auto"/>
              </w:rPr>
              <w:t>Share</w:t>
            </w:r>
          </w:p>
        </w:tc>
        <w:tc>
          <w:tcPr>
            <w:tcW w:w="360" w:type="dxa"/>
            <w:vAlign w:val="bottom"/>
          </w:tcPr>
          <w:p>
            <w:pPr>
              <w:spacing w:after="0"/>
              <w:rPr>
                <w:sz w:val="14"/>
                <w:szCs w:val="14"/>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07"/>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4040" w:type="dxa"/>
            <w:vAlign w:val="bottom"/>
            <w:gridSpan w:val="2"/>
          </w:tcPr>
          <w:p>
            <w:pPr>
              <w:jc w:val="right"/>
              <w:ind w:right="52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404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4720" w:type="dxa"/>
            <w:vAlign w:val="bottom"/>
          </w:tcPr>
          <w:p>
            <w:pPr>
              <w:spacing w:after="0"/>
              <w:rPr>
                <w:sz w:val="24"/>
                <w:szCs w:val="24"/>
                <w:color w:val="auto"/>
              </w:rPr>
            </w:pPr>
          </w:p>
        </w:tc>
        <w:tc>
          <w:tcPr>
            <w:tcW w:w="3340" w:type="dxa"/>
            <w:vAlign w:val="bottom"/>
          </w:tcPr>
          <w:p>
            <w:pPr>
              <w:jc w:val="right"/>
              <w:ind w:right="2391"/>
              <w:spacing w:after="0"/>
              <w:rPr>
                <w:sz w:val="20"/>
                <w:szCs w:val="20"/>
                <w:color w:val="auto"/>
              </w:rPr>
            </w:pPr>
            <w:r>
              <w:rPr>
                <w:rFonts w:ascii="Arial" w:cs="Arial" w:eastAsia="Arial" w:hAnsi="Arial"/>
                <w:sz w:val="18"/>
                <w:szCs w:val="18"/>
                <w:color w:val="auto"/>
              </w:rPr>
              <w:t>141</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260" w:right="340" w:firstLine="437"/>
        <w:spacing w:after="0" w:line="259"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$4.0 million. We have agreed to reimburse the underwriters for expenses relating to clearance of this offering with the Financial Industry Regulatory Authority up to $40,000 and expenses incurred in connection with the directed share program.</w:t>
      </w:r>
    </w:p>
    <w:p>
      <w:pPr>
        <w:spacing w:after="0" w:line="186" w:lineRule="exact"/>
        <w:rPr>
          <w:sz w:val="20"/>
          <w:szCs w:val="20"/>
          <w:color w:val="auto"/>
        </w:rPr>
      </w:pPr>
    </w:p>
    <w:p>
      <w:pPr>
        <w:ind w:left="260" w:right="220" w:firstLine="437"/>
        <w:spacing w:after="0" w:line="271"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have applied to have our Class A common stock approved for listing on the Nasdaq Global Select Market under the symbol “DDOG.”</w:t>
      </w:r>
    </w:p>
    <w:p>
      <w:pPr>
        <w:spacing w:after="0" w:line="233" w:lineRule="exact"/>
        <w:rPr>
          <w:sz w:val="20"/>
          <w:szCs w:val="20"/>
          <w:color w:val="auto"/>
        </w:rPr>
      </w:pPr>
    </w:p>
    <w:p>
      <w:pPr>
        <w:ind w:left="260" w:firstLine="437"/>
        <w:spacing w:after="0" w:line="282" w:lineRule="auto"/>
        <w:rPr>
          <w:sz w:val="20"/>
          <w:szCs w:val="20"/>
          <w:color w:val="auto"/>
        </w:rPr>
      </w:pPr>
      <w:r>
        <w:rPr>
          <w:rFonts w:ascii="Arial" w:cs="Arial" w:eastAsia="Arial" w:hAnsi="Arial"/>
          <w:sz w:val="17"/>
          <w:szCs w:val="17"/>
          <w:color w:val="auto"/>
        </w:rPr>
        <w:t>We and all directors and officers and the holders of all of our outstanding stock and stock options have agreed that, without the prior written consent of Morgan Stanley &amp; Co. LLC and either of Goldman Sachs &amp; Co. LLC or J.P. Morgan Securities LLC, on behalf of the underwriters, subject to certain exceptions, we and they will not, during the period ending 180 days after the date of this prospectus (the “restricted period”):</w:t>
      </w:r>
    </w:p>
    <w:p>
      <w:pPr>
        <w:spacing w:after="0" w:line="74" w:lineRule="exact"/>
        <w:rPr>
          <w:sz w:val="20"/>
          <w:szCs w:val="20"/>
          <w:color w:val="auto"/>
        </w:rPr>
      </w:pPr>
    </w:p>
    <w:p>
      <w:pPr>
        <w:ind w:left="1220" w:right="60" w:hanging="537"/>
        <w:spacing w:after="0" w:line="259"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92" w:lineRule="exact"/>
        <w:rPr>
          <w:rFonts w:ascii="Arial" w:cs="Arial" w:eastAsia="Arial" w:hAnsi="Arial"/>
          <w:sz w:val="18"/>
          <w:szCs w:val="18"/>
          <w:color w:val="auto"/>
        </w:rPr>
      </w:pPr>
    </w:p>
    <w:p>
      <w:pPr>
        <w:ind w:left="1220" w:right="40" w:hanging="537"/>
        <w:spacing w:after="0" w:line="271"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81" w:lineRule="exact"/>
        <w:rPr>
          <w:rFonts w:ascii="Arial" w:cs="Arial" w:eastAsia="Arial" w:hAnsi="Arial"/>
          <w:sz w:val="18"/>
          <w:szCs w:val="18"/>
          <w:color w:val="auto"/>
        </w:rPr>
      </w:pPr>
    </w:p>
    <w:p>
      <w:pPr>
        <w:ind w:left="1220" w:right="140" w:hanging="537"/>
        <w:spacing w:after="0" w:line="271"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provided that such restricted period will end with respect to 20% of the shares subject to each lock-up agreement if at any time beginning 90 days after the date of this prospectus (1) we have filed at least one quarterly report on Form 10-Q or annual report on Form 10-K and (2) the last reported closing price of our Class A common stock is at least 33% greater than the initial public offering price of our Class A common stock for 10 out of any 15 consecutive trading days, including the last day, ending on or after the 90th day after the date of this prospectus; and provided further that, if 90 days after the date of this prospectus occurs within five trading days of a trading black-out period, the above referenced early expiration period will be the sixth trading day immediately preceding the commencement of the trading black-out period. In addition, with respect to shares not released as a result of such early release, if 180 days after the date of this prospectus occurs within five trading days of a trading black-out period, the restricted period will expire on the sixth trading day immediately preceding the commencement of the trading black-out period. In addition, we and each such person agrees that, without the prior written consent of Morgan Stanley &amp; Co. LLC and either of Goldman Sachs &amp; Co. LLC or J.P. Morgan Securities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restrictions described in the immediately preceding paragraph are subject to specified exceptions, including the following:</w:t>
      </w:r>
    </w:p>
    <w:p>
      <w:pPr>
        <w:spacing w:after="0" w:line="114" w:lineRule="exact"/>
        <w:rPr>
          <w:sz w:val="20"/>
          <w:szCs w:val="20"/>
          <w:color w:val="auto"/>
        </w:rPr>
      </w:pPr>
    </w:p>
    <w:p>
      <w:pPr>
        <w:ind w:left="260" w:right="240" w:firstLine="431"/>
        <w:spacing w:after="0" w:line="271" w:lineRule="auto"/>
        <w:tabs>
          <w:tab w:leader="none" w:pos="98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transfers of shares of common stock acquired in open market transactions after the completion of this offering provided that no filing under the Exchange Act reporting a reduction in beneficial ownership of shares would be required or voluntarily made;</w:t>
      </w:r>
    </w:p>
    <w:p>
      <w:pPr>
        <w:spacing w:after="0" w:line="67" w:lineRule="exact"/>
        <w:rPr>
          <w:rFonts w:ascii="Arial" w:cs="Arial" w:eastAsia="Arial" w:hAnsi="Arial"/>
          <w:sz w:val="18"/>
          <w:szCs w:val="18"/>
          <w:color w:val="auto"/>
        </w:rPr>
      </w:pPr>
    </w:p>
    <w:p>
      <w:pPr>
        <w:ind w:left="980" w:hanging="289"/>
        <w:spacing w:after="0"/>
        <w:tabs>
          <w:tab w:leader="none" w:pos="9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(1) as a bona fide gift,</w:t>
      </w:r>
    </w:p>
    <w:p>
      <w:pPr>
        <w:spacing w:after="0" w:line="42" w:lineRule="exact"/>
        <w:rPr>
          <w:rFonts w:ascii="Arial" w:cs="Arial" w:eastAsia="Arial" w:hAnsi="Arial"/>
          <w:sz w:val="16"/>
          <w:szCs w:val="16"/>
          <w:color w:val="auto"/>
        </w:rPr>
      </w:pPr>
    </w:p>
    <w:p>
      <w:pPr>
        <w:ind w:left="260" w:right="200" w:hanging="5"/>
        <w:spacing w:after="0" w:line="298" w:lineRule="auto"/>
        <w:tabs>
          <w:tab w:leader="none" w:pos="51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an immediate family member or to any trust for the direct or indirect benefit of the lock-up party or an immediate family member of the lock-up party, (3) to any entity controlled or managed, or under common control or management by, the lock-up party, or (4) by will, other testamentary document or intestate succession to the legal representative, heir, beneficiary or an immediate family member of the lock-up party,</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60"/>
          </w:cols>
          <w:pgMar w:left="24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260" w:firstLine="431"/>
        <w:spacing w:after="0" w:line="307" w:lineRule="auto"/>
        <w:tabs>
          <w:tab w:leader="none" w:pos="97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transfers or distributions of shares of common stock or any security convertible into or exercisable or exchangeable for common stock by a lock-up party that is a corporation, partnership, limited liability company, trust or other business entity (1) to current or former general or limited partners, managers, members, stockholders or holders of similar equity interests in the lock-up party or (2) to the estates of any of the foregoing;</w:t>
      </w:r>
    </w:p>
    <w:p>
      <w:pPr>
        <w:spacing w:after="0" w:line="43" w:lineRule="exact"/>
        <w:rPr>
          <w:rFonts w:ascii="Arial" w:cs="Arial" w:eastAsia="Arial" w:hAnsi="Arial"/>
          <w:sz w:val="16"/>
          <w:szCs w:val="16"/>
          <w:color w:val="auto"/>
        </w:rPr>
      </w:pPr>
    </w:p>
    <w:p>
      <w:pPr>
        <w:ind w:left="260" w:firstLine="431"/>
        <w:spacing w:after="0" w:line="270" w:lineRule="auto"/>
        <w:tabs>
          <w:tab w:leader="none" w:pos="98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securities convertible into or exercisable or exchangeable for common stock to us upon a vesting event of our securities or upon the “net” or “cashless” exercise of options that would otherwise expire during the restricted period to the extent permitted by the instruments representing such options (including any transfer to us necessary to generate any amount of cash needed for the payment of taxes, including estimated taxes, due as a result of such vesting or exercise whether by means of a “net settlement” or otherwise), so long as such “cashless” or “net” exercise is effected solely by the surrender of outstanding options (or underlying shares of common stock) to us, and our cancellation of all or a portion thereof to pay the exercise price and/or withholding tax obligations;</w:t>
      </w:r>
    </w:p>
    <w:p>
      <w:pPr>
        <w:spacing w:after="0" w:line="72" w:lineRule="exact"/>
        <w:rPr>
          <w:rFonts w:ascii="Arial" w:cs="Arial" w:eastAsia="Arial" w:hAnsi="Arial"/>
          <w:sz w:val="17"/>
          <w:szCs w:val="17"/>
          <w:color w:val="auto"/>
        </w:rPr>
      </w:pPr>
    </w:p>
    <w:p>
      <w:pPr>
        <w:ind w:left="960" w:hanging="269"/>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sales of shares of Class A common stock pursuant to the terms of the Underwriting Agreement;</w:t>
      </w:r>
    </w:p>
    <w:p>
      <w:pPr>
        <w:spacing w:after="0" w:line="114" w:lineRule="exact"/>
        <w:rPr>
          <w:rFonts w:ascii="Arial" w:cs="Arial" w:eastAsia="Arial" w:hAnsi="Arial"/>
          <w:sz w:val="18"/>
          <w:szCs w:val="18"/>
          <w:color w:val="auto"/>
        </w:rPr>
      </w:pPr>
    </w:p>
    <w:p>
      <w:pPr>
        <w:ind w:left="260" w:right="100" w:firstLine="431"/>
        <w:spacing w:after="0" w:line="259" w:lineRule="auto"/>
        <w:tabs>
          <w:tab w:leader="none" w:pos="95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common stock during the restricted period (other than any shares that are no longer subject to the restrictions under the lock-up agreement due to the early lock-up expiration as provided above);</w:t>
      </w:r>
    </w:p>
    <w:p>
      <w:pPr>
        <w:spacing w:after="0" w:line="79" w:lineRule="exact"/>
        <w:rPr>
          <w:rFonts w:ascii="Arial" w:cs="Arial" w:eastAsia="Arial" w:hAnsi="Arial"/>
          <w:sz w:val="18"/>
          <w:szCs w:val="18"/>
          <w:color w:val="auto"/>
        </w:rPr>
      </w:pPr>
    </w:p>
    <w:p>
      <w:pPr>
        <w:ind w:left="260" w:right="500" w:firstLine="431"/>
        <w:spacing w:after="0" w:line="301" w:lineRule="auto"/>
        <w:tabs>
          <w:tab w:leader="none" w:pos="98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by operation of law pursuant to a qualified domestic order or in connection with a divorce settlement or other court order;</w:t>
      </w:r>
    </w:p>
    <w:p>
      <w:pPr>
        <w:spacing w:after="0" w:line="44" w:lineRule="exact"/>
        <w:rPr>
          <w:rFonts w:ascii="Arial" w:cs="Arial" w:eastAsia="Arial" w:hAnsi="Arial"/>
          <w:sz w:val="17"/>
          <w:szCs w:val="17"/>
          <w:color w:val="auto"/>
        </w:rPr>
      </w:pPr>
    </w:p>
    <w:p>
      <w:pPr>
        <w:ind w:left="260" w:right="220" w:firstLine="431"/>
        <w:spacing w:after="0" w:line="259" w:lineRule="auto"/>
        <w:tabs>
          <w:tab w:leader="none" w:pos="98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reclassification and conversion of shares of our common stock and preferred stock into shares of Class B common stock and the conversion of Class B common stock into shares of Class A common stock, provided that, in each case, such shares remain subject to the terms of the lock-up agreement; or</w:t>
      </w:r>
    </w:p>
    <w:p>
      <w:pPr>
        <w:spacing w:after="0" w:line="79" w:lineRule="exact"/>
        <w:rPr>
          <w:rFonts w:ascii="Arial" w:cs="Arial" w:eastAsia="Arial" w:hAnsi="Arial"/>
          <w:sz w:val="18"/>
          <w:szCs w:val="18"/>
          <w:color w:val="auto"/>
        </w:rPr>
      </w:pPr>
    </w:p>
    <w:p>
      <w:pPr>
        <w:ind w:left="260" w:right="20" w:firstLine="431"/>
        <w:spacing w:after="0" w:line="275" w:lineRule="auto"/>
        <w:tabs>
          <w:tab w:leader="none" w:pos="91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lock-up party will remain subject to terms of the lock-up agreement,</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28" w:lineRule="exact"/>
        <w:rPr>
          <w:sz w:val="20"/>
          <w:szCs w:val="20"/>
          <w:color w:val="auto"/>
        </w:rPr>
      </w:pPr>
    </w:p>
    <w:p>
      <w:pPr>
        <w:ind w:left="1220" w:right="20" w:hanging="537"/>
        <w:spacing w:after="0" w:line="271"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(B), (C) and (G) above, each donee, trustee, distributee or transferee shall sign and deliver a lock-up agreement,</w:t>
      </w:r>
    </w:p>
    <w:p>
      <w:pPr>
        <w:spacing w:after="0" w:line="81" w:lineRule="exact"/>
        <w:rPr>
          <w:rFonts w:ascii="Arial" w:cs="Arial" w:eastAsia="Arial" w:hAnsi="Arial"/>
          <w:sz w:val="18"/>
          <w:szCs w:val="18"/>
          <w:color w:val="auto"/>
        </w:rPr>
      </w:pPr>
    </w:p>
    <w:p>
      <w:pPr>
        <w:ind w:left="1220" w:right="60" w:hanging="537"/>
        <w:spacing w:after="0" w:line="259"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(B) and (C) above, (1) no filing under the Exchange Act reporting a reduction in beneficial ownership of shares of common stock would be required or be voluntarily made and (2) such transfer or distribution would not involve a disposition for value, and</w:t>
      </w:r>
    </w:p>
    <w:p>
      <w:pPr>
        <w:spacing w:after="0" w:line="92" w:lineRule="exact"/>
        <w:rPr>
          <w:rFonts w:ascii="Arial" w:cs="Arial" w:eastAsia="Arial" w:hAnsi="Arial"/>
          <w:sz w:val="18"/>
          <w:szCs w:val="18"/>
          <w:color w:val="auto"/>
        </w:rPr>
      </w:pPr>
    </w:p>
    <w:p>
      <w:pPr>
        <w:ind w:left="1220" w:right="520" w:hanging="537"/>
        <w:spacing w:after="0" w:line="259"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(D) and (F) through (H) above, any filing required by Section 16 of the Exchange Act shall clearly indicate in the footnotes thereto that the such transfer or distribution is being made pursuant to the circumstances described in the applicable clause.</w:t>
      </w:r>
    </w:p>
    <w:p>
      <w:pPr>
        <w:spacing w:after="0" w:line="186" w:lineRule="exact"/>
        <w:rPr>
          <w:sz w:val="20"/>
          <w:szCs w:val="20"/>
          <w:color w:val="auto"/>
        </w:rPr>
      </w:pPr>
    </w:p>
    <w:p>
      <w:pPr>
        <w:ind w:left="260" w:right="120" w:firstLine="983"/>
        <w:spacing w:after="0" w:line="259" w:lineRule="auto"/>
        <w:rPr>
          <w:sz w:val="20"/>
          <w:szCs w:val="20"/>
          <w:color w:val="auto"/>
        </w:rPr>
      </w:pPr>
      <w:r>
        <w:rPr>
          <w:rFonts w:ascii="Arial" w:cs="Arial" w:eastAsia="Arial" w:hAnsi="Arial"/>
          <w:sz w:val="18"/>
          <w:szCs w:val="18"/>
          <w:color w:val="auto"/>
        </w:rPr>
        <w:t>Morgan Stanley &amp; Co. LLC and either of Goldman Sachs &amp; Co. LLC or J.P. Morgan Securities LLC, in their sole discretion, may release the common stock and other securities subject to the lock-up agreements described above in whole or in part at any time, subject to applicable notice requirements.</w:t>
      </w:r>
    </w:p>
    <w:p>
      <w:pPr>
        <w:spacing w:after="0" w:line="186" w:lineRule="exact"/>
        <w:rPr>
          <w:sz w:val="20"/>
          <w:szCs w:val="20"/>
          <w:color w:val="auto"/>
        </w:rPr>
      </w:pPr>
    </w:p>
    <w:p>
      <w:pPr>
        <w:ind w:left="260" w:right="200" w:firstLine="437"/>
        <w:spacing w:after="0" w:line="297" w:lineRule="auto"/>
        <w:rPr>
          <w:sz w:val="20"/>
          <w:szCs w:val="20"/>
          <w:color w:val="auto"/>
        </w:rPr>
      </w:pPr>
      <w:r>
        <w:rPr>
          <w:rFonts w:ascii="Arial" w:cs="Arial" w:eastAsia="Arial" w:hAnsi="Arial"/>
          <w:sz w:val="16"/>
          <w:szCs w:val="16"/>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w:t>
      </w:r>
    </w:p>
    <w:p>
      <w:pPr>
        <w:spacing w:after="0" w:line="9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240" w:top="456"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line="286" w:lineRule="auto"/>
        <w:rPr>
          <w:sz w:val="20"/>
          <w:szCs w:val="20"/>
          <w:color w:val="auto"/>
        </w:rPr>
      </w:pPr>
      <w:r>
        <w:rPr>
          <w:rFonts w:ascii="Arial" w:cs="Arial" w:eastAsia="Arial" w:hAnsi="Arial"/>
          <w:sz w:val="16"/>
          <w:szCs w:val="16"/>
          <w:color w:val="auto"/>
        </w:rPr>
        <w:t>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1" w:lineRule="exact"/>
        <w:rPr>
          <w:sz w:val="20"/>
          <w:szCs w:val="20"/>
          <w:color w:val="auto"/>
        </w:rPr>
      </w:pPr>
    </w:p>
    <w:p>
      <w:pPr>
        <w:ind w:left="260" w:right="140" w:firstLine="437"/>
        <w:spacing w:after="0" w:line="255"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91" w:lineRule="exact"/>
        <w:rPr>
          <w:sz w:val="20"/>
          <w:szCs w:val="20"/>
          <w:color w:val="auto"/>
        </w:rPr>
      </w:pPr>
    </w:p>
    <w:p>
      <w:pPr>
        <w:ind w:left="260" w:right="40" w:firstLine="437"/>
        <w:spacing w:after="0" w:line="29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0" w:lineRule="exact"/>
        <w:rPr>
          <w:sz w:val="20"/>
          <w:szCs w:val="20"/>
          <w:color w:val="auto"/>
        </w:rPr>
      </w:pPr>
    </w:p>
    <w:p>
      <w:pPr>
        <w:ind w:left="260" w:right="80" w:firstLine="437"/>
        <w:spacing w:after="0" w:line="270"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Pricing of the Offering</w:t>
      </w:r>
    </w:p>
    <w:p>
      <w:pPr>
        <w:spacing w:after="0" w:line="225" w:lineRule="exact"/>
        <w:rPr>
          <w:sz w:val="20"/>
          <w:szCs w:val="20"/>
          <w:color w:val="auto"/>
        </w:rPr>
      </w:pPr>
    </w:p>
    <w:p>
      <w:pPr>
        <w:ind w:left="260" w:right="100" w:firstLine="437"/>
        <w:spacing w:after="0" w:line="297"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Directed Share Program</w:t>
      </w:r>
    </w:p>
    <w:p>
      <w:pPr>
        <w:spacing w:after="0" w:line="225" w:lineRule="exact"/>
        <w:rPr>
          <w:sz w:val="20"/>
          <w:szCs w:val="20"/>
          <w:color w:val="auto"/>
        </w:rPr>
      </w:pPr>
    </w:p>
    <w:p>
      <w:pPr>
        <w:jc w:val="both"/>
        <w:ind w:left="260" w:right="400" w:firstLine="437"/>
        <w:spacing w:after="0" w:line="259" w:lineRule="auto"/>
        <w:rPr>
          <w:sz w:val="20"/>
          <w:szCs w:val="20"/>
          <w:color w:val="auto"/>
        </w:rPr>
      </w:pPr>
      <w:r>
        <w:rPr>
          <w:rFonts w:ascii="Arial" w:cs="Arial" w:eastAsia="Arial" w:hAnsi="Arial"/>
          <w:sz w:val="18"/>
          <w:szCs w:val="18"/>
          <w:color w:val="auto"/>
        </w:rPr>
        <w:t>At our request, the underwriters have reserved for sale at the initial public offering price per share up to 5% of the shares of Class A common stock offered by this prospectus, to certain individuals through a directed share program, including our directors, employees and certain other early supporters of Datadog identified by</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60"/>
          </w:cols>
          <w:pgMar w:left="240" w:top="456"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40"/>
        <w:spacing w:after="0" w:line="290" w:lineRule="auto"/>
        <w:rPr>
          <w:sz w:val="20"/>
          <w:szCs w:val="20"/>
          <w:color w:val="auto"/>
        </w:rPr>
      </w:pPr>
      <w:r>
        <w:rPr>
          <w:rFonts w:ascii="Arial" w:cs="Arial" w:eastAsia="Arial" w:hAnsi="Arial"/>
          <w:sz w:val="16"/>
          <w:szCs w:val="16"/>
          <w:color w:val="auto"/>
        </w:rPr>
        <w:t>management. If purchased by these persons, these shares will not be subject to a lock-up restriction, except in the case of shares purchased by any director or executive officer, which shares will be subject to the lock-up restrictions described above. The number of shares of Class A common stock available for sale to the general public will be reduced by the number of reserved shares sold to these individuals. Any reserved shares not purchased by these individuals will be offered by the underwriters to the general public on the same basis as the other shares of Class A common stock offered under this prospectus. We have agreed to indemnify the underwriters against certain liabilities and expenses, including liabilities under the Securities Act, in connection with sales of the reserved shares. The directed share program will be arranged through Morgan Stanley &amp; Co. LLC.</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relation to each Member State of the European Economic Area (each, a “Member State”), no offer of shares may be made to the public in that</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Member State other than:</w:t>
      </w:r>
    </w:p>
    <w:p>
      <w:pPr>
        <w:spacing w:after="0" w:line="115" w:lineRule="exact"/>
        <w:rPr>
          <w:sz w:val="20"/>
          <w:szCs w:val="20"/>
          <w:color w:val="auto"/>
        </w:rPr>
      </w:pPr>
    </w:p>
    <w:p>
      <w:pPr>
        <w:ind w:left="1220" w:hanging="414"/>
        <w:spacing w:after="0"/>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27" w:lineRule="exact"/>
        <w:rPr>
          <w:rFonts w:ascii="Arial" w:cs="Arial" w:eastAsia="Arial" w:hAnsi="Arial"/>
          <w:sz w:val="18"/>
          <w:szCs w:val="18"/>
          <w:color w:val="auto"/>
        </w:rPr>
      </w:pPr>
    </w:p>
    <w:p>
      <w:pPr>
        <w:ind w:left="1220" w:right="80" w:hanging="424"/>
        <w:spacing w:after="0" w:line="271" w:lineRule="auto"/>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81" w:lineRule="exact"/>
        <w:rPr>
          <w:rFonts w:ascii="Arial" w:cs="Arial" w:eastAsia="Arial" w:hAnsi="Arial"/>
          <w:sz w:val="18"/>
          <w:szCs w:val="18"/>
          <w:color w:val="auto"/>
        </w:rPr>
      </w:pPr>
    </w:p>
    <w:p>
      <w:pPr>
        <w:ind w:left="1220" w:hanging="414"/>
        <w:spacing w:after="0" w:line="254" w:lineRule="auto"/>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9" w:lineRule="exact"/>
        <w:rPr>
          <w:sz w:val="20"/>
          <w:szCs w:val="20"/>
          <w:color w:val="auto"/>
        </w:rPr>
      </w:pPr>
    </w:p>
    <w:p>
      <w:pPr>
        <w:ind w:left="260" w:right="180" w:firstLine="437"/>
        <w:spacing w:after="0" w:line="293"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61" w:lineRule="exact"/>
        <w:rPr>
          <w:sz w:val="20"/>
          <w:szCs w:val="20"/>
          <w:color w:val="auto"/>
        </w:rPr>
      </w:pPr>
    </w:p>
    <w:p>
      <w:pPr>
        <w:ind w:left="260" w:right="200" w:firstLine="437"/>
        <w:spacing w:after="0" w:line="282"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underwriter has represented and agreed that:</w:t>
      </w:r>
    </w:p>
    <w:p>
      <w:pPr>
        <w:spacing w:after="0" w:line="128" w:lineRule="exact"/>
        <w:rPr>
          <w:sz w:val="20"/>
          <w:szCs w:val="20"/>
          <w:color w:val="auto"/>
        </w:rPr>
      </w:pPr>
    </w:p>
    <w:p>
      <w:pPr>
        <w:ind w:left="1220" w:right="40" w:hanging="414"/>
        <w:spacing w:after="0" w:line="255" w:lineRule="auto"/>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97" w:lineRule="exact"/>
        <w:rPr>
          <w:rFonts w:ascii="Arial" w:cs="Arial" w:eastAsia="Arial" w:hAnsi="Arial"/>
          <w:sz w:val="18"/>
          <w:szCs w:val="18"/>
          <w:color w:val="auto"/>
        </w:rPr>
      </w:pPr>
    </w:p>
    <w:p>
      <w:pPr>
        <w:ind w:left="1220" w:right="80" w:hanging="424"/>
        <w:spacing w:after="0" w:line="271" w:lineRule="auto"/>
        <w:tabs>
          <w:tab w:leader="none" w:pos="1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240" w:top="456"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Canada</w:t>
      </w:r>
    </w:p>
    <w:p>
      <w:pPr>
        <w:spacing w:after="0" w:line="221" w:lineRule="exact"/>
        <w:rPr>
          <w:sz w:val="20"/>
          <w:szCs w:val="20"/>
          <w:color w:val="auto"/>
        </w:rPr>
      </w:pPr>
    </w:p>
    <w:p>
      <w:pPr>
        <w:ind w:left="260" w:right="80" w:firstLine="437"/>
        <w:spacing w:after="0" w:line="254" w:lineRule="auto"/>
        <w:rPr>
          <w:sz w:val="20"/>
          <w:szCs w:val="20"/>
          <w:color w:val="auto"/>
        </w:rPr>
      </w:pPr>
      <w:r>
        <w:rPr>
          <w:rFonts w:ascii="Arial" w:cs="Arial" w:eastAsia="Arial" w:hAnsi="Arial"/>
          <w:sz w:val="18"/>
          <w:szCs w:val="18"/>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Class A common stock must be made in accordance with an exemption from, or in a transaction not subject to, the prospectus requirements of applicable securities laws.</w:t>
      </w:r>
    </w:p>
    <w:p>
      <w:pPr>
        <w:spacing w:after="0" w:line="189" w:lineRule="exact"/>
        <w:rPr>
          <w:sz w:val="20"/>
          <w:szCs w:val="20"/>
          <w:color w:val="auto"/>
        </w:rPr>
      </w:pPr>
    </w:p>
    <w:p>
      <w:pPr>
        <w:ind w:left="260" w:right="200" w:firstLine="437"/>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0" w:lineRule="exact"/>
        <w:rPr>
          <w:sz w:val="20"/>
          <w:szCs w:val="20"/>
          <w:color w:val="auto"/>
        </w:rPr>
      </w:pPr>
    </w:p>
    <w:p>
      <w:pPr>
        <w:jc w:val="both"/>
        <w:ind w:left="260" w:right="340" w:firstLine="437"/>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Hong Kong</w:t>
      </w:r>
    </w:p>
    <w:p>
      <w:pPr>
        <w:spacing w:after="0" w:line="221" w:lineRule="exact"/>
        <w:rPr>
          <w:sz w:val="20"/>
          <w:szCs w:val="20"/>
          <w:color w:val="auto"/>
        </w:rPr>
      </w:pPr>
    </w:p>
    <w:p>
      <w:pPr>
        <w:ind w:left="260" w:firstLine="437"/>
        <w:spacing w:after="0" w:line="286" w:lineRule="auto"/>
        <w:rPr>
          <w:sz w:val="20"/>
          <w:szCs w:val="20"/>
          <w:color w:val="auto"/>
        </w:rPr>
      </w:pPr>
      <w:r>
        <w:rPr>
          <w:rFonts w:ascii="Arial" w:cs="Arial" w:eastAsia="Arial" w:hAnsi="Arial"/>
          <w:sz w:val="16"/>
          <w:szCs w:val="16"/>
          <w:color w:val="auto"/>
        </w:rPr>
        <w:t>Shares of our Class A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Singapore</w:t>
      </w:r>
    </w:p>
    <w:p>
      <w:pPr>
        <w:spacing w:after="0" w:line="221" w:lineRule="exact"/>
        <w:rPr>
          <w:sz w:val="20"/>
          <w:szCs w:val="20"/>
          <w:color w:val="auto"/>
        </w:rPr>
      </w:pPr>
    </w:p>
    <w:p>
      <w:pPr>
        <w:ind w:left="260" w:right="20" w:firstLine="437"/>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260" w:firstLine="437"/>
        <w:spacing w:after="0" w:line="275" w:lineRule="auto"/>
        <w:rPr>
          <w:sz w:val="20"/>
          <w:szCs w:val="20"/>
          <w:color w:val="auto"/>
        </w:rPr>
      </w:pPr>
      <w:r>
        <w:rPr>
          <w:rFonts w:ascii="Arial" w:cs="Arial" w:eastAsia="Arial" w:hAnsi="Arial"/>
          <w:sz w:val="17"/>
          <w:szCs w:val="17"/>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60"/>
          </w:cols>
          <w:pgMar w:left="240" w:top="456"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right="340"/>
        <w:spacing w:after="0" w:line="255" w:lineRule="auto"/>
        <w:rPr>
          <w:sz w:val="20"/>
          <w:szCs w:val="20"/>
          <w:color w:val="auto"/>
        </w:rPr>
      </w:pPr>
      <w:r>
        <w:rPr>
          <w:rFonts w:ascii="Arial" w:cs="Arial" w:eastAsia="Arial" w:hAnsi="Arial"/>
          <w:sz w:val="18"/>
          <w:szCs w:val="18"/>
          <w:color w:val="auto"/>
        </w:rPr>
        <w:t>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191" w:lineRule="exact"/>
        <w:rPr>
          <w:sz w:val="20"/>
          <w:szCs w:val="20"/>
          <w:color w:val="auto"/>
        </w:rPr>
      </w:pPr>
    </w:p>
    <w:p>
      <w:pPr>
        <w:ind w:left="260" w:right="200" w:firstLine="437"/>
        <w:spacing w:after="0" w:line="255" w:lineRule="auto"/>
        <w:rPr>
          <w:sz w:val="20"/>
          <w:szCs w:val="20"/>
          <w:color w:val="auto"/>
        </w:rPr>
      </w:pPr>
      <w:r>
        <w:rPr>
          <w:rFonts w:ascii="Arial" w:cs="Arial" w:eastAsia="Arial" w:hAnsi="Arial"/>
          <w:sz w:val="18"/>
          <w:szCs w:val="18"/>
          <w:color w:val="auto"/>
        </w:rPr>
        <w:t>Solely for purposes of the notification requirements under Section 309B(1)(c) of the Securities and Futures Act, Chapter 289 of Singapore.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Japan</w:t>
      </w:r>
    </w:p>
    <w:p>
      <w:pPr>
        <w:spacing w:after="0" w:line="221" w:lineRule="exact"/>
        <w:rPr>
          <w:sz w:val="20"/>
          <w:szCs w:val="20"/>
          <w:color w:val="auto"/>
        </w:rPr>
      </w:pPr>
    </w:p>
    <w:p>
      <w:pPr>
        <w:ind w:left="260" w:right="180" w:firstLine="437"/>
        <w:spacing w:after="0" w:line="335"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9" w:lineRule="exact"/>
        <w:rPr>
          <w:sz w:val="20"/>
          <w:szCs w:val="20"/>
          <w:color w:val="auto"/>
        </w:rPr>
      </w:pPr>
    </w:p>
    <w:p>
      <w:pPr>
        <w:ind w:left="260" w:right="160" w:firstLine="437"/>
        <w:spacing w:after="0" w:line="254"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1" w:lineRule="exact"/>
        <w:rPr>
          <w:sz w:val="20"/>
          <w:szCs w:val="20"/>
          <w:color w:val="auto"/>
        </w:rPr>
      </w:pPr>
    </w:p>
    <w:p>
      <w:pPr>
        <w:ind w:left="260" w:firstLine="437"/>
        <w:spacing w:after="0" w:line="297"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For Non-QII Investors</w:t>
      </w:r>
    </w:p>
    <w:p>
      <w:pPr>
        <w:spacing w:after="0" w:line="221" w:lineRule="exact"/>
        <w:rPr>
          <w:sz w:val="20"/>
          <w:szCs w:val="20"/>
          <w:color w:val="auto"/>
        </w:rPr>
      </w:pPr>
    </w:p>
    <w:p>
      <w:pPr>
        <w:ind w:left="260" w:right="20" w:firstLine="437"/>
        <w:spacing w:after="0" w:line="254"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60"/>
          </w:cols>
          <w:pgMar w:left="24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jc w:val="both"/>
        <w:ind w:left="260" w:right="120" w:firstLine="437"/>
        <w:spacing w:after="0" w:line="259" w:lineRule="auto"/>
        <w:rPr>
          <w:sz w:val="20"/>
          <w:szCs w:val="20"/>
          <w:color w:val="auto"/>
        </w:rPr>
      </w:pPr>
      <w:r>
        <w:rPr>
          <w:rFonts w:ascii="Arial" w:cs="Arial" w:eastAsia="Arial" w:hAnsi="Arial"/>
          <w:sz w:val="18"/>
          <w:szCs w:val="18"/>
          <w:color w:val="auto"/>
        </w:rPr>
        <w:t>The validity of the shares of Class A common stock being offered by this prospectus will be passed upon for us by Cooley LLP, New York, New York. Certain legal matters in connection with this offering will be passed upon for the underwriters by Davis Polk &amp; Wardwell LLP, New York, New York.</w:t>
      </w:r>
    </w:p>
    <w:p>
      <w:pPr>
        <w:spacing w:after="0" w:line="1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260" w:right="140" w:firstLine="437"/>
        <w:spacing w:after="0" w:line="254" w:lineRule="auto"/>
        <w:rPr>
          <w:sz w:val="20"/>
          <w:szCs w:val="20"/>
          <w:color w:val="auto"/>
        </w:rPr>
      </w:pPr>
      <w:r>
        <w:rPr>
          <w:rFonts w:ascii="Arial" w:cs="Arial" w:eastAsia="Arial" w:hAnsi="Arial"/>
          <w:sz w:val="18"/>
          <w:szCs w:val="18"/>
          <w:color w:val="auto"/>
        </w:rPr>
        <w:t>The consolidated financial statements as of December 31, 2018 and 2017, and for each of the two years in the period ended December 31, 2018,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a new revenue accounting standard). Such financial statements have been so included in reliance upon the report of such firm given upon their authority as experts in accounting and auditing.</w:t>
      </w:r>
    </w:p>
    <w:p>
      <w:pPr>
        <w:spacing w:after="0" w:line="18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5" w:lineRule="exact"/>
        <w:rPr>
          <w:sz w:val="20"/>
          <w:szCs w:val="20"/>
          <w:color w:val="auto"/>
        </w:rPr>
      </w:pPr>
    </w:p>
    <w:p>
      <w:pPr>
        <w:ind w:left="260" w:firstLine="437"/>
        <w:spacing w:after="0" w:line="267"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4" w:lineRule="exact"/>
        <w:rPr>
          <w:sz w:val="20"/>
          <w:szCs w:val="20"/>
          <w:color w:val="auto"/>
        </w:rPr>
      </w:pPr>
    </w:p>
    <w:p>
      <w:pPr>
        <w:ind w:left="260" w:right="300" w:firstLine="437"/>
        <w:spacing w:after="0" w:line="335" w:lineRule="auto"/>
        <w:rPr>
          <w:sz w:val="20"/>
          <w:szCs w:val="20"/>
          <w:color w:val="auto"/>
        </w:rPr>
      </w:pPr>
      <w:r>
        <w:rPr>
          <w:rFonts w:ascii="Arial" w:cs="Arial" w:eastAsia="Arial" w:hAnsi="Arial"/>
          <w:sz w:val="16"/>
          <w:szCs w:val="16"/>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29" w:lineRule="exact"/>
        <w:rPr>
          <w:sz w:val="20"/>
          <w:szCs w:val="20"/>
          <w:color w:val="auto"/>
        </w:rPr>
      </w:pPr>
    </w:p>
    <w:p>
      <w:pPr>
        <w:ind w:left="260" w:right="20" w:firstLine="437"/>
        <w:spacing w:after="0" w:line="271" w:lineRule="auto"/>
        <w:rPr>
          <w:sz w:val="20"/>
          <w:szCs w:val="20"/>
          <w:color w:val="auto"/>
        </w:rPr>
      </w:pPr>
      <w:r>
        <w:rPr>
          <w:rFonts w:ascii="Arial" w:cs="Arial" w:eastAsia="Arial" w:hAnsi="Arial"/>
          <w:sz w:val="18"/>
          <w:szCs w:val="18"/>
          <w:color w:val="auto"/>
        </w:rPr>
        <w:t>We also maintain a website at www.datadog.com. Information contained in, or accessible through, our website is not a part of this prospectus, and the inclusion of our website address in this prospectus is only as an inactive textual reference.</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240" w:top="456" w:right="5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180" w:type="dxa"/>
            <w:vAlign w:val="bottom"/>
            <w:gridSpan w:val="4"/>
            <w:vMerge w:val="restart"/>
          </w:tcPr>
          <w:p>
            <w:pPr>
              <w:spacing w:after="0"/>
              <w:rPr>
                <w:rFonts w:ascii="Arial" w:cs="Arial" w:eastAsia="Arial" w:hAnsi="Arial"/>
                <w:sz w:val="18"/>
                <w:szCs w:val="18"/>
                <w:color w:val="0000EE"/>
                <w:w w:val="90"/>
              </w:rPr>
            </w:pPr>
            <w:hyperlink w:anchor="page158">
              <w:r>
                <w:rPr>
                  <w:rFonts w:ascii="Arial" w:cs="Arial" w:eastAsia="Arial" w:hAnsi="Arial"/>
                  <w:sz w:val="18"/>
                  <w:szCs w:val="18"/>
                  <w:color w:val="0000EE"/>
                  <w:w w:val="90"/>
                </w:rPr>
                <w:t>Report of Independent Registered Public Accounting Firm</w:t>
              </w:r>
            </w:hyperlink>
          </w:p>
        </w:tc>
        <w:tc>
          <w:tcPr>
            <w:tcW w:w="6380" w:type="dxa"/>
            <w:vAlign w:val="bottom"/>
            <w:gridSpan w:val="3"/>
            <w:vMerge w:val="restart"/>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2"/>
        </w:trPr>
        <w:tc>
          <w:tcPr>
            <w:tcW w:w="4180" w:type="dxa"/>
            <w:vAlign w:val="bottom"/>
            <w:tcBorders>
              <w:bottom w:val="single" w:sz="8" w:color="0000EE"/>
            </w:tcBorders>
            <w:gridSpan w:val="4"/>
            <w:vMerge w:val="continue"/>
          </w:tcPr>
          <w:p>
            <w:pPr>
              <w:spacing w:after="0"/>
              <w:rPr>
                <w:sz w:val="14"/>
                <w:szCs w:val="14"/>
                <w:color w:val="auto"/>
              </w:rPr>
            </w:pPr>
          </w:p>
        </w:tc>
        <w:tc>
          <w:tcPr>
            <w:tcW w:w="6380" w:type="dxa"/>
            <w:vAlign w:val="bottom"/>
            <w:gridSpan w:val="3"/>
            <w:vMerge w:val="continue"/>
          </w:tcPr>
          <w:p>
            <w:pPr>
              <w:spacing w:after="0"/>
              <w:rPr>
                <w:sz w:val="14"/>
                <w:szCs w:val="14"/>
                <w:color w:val="auto"/>
              </w:rPr>
            </w:pPr>
          </w:p>
        </w:tc>
        <w:tc>
          <w:tcPr>
            <w:tcW w:w="300" w:type="dxa"/>
            <w:vAlign w:val="bottom"/>
          </w:tcPr>
          <w:p>
            <w:pPr>
              <w:ind w:left="60"/>
              <w:spacing w:after="0" w:line="168" w:lineRule="exact"/>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194"/>
        </w:trPr>
        <w:tc>
          <w:tcPr>
            <w:tcW w:w="10560" w:type="dxa"/>
            <w:vAlign w:val="bottom"/>
            <w:gridSpan w:val="7"/>
          </w:tcPr>
          <w:p>
            <w:pPr>
              <w:spacing w:after="0" w:line="195" w:lineRule="exact"/>
              <w:rPr>
                <w:rFonts w:ascii="Arial" w:cs="Arial" w:eastAsia="Arial" w:hAnsi="Arial"/>
                <w:sz w:val="18"/>
                <w:szCs w:val="18"/>
                <w:color w:val="0000EE"/>
              </w:rPr>
            </w:pPr>
            <w:hyperlink w:anchor="page159">
              <w:r>
                <w:rPr>
                  <w:rFonts w:ascii="Arial" w:cs="Arial" w:eastAsia="Arial" w:hAnsi="Arial"/>
                  <w:sz w:val="18"/>
                  <w:szCs w:val="18"/>
                  <w:color w:val="0000EE"/>
                </w:rPr>
                <w:t>Consolidated Balance Sheets</w:t>
              </w:r>
            </w:hyperlink>
          </w:p>
        </w:tc>
        <w:tc>
          <w:tcPr>
            <w:tcW w:w="300" w:type="dxa"/>
            <w:vAlign w:val="bottom"/>
          </w:tcPr>
          <w:p>
            <w:pPr>
              <w:ind w:left="60"/>
              <w:spacing w:after="0" w:line="195"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20"/>
        </w:trPr>
        <w:tc>
          <w:tcPr>
            <w:tcW w:w="20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60" w:type="dxa"/>
            <w:vAlign w:val="bottom"/>
            <w:gridSpan w:val="7"/>
          </w:tcPr>
          <w:p>
            <w:pPr>
              <w:spacing w:after="0" w:line="195" w:lineRule="exact"/>
              <w:rPr>
                <w:rFonts w:ascii="Arial" w:cs="Arial" w:eastAsia="Arial" w:hAnsi="Arial"/>
                <w:sz w:val="18"/>
                <w:szCs w:val="18"/>
                <w:color w:val="0000EE"/>
              </w:rPr>
            </w:pPr>
            <w:hyperlink w:anchor="page160">
              <w:r>
                <w:rPr>
                  <w:rFonts w:ascii="Arial" w:cs="Arial" w:eastAsia="Arial" w:hAnsi="Arial"/>
                  <w:sz w:val="18"/>
                  <w:szCs w:val="18"/>
                  <w:color w:val="0000EE"/>
                </w:rPr>
                <w:t>Consolidated Statements of Operations and Comprehensive (Loss) Income</w:t>
              </w:r>
            </w:hyperlink>
          </w:p>
        </w:tc>
        <w:tc>
          <w:tcPr>
            <w:tcW w:w="300" w:type="dxa"/>
            <w:vAlign w:val="bottom"/>
          </w:tcPr>
          <w:p>
            <w:pPr>
              <w:ind w:left="60"/>
              <w:spacing w:after="0" w:line="195"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20"/>
        </w:trPr>
        <w:tc>
          <w:tcPr>
            <w:tcW w:w="2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560" w:type="dxa"/>
            <w:vAlign w:val="bottom"/>
            <w:gridSpan w:val="7"/>
          </w:tcPr>
          <w:p>
            <w:pPr>
              <w:spacing w:after="0" w:line="195" w:lineRule="exact"/>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Convertible Preferred Stock and Stockholders’ Deficit</w:t>
              </w:r>
            </w:hyperlink>
          </w:p>
        </w:tc>
        <w:tc>
          <w:tcPr>
            <w:tcW w:w="300" w:type="dxa"/>
            <w:vAlign w:val="bottom"/>
          </w:tcPr>
          <w:p>
            <w:pPr>
              <w:ind w:left="60"/>
              <w:spacing w:after="0" w:line="195"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94"/>
        </w:trPr>
        <w:tc>
          <w:tcPr>
            <w:tcW w:w="284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Consolidated Statements of Cash Flows</w:t>
              </w:r>
            </w:hyperlink>
          </w:p>
        </w:tc>
        <w:tc>
          <w:tcPr>
            <w:tcW w:w="3020" w:type="dxa"/>
            <w:vAlign w:val="bottom"/>
            <w:tcBorders>
              <w:top w:val="single" w:sz="8" w:color="0000EE"/>
            </w:tcBorders>
            <w:gridSpan w:val="4"/>
          </w:tcPr>
          <w:p>
            <w:pPr>
              <w:spacing w:after="0"/>
              <w:rPr>
                <w:sz w:val="16"/>
                <w:szCs w:val="16"/>
                <w:color w:val="auto"/>
              </w:rPr>
            </w:pPr>
          </w:p>
        </w:tc>
        <w:tc>
          <w:tcPr>
            <w:tcW w:w="4700" w:type="dxa"/>
            <w:vAlign w:val="bottom"/>
          </w:tcPr>
          <w:p>
            <w:pPr>
              <w:spacing w:after="0"/>
              <w:rPr>
                <w:sz w:val="16"/>
                <w:szCs w:val="16"/>
                <w:color w:val="auto"/>
              </w:rPr>
            </w:pPr>
          </w:p>
        </w:tc>
        <w:tc>
          <w:tcPr>
            <w:tcW w:w="300" w:type="dxa"/>
            <w:vAlign w:val="bottom"/>
          </w:tcPr>
          <w:p>
            <w:pPr>
              <w:ind w:left="60"/>
              <w:spacing w:after="0" w:line="195"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194"/>
        </w:trPr>
        <w:tc>
          <w:tcPr>
            <w:tcW w:w="10560" w:type="dxa"/>
            <w:vAlign w:val="bottom"/>
            <w:gridSpan w:val="7"/>
          </w:tcPr>
          <w:p>
            <w:pPr>
              <w:spacing w:after="0" w:line="195" w:lineRule="exact"/>
              <w:rPr>
                <w:rFonts w:ascii="Arial" w:cs="Arial" w:eastAsia="Arial" w:hAnsi="Arial"/>
                <w:sz w:val="18"/>
                <w:szCs w:val="18"/>
                <w:color w:val="0000EE"/>
              </w:rPr>
            </w:pPr>
            <w:hyperlink w:anchor="page164">
              <w:r>
                <w:rPr>
                  <w:rFonts w:ascii="Arial" w:cs="Arial" w:eastAsia="Arial" w:hAnsi="Arial"/>
                  <w:sz w:val="18"/>
                  <w:szCs w:val="18"/>
                  <w:color w:val="0000EE"/>
                </w:rPr>
                <w:t>Notes to Consolidated Financial Statements</w:t>
              </w:r>
            </w:hyperlink>
          </w:p>
        </w:tc>
        <w:tc>
          <w:tcPr>
            <w:tcW w:w="300" w:type="dxa"/>
            <w:vAlign w:val="bottom"/>
          </w:tcPr>
          <w:p>
            <w:pPr>
              <w:ind w:left="60"/>
              <w:spacing w:after="0" w:line="195" w:lineRule="exact"/>
              <w:rPr>
                <w:sz w:val="20"/>
                <w:szCs w:val="20"/>
                <w:color w:val="auto"/>
              </w:rPr>
            </w:pPr>
            <w:r>
              <w:rPr>
                <w:rFonts w:ascii="Arial" w:cs="Arial" w:eastAsia="Arial" w:hAnsi="Arial"/>
                <w:sz w:val="18"/>
                <w:szCs w:val="18"/>
                <w:color w:val="auto"/>
                <w:w w:val="81"/>
              </w:rPr>
              <w:t>F-8</w:t>
            </w:r>
          </w:p>
        </w:tc>
        <w:tc>
          <w:tcPr>
            <w:tcW w:w="0" w:type="dxa"/>
            <w:vAlign w:val="bottom"/>
          </w:tcPr>
          <w:p>
            <w:pPr>
              <w:spacing w:after="0"/>
              <w:rPr>
                <w:sz w:val="1"/>
                <w:szCs w:val="1"/>
                <w:color w:val="auto"/>
              </w:rPr>
            </w:pPr>
          </w:p>
        </w:tc>
      </w:tr>
      <w:tr>
        <w:trPr>
          <w:trHeight w:val="380"/>
        </w:trPr>
        <w:tc>
          <w:tcPr>
            <w:tcW w:w="20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6" w:right="5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 of Datadog, Inc.,</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left="260" w:right="60" w:firstLine="437"/>
        <w:spacing w:after="0" w:line="270" w:lineRule="auto"/>
        <w:rPr>
          <w:sz w:val="20"/>
          <w:szCs w:val="20"/>
          <w:color w:val="auto"/>
        </w:rPr>
      </w:pPr>
      <w:r>
        <w:rPr>
          <w:rFonts w:ascii="Arial" w:cs="Arial" w:eastAsia="Arial" w:hAnsi="Arial"/>
          <w:sz w:val="17"/>
          <w:szCs w:val="17"/>
          <w:color w:val="auto"/>
        </w:rPr>
        <w:t>We have audited the accompanying consolidated balance sheets of Datadog, Inc. and its subsidiaries (the “Company”), as of December 31, 2018 and 2017, and the related consolidated statements of operations and comprehensive (loss) income, and convertible preferred stock and stockholders’ deficit,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Change in Accounting Principle</w:t>
      </w:r>
    </w:p>
    <w:p>
      <w:pPr>
        <w:spacing w:after="0" w:line="225" w:lineRule="exact"/>
        <w:rPr>
          <w:sz w:val="20"/>
          <w:szCs w:val="20"/>
          <w:color w:val="auto"/>
        </w:rPr>
      </w:pPr>
    </w:p>
    <w:p>
      <w:pPr>
        <w:ind w:left="260" w:right="20" w:firstLine="437"/>
        <w:spacing w:after="0" w:line="271"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revenue from contracts with customers due to the adoption of a new revenue accounting standard.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left="260" w:firstLine="437"/>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left="260" w:right="220" w:firstLine="437"/>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7" w:lineRule="exact"/>
        <w:rPr>
          <w:sz w:val="20"/>
          <w:szCs w:val="20"/>
          <w:color w:val="auto"/>
        </w:rPr>
      </w:pPr>
    </w:p>
    <w:p>
      <w:pPr>
        <w:ind w:left="260" w:right="100" w:firstLine="437"/>
        <w:spacing w:after="0" w:line="25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June 13, 2019 (September 9, 2019 as to the effect of the stock split described in Note 2)</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served as the Company’s auditor since 2016.</w:t>
      </w:r>
    </w:p>
    <w:p>
      <w:pPr>
        <w:spacing w:after="0" w:line="1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240" w:top="456" w:right="5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DATADOG, INC.</w:t>
      </w:r>
    </w:p>
    <w:p>
      <w:pPr>
        <w:spacing w:after="0" w:line="11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7"/>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left="69"/>
              <w:spacing w:after="0" w:line="147"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7"/>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880" w:type="dxa"/>
            <w:vAlign w:val="bottom"/>
            <w:gridSpan w:val="3"/>
            <w:vMerge w:val="restart"/>
          </w:tcPr>
          <w:p>
            <w:pPr>
              <w:jc w:val="right"/>
              <w:ind w:right="269"/>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9"/>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9"/>
              <w:spacing w:after="0" w:line="141"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9"/>
              <w:spacing w:after="0" w:line="141"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169"/>
              <w:spacing w:after="0" w:line="141"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3"/>
          </w:tcPr>
          <w:p>
            <w:pPr>
              <w:jc w:val="right"/>
              <w:ind w:right="549"/>
              <w:spacing w:after="0" w:line="141"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Cash and cash equivalents</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60,024</w:t>
            </w:r>
          </w:p>
        </w:tc>
        <w:tc>
          <w:tcPr>
            <w:tcW w:w="280" w:type="dxa"/>
            <w:vAlign w:val="bottom"/>
          </w:tcPr>
          <w:p>
            <w:pPr>
              <w:spacing w:after="0"/>
              <w:rPr>
                <w:sz w:val="12"/>
                <w:szCs w:val="12"/>
                <w:color w:val="auto"/>
              </w:rPr>
            </w:pPr>
          </w:p>
        </w:tc>
        <w:tc>
          <w:tcPr>
            <w:tcW w:w="3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53,639</w:t>
            </w:r>
          </w:p>
        </w:tc>
        <w:tc>
          <w:tcPr>
            <w:tcW w:w="280" w:type="dxa"/>
            <w:vAlign w:val="bottom"/>
          </w:tcPr>
          <w:p>
            <w:pPr>
              <w:spacing w:after="0"/>
              <w:rPr>
                <w:sz w:val="12"/>
                <w:szCs w:val="12"/>
                <w:color w:val="auto"/>
              </w:rPr>
            </w:pPr>
          </w:p>
        </w:tc>
        <w:tc>
          <w:tcPr>
            <w:tcW w:w="3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52,286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6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rPr>
              <w:t>Accounts receivable, net of allowance of doubtful accounts of $450, $477, and $507 (unaudited) as of</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66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December 31, 2017, 2018 and June 30, 2019, respectively</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30,957</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55,822</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67,447</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Deferred contract costs, current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1,701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3,717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5,066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7,737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8,773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21,135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60" w:type="dxa"/>
            <w:vAlign w:val="bottom"/>
          </w:tcPr>
          <w:p>
            <w:pPr>
              <w:ind w:left="560"/>
              <w:spacing w:after="0" w:line="154"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4" w:lineRule="exact"/>
              <w:rPr>
                <w:sz w:val="20"/>
                <w:szCs w:val="20"/>
                <w:color w:val="auto"/>
              </w:rPr>
            </w:pPr>
            <w:r>
              <w:rPr>
                <w:rFonts w:ascii="Arial" w:cs="Arial" w:eastAsia="Arial" w:hAnsi="Arial"/>
                <w:sz w:val="14"/>
                <w:szCs w:val="14"/>
                <w:color w:val="auto"/>
                <w:w w:val="86"/>
              </w:rPr>
              <w:t>100,419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4" w:lineRule="exact"/>
              <w:rPr>
                <w:sz w:val="20"/>
                <w:szCs w:val="20"/>
                <w:color w:val="auto"/>
              </w:rPr>
            </w:pPr>
            <w:r>
              <w:rPr>
                <w:rFonts w:ascii="Arial" w:cs="Arial" w:eastAsia="Arial" w:hAnsi="Arial"/>
                <w:sz w:val="14"/>
                <w:szCs w:val="14"/>
                <w:color w:val="auto"/>
                <w:w w:val="98"/>
              </w:rPr>
              <w:t>121,951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4" w:lineRule="exact"/>
              <w:rPr>
                <w:sz w:val="20"/>
                <w:szCs w:val="20"/>
                <w:color w:val="auto"/>
              </w:rPr>
            </w:pPr>
            <w:r>
              <w:rPr>
                <w:rFonts w:ascii="Arial" w:cs="Arial" w:eastAsia="Arial" w:hAnsi="Arial"/>
                <w:sz w:val="14"/>
                <w:szCs w:val="14"/>
                <w:color w:val="auto"/>
                <w:w w:val="98"/>
              </w:rPr>
              <w:t>145,934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11,121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21,649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30,123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Operating lease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43,410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6,292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7,626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7,626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Intangibles,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974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1,288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942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Deferred contract costs, non-current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3,054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7,292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9,803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Restricted cash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3,470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11,341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8,104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1,732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8,603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15,817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60" w:type="dxa"/>
            <w:vAlign w:val="bottom"/>
          </w:tcPr>
          <w:p>
            <w:pPr>
              <w:ind w:left="280"/>
              <w:spacing w:after="0" w:line="154" w:lineRule="exact"/>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6"/>
              </w:rPr>
              <w:t>127,062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8"/>
              </w:rPr>
              <w:t>179,750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8"/>
              </w:rPr>
              <w:t>261,759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6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spacing w:after="0" w:line="147"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5,316</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12,638</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23,529</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Accrued expenses and other current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16,656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30,290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21,725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Operating lease liabilities, current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9,626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Deferred revenue, current</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35,283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69,306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w w:val="98"/>
              </w:rPr>
              <w:t>101,818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560"/>
              <w:spacing w:after="0" w:line="147" w:lineRule="exact"/>
              <w:rPr>
                <w:sz w:val="20"/>
                <w:szCs w:val="20"/>
                <w:color w:val="auto"/>
              </w:rPr>
            </w:pPr>
            <w:r>
              <w:rPr>
                <w:rFonts w:ascii="Arial" w:cs="Arial" w:eastAsia="Arial" w:hAnsi="Arial"/>
                <w:sz w:val="14"/>
                <w:szCs w:val="14"/>
                <w:color w:val="auto"/>
              </w:rPr>
              <w:t>Total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57,255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8"/>
              </w:rPr>
              <w:t>112,234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8"/>
              </w:rPr>
              <w:t>156,698</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Operating lease liabilities, non-current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38,737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280"/>
              <w:spacing w:after="0" w:line="147" w:lineRule="exact"/>
              <w:rPr>
                <w:sz w:val="20"/>
                <w:szCs w:val="20"/>
                <w:color w:val="auto"/>
              </w:rPr>
            </w:pPr>
            <w:r>
              <w:rPr>
                <w:rFonts w:ascii="Arial" w:cs="Arial" w:eastAsia="Arial" w:hAnsi="Arial"/>
                <w:sz w:val="14"/>
                <w:szCs w:val="14"/>
                <w:color w:val="auto"/>
              </w:rPr>
              <w:t>Deferred revenue, non-current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3,818</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1,393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3,422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60" w:type="dxa"/>
            <w:vAlign w:val="bottom"/>
          </w:tcPr>
          <w:p>
            <w:pPr>
              <w:ind w:left="280"/>
              <w:spacing w:after="0" w:line="147" w:lineRule="exact"/>
              <w:rPr>
                <w:sz w:val="20"/>
                <w:szCs w:val="20"/>
                <w:color w:val="auto"/>
              </w:rPr>
            </w:pPr>
            <w:r>
              <w:rPr>
                <w:rFonts w:ascii="Arial" w:cs="Arial" w:eastAsia="Arial" w:hAnsi="Arial"/>
                <w:sz w:val="14"/>
                <w:szCs w:val="14"/>
                <w:color w:val="auto"/>
              </w:rPr>
              <w:t>Other liabilities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885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1,359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1,373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560"/>
              <w:spacing w:after="0" w:line="147"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61,958</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8"/>
              </w:rPr>
              <w:t>114,986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8"/>
              </w:rPr>
              <w:t>200,230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spacing w:after="0" w:line="147" w:lineRule="exact"/>
              <w:rPr>
                <w:sz w:val="20"/>
                <w:szCs w:val="20"/>
                <w:color w:val="auto"/>
              </w:rPr>
            </w:pPr>
            <w:r>
              <w:rPr>
                <w:rFonts w:ascii="Arial" w:cs="Arial" w:eastAsia="Arial" w:hAnsi="Arial"/>
                <w:sz w:val="14"/>
                <w:szCs w:val="14"/>
                <w:color w:val="auto"/>
              </w:rPr>
              <w:t>COMMITMENTS AND CONTINGENCIES (NOTE 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CONVERTIBLE PREFERRED STOCK:</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60" w:type="dxa"/>
            <w:vAlign w:val="bottom"/>
          </w:tcPr>
          <w:p>
            <w:pPr>
              <w:spacing w:after="0" w:line="129" w:lineRule="exact"/>
              <w:rPr>
                <w:sz w:val="20"/>
                <w:szCs w:val="20"/>
                <w:color w:val="auto"/>
              </w:rPr>
            </w:pPr>
            <w:r>
              <w:rPr>
                <w:rFonts w:ascii="Arial" w:cs="Arial" w:eastAsia="Arial" w:hAnsi="Arial"/>
                <w:sz w:val="14"/>
                <w:szCs w:val="14"/>
                <w:color w:val="auto"/>
              </w:rPr>
              <w:t>Convertible Preferred Stock; $0.00001 par value per share; 179,814,912 shares authorized; 179,814,912,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140"/>
              <w:spacing w:after="0" w:line="147" w:lineRule="exact"/>
              <w:rPr>
                <w:sz w:val="20"/>
                <w:szCs w:val="20"/>
                <w:color w:val="auto"/>
              </w:rPr>
            </w:pPr>
            <w:r>
              <w:rPr>
                <w:rFonts w:ascii="Arial" w:cs="Arial" w:eastAsia="Arial" w:hAnsi="Arial"/>
                <w:sz w:val="14"/>
                <w:szCs w:val="14"/>
                <w:color w:val="auto"/>
              </w:rPr>
              <w:t>179,814,912 and 179,011,431 shares issued and outstanding as of December 31, 2017 and 2018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140"/>
              <w:spacing w:after="0" w:line="147" w:lineRule="exact"/>
              <w:rPr>
                <w:sz w:val="20"/>
                <w:szCs w:val="20"/>
                <w:color w:val="auto"/>
              </w:rPr>
            </w:pPr>
            <w:r>
              <w:rPr>
                <w:rFonts w:ascii="Arial" w:cs="Arial" w:eastAsia="Arial" w:hAnsi="Arial"/>
                <w:sz w:val="14"/>
                <w:szCs w:val="14"/>
                <w:color w:val="auto"/>
              </w:rPr>
              <w:t>June 30, 2019 (unaudited); liquidation preference of $141,312, $141,312 and $141,246 as of</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140"/>
              <w:spacing w:after="0" w:line="147" w:lineRule="exact"/>
              <w:rPr>
                <w:sz w:val="20"/>
                <w:szCs w:val="20"/>
                <w:color w:val="auto"/>
              </w:rPr>
            </w:pPr>
            <w:r>
              <w:rPr>
                <w:rFonts w:ascii="Arial" w:cs="Arial" w:eastAsia="Arial" w:hAnsi="Arial"/>
                <w:sz w:val="14"/>
                <w:szCs w:val="14"/>
                <w:color w:val="auto"/>
              </w:rPr>
              <w:t>December 31, 2017 and 2018 and June 30, 2019 (unaudited); 0 shares issued and outstanding as of</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660" w:type="dxa"/>
            <w:vAlign w:val="bottom"/>
          </w:tcPr>
          <w:p>
            <w:pPr>
              <w:ind w:left="140"/>
              <w:spacing w:after="0"/>
              <w:rPr>
                <w:sz w:val="20"/>
                <w:szCs w:val="20"/>
                <w:color w:val="auto"/>
              </w:rPr>
            </w:pPr>
            <w:r>
              <w:rPr>
                <w:rFonts w:ascii="Arial" w:cs="Arial" w:eastAsia="Arial" w:hAnsi="Arial"/>
                <w:sz w:val="14"/>
                <w:szCs w:val="14"/>
                <w:color w:val="auto"/>
              </w:rPr>
              <w:t>June 30, 2019 pro forma (unaudited)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86"/>
              </w:rPr>
              <w:t>140,805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140,805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140,752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60" w:type="dxa"/>
            <w:vAlign w:val="bottom"/>
          </w:tcPr>
          <w:p>
            <w:pPr>
              <w:spacing w:after="0" w:line="129" w:lineRule="exact"/>
              <w:rPr>
                <w:sz w:val="20"/>
                <w:szCs w:val="20"/>
                <w:color w:val="auto"/>
              </w:rPr>
            </w:pPr>
            <w:r>
              <w:rPr>
                <w:rFonts w:ascii="Arial" w:cs="Arial" w:eastAsia="Arial" w:hAnsi="Arial"/>
                <w:sz w:val="14"/>
                <w:szCs w:val="14"/>
                <w:color w:val="auto"/>
                <w:w w:val="96"/>
              </w:rPr>
              <w:t>Non-voting common shares; $0.00001 par value per share; 0 shares authorized; 1,137,000 and 0 and 0 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60" w:type="dxa"/>
            <w:vAlign w:val="bottom"/>
          </w:tcPr>
          <w:p>
            <w:pPr>
              <w:ind w:left="140"/>
              <w:spacing w:after="0" w:line="147" w:lineRule="exact"/>
              <w:rPr>
                <w:sz w:val="20"/>
                <w:szCs w:val="20"/>
                <w:color w:val="auto"/>
              </w:rPr>
            </w:pPr>
            <w:r>
              <w:rPr>
                <w:rFonts w:ascii="Arial" w:cs="Arial" w:eastAsia="Arial" w:hAnsi="Arial"/>
                <w:sz w:val="14"/>
                <w:szCs w:val="14"/>
                <w:color w:val="auto"/>
                <w:w w:val="98"/>
              </w:rPr>
              <w:t>issued and outstanding as of December 31, 2017 and 2018 and June 30, 2019 (unaudited), respectively; 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660" w:type="dxa"/>
            <w:vAlign w:val="bottom"/>
          </w:tcPr>
          <w:p>
            <w:pPr>
              <w:ind w:left="140"/>
              <w:spacing w:after="0"/>
              <w:rPr>
                <w:sz w:val="20"/>
                <w:szCs w:val="20"/>
                <w:color w:val="auto"/>
              </w:rPr>
            </w:pPr>
            <w:r>
              <w:rPr>
                <w:rFonts w:ascii="Arial" w:cs="Arial" w:eastAsia="Arial" w:hAnsi="Arial"/>
                <w:sz w:val="14"/>
                <w:szCs w:val="14"/>
                <w:color w:val="auto"/>
              </w:rPr>
              <w:t>shares issued and outstanding as of June 30, 2019 pro forma (unaudited)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66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9"/>
              </w:rPr>
              <w:t>Common stock, $0.00001 par value per share; 380,000,000 shares authorized; 62,160,984, 78,180,606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86,823,234 shares issued and outstanding as of December 31, 2017 and 2018 and June 30, 2019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(unaudited), respectively; 265,834,665 shares issued and outstanding as of June 30, 2019 pro forma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(unaudited)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660" w:type="dxa"/>
            <w:vAlign w:val="bottom"/>
          </w:tcPr>
          <w:p>
            <w:pPr>
              <w:spacing w:after="0" w:line="147"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Arial" w:cs="Arial" w:eastAsia="Arial" w:hAnsi="Arial"/>
                <w:sz w:val="14"/>
                <w:szCs w:val="14"/>
                <w:color w:val="auto"/>
              </w:rPr>
              <w:t>19,716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30,834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Arial" w:cs="Arial" w:eastAsia="Arial" w:hAnsi="Arial"/>
                <w:sz w:val="14"/>
                <w:szCs w:val="14"/>
                <w:color w:val="auto"/>
              </w:rPr>
              <w:t>41,132</w:t>
            </w:r>
          </w:p>
        </w:tc>
        <w:tc>
          <w:tcPr>
            <w:tcW w:w="280" w:type="dxa"/>
            <w:vAlign w:val="bottom"/>
          </w:tcPr>
          <w:p>
            <w:pPr>
              <w:spacing w:after="0"/>
              <w:rPr>
                <w:sz w:val="12"/>
                <w:szCs w:val="12"/>
                <w:color w:val="auto"/>
              </w:rPr>
            </w:pP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181,881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Accumulated other comprehensive (loss)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(48)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9"/>
              <w:spacing w:after="0" w:line="147" w:lineRule="exact"/>
              <w:rPr>
                <w:sz w:val="20"/>
                <w:szCs w:val="20"/>
                <w:color w:val="auto"/>
              </w:rPr>
            </w:pPr>
            <w:r>
              <w:rPr>
                <w:rFonts w:ascii="Arial" w:cs="Arial" w:eastAsia="Arial" w:hAnsi="Arial"/>
                <w:sz w:val="14"/>
                <w:szCs w:val="14"/>
                <w:color w:val="auto"/>
              </w:rPr>
              <w:t>(9)</w:t>
            </w:r>
          </w:p>
        </w:tc>
        <w:tc>
          <w:tcPr>
            <w:tcW w:w="118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7"/>
        </w:trPr>
        <w:tc>
          <w:tcPr>
            <w:tcW w:w="6660" w:type="dxa"/>
            <w:vAlign w:val="bottom"/>
          </w:tcPr>
          <w:p>
            <w:pPr>
              <w:spacing w:after="0" w:line="147" w:lineRule="exact"/>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w w:val="95"/>
              </w:rPr>
              <w:t>(95,369)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w w:val="90"/>
              </w:rPr>
              <w:t>(106,906)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9"/>
              <w:spacing w:after="0" w:line="147" w:lineRule="exact"/>
              <w:rPr>
                <w:sz w:val="20"/>
                <w:szCs w:val="20"/>
                <w:color w:val="auto"/>
              </w:rPr>
            </w:pPr>
            <w:r>
              <w:rPr>
                <w:rFonts w:ascii="Arial" w:cs="Arial" w:eastAsia="Arial" w:hAnsi="Arial"/>
                <w:sz w:val="14"/>
                <w:szCs w:val="14"/>
                <w:color w:val="auto"/>
                <w:w w:val="90"/>
              </w:rPr>
              <w:t>(120,346)</w:t>
            </w:r>
          </w:p>
        </w:tc>
        <w:tc>
          <w:tcPr>
            <w:tcW w:w="1180" w:type="dxa"/>
            <w:vAlign w:val="bottom"/>
            <w:gridSpan w:val="3"/>
          </w:tcPr>
          <w:p>
            <w:pPr>
              <w:jc w:val="right"/>
              <w:ind w:right="60"/>
              <w:spacing w:after="0" w:line="147" w:lineRule="exact"/>
              <w:rPr>
                <w:sz w:val="20"/>
                <w:szCs w:val="20"/>
                <w:color w:val="auto"/>
              </w:rPr>
            </w:pPr>
            <w:r>
              <w:rPr>
                <w:rFonts w:ascii="Arial" w:cs="Arial" w:eastAsia="Arial" w:hAnsi="Arial"/>
                <w:sz w:val="14"/>
                <w:szCs w:val="14"/>
                <w:color w:val="auto"/>
              </w:rPr>
              <w:t>(120,346)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660" w:type="dxa"/>
            <w:vAlign w:val="bottom"/>
            <w:shd w:val="clear" w:color="auto" w:fill="CCEEFF"/>
          </w:tcPr>
          <w:p>
            <w:pPr>
              <w:ind w:left="560"/>
              <w:spacing w:after="0" w:line="147" w:lineRule="exact"/>
              <w:rPr>
                <w:sz w:val="20"/>
                <w:szCs w:val="20"/>
                <w:color w:val="auto"/>
              </w:rPr>
            </w:pPr>
            <w:r>
              <w:rPr>
                <w:rFonts w:ascii="Arial" w:cs="Arial" w:eastAsia="Arial" w:hAnsi="Arial"/>
                <w:sz w:val="14"/>
                <w:szCs w:val="14"/>
                <w:color w:val="auto"/>
              </w:rPr>
              <w:t>Total stockholders’ (deficit)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w w:val="95"/>
              </w:rPr>
              <w:t>(75,701)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(76,041)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9"/>
              <w:spacing w:after="0" w:line="147" w:lineRule="exact"/>
              <w:rPr>
                <w:sz w:val="20"/>
                <w:szCs w:val="20"/>
                <w:color w:val="auto"/>
              </w:rPr>
            </w:pPr>
            <w:r>
              <w:rPr>
                <w:rFonts w:ascii="Arial" w:cs="Arial" w:eastAsia="Arial" w:hAnsi="Arial"/>
                <w:sz w:val="14"/>
                <w:szCs w:val="14"/>
                <w:color w:val="auto"/>
              </w:rPr>
              <w:t>(79,223)</w:t>
            </w:r>
          </w:p>
        </w:tc>
        <w:tc>
          <w:tcPr>
            <w:tcW w:w="10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61,529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60" w:type="dxa"/>
            <w:vAlign w:val="bottom"/>
          </w:tcPr>
          <w:p>
            <w:pPr>
              <w:spacing w:after="0" w:line="154"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6"/>
              </w:rPr>
              <w:t>127,062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8"/>
              </w:rPr>
              <w:t>179,750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8"/>
              </w:rPr>
              <w:t>261,759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80"/>
          </w:cols>
          <w:pgMar w:left="240" w:top="456"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2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22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1"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1"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left="353"/>
              <w:spacing w:after="0" w:line="141" w:lineRule="exact"/>
              <w:rPr>
                <w:sz w:val="20"/>
                <w:szCs w:val="20"/>
                <w:color w:val="auto"/>
              </w:rPr>
            </w:pPr>
            <w:r>
              <w:rPr>
                <w:rFonts w:ascii="Arial" w:cs="Arial" w:eastAsia="Arial" w:hAnsi="Arial"/>
                <w:sz w:val="14"/>
                <w:szCs w:val="14"/>
                <w:b w:val="1"/>
                <w:bCs w:val="1"/>
                <w:color w:val="auto"/>
                <w:w w:val="91"/>
              </w:rPr>
              <w:t>(unaudited)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100,761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198,077</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85,393</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Cost of revenue</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18,592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151,548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66,801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23,297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88,849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34,617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162,581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66,525</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(2,956)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(11,033)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2"/>
              </w:rPr>
              <w:t>(13,656)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(10,240)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2"/>
              </w:rPr>
              <w:t>(13,100)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2"/>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(522)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93"/>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(2,570)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(10,762)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2"/>
              </w:rPr>
              <w:t>(13,440)</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w w:val="99"/>
              </w:rPr>
              <w:t>Other comprehensive (loss) income—foreign currency translation adjustments</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2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(2,618)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(10,684)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2"/>
              </w:rPr>
              <w:t>(13,480)</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(loss) income attributable to common stockholders</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(10,762</w:t>
            </w:r>
          </w:p>
        </w:tc>
        <w:tc>
          <w:tcPr>
            <w:tcW w:w="220" w:type="dxa"/>
            <w:vAlign w:val="bottom"/>
          </w:tcPr>
          <w:p>
            <w:pPr>
              <w:jc w:val="right"/>
              <w:ind w:right="14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(13,440</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per share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 average shares used in calculating basic net (loss) income per share:</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67,856</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 average shares used in calculating diluted net (loss) income per share:</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81,528</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 per share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calculating pro-forma net loss per share</w:t>
            </w: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250,766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259,141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80"/>
          </w:cols>
          <w:pgMar w:left="240" w:top="456"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4" w:lineRule="exact"/>
        <w:rPr>
          <w:sz w:val="20"/>
          <w:szCs w:val="20"/>
          <w:color w:val="auto"/>
        </w:rPr>
      </w:pPr>
    </w:p>
    <w:p>
      <w:pPr>
        <w:jc w:val="center"/>
        <w:ind w:left="500" w:right="920"/>
        <w:spacing w:after="0" w:line="252" w:lineRule="auto"/>
        <w:rPr>
          <w:sz w:val="20"/>
          <w:szCs w:val="20"/>
          <w:color w:val="auto"/>
        </w:rPr>
      </w:pPr>
      <w:r>
        <w:rPr>
          <w:rFonts w:ascii="Arial" w:cs="Arial" w:eastAsia="Arial" w:hAnsi="Arial"/>
          <w:sz w:val="18"/>
          <w:szCs w:val="18"/>
          <w:b w:val="1"/>
          <w:bCs w:val="1"/>
          <w:color w:val="auto"/>
        </w:rPr>
        <w:t>CONSOLIDATED STATEMENTS OF CONVERTIBLE PREFERRED STOCK AND STOCKHOLDERS’ DEFICIT FOR THE YEARS ENDED DECEMBER 31, 2017 AND 2018 AND SIX MONTHS ENDED JUNE 30, 2019 (unaudited) (in thousands, except share data)</w:t>
      </w:r>
    </w:p>
    <w:p>
      <w:pPr>
        <w:spacing w:after="0" w:line="19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Convertible Preferred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center"/>
              <w:ind w:left="69"/>
              <w:spacing w:after="0"/>
              <w:rPr>
                <w:sz w:val="20"/>
                <w:szCs w:val="20"/>
                <w:color w:val="auto"/>
              </w:rPr>
            </w:pPr>
            <w:r>
              <w:rPr>
                <w:rFonts w:ascii="Arial" w:cs="Arial" w:eastAsia="Arial" w:hAnsi="Arial"/>
                <w:sz w:val="14"/>
                <w:szCs w:val="14"/>
                <w:b w:val="1"/>
                <w:bCs w:val="1"/>
                <w:color w:val="auto"/>
                <w:w w:val="92"/>
              </w:rPr>
              <w:t>Non-Voting</w:t>
            </w:r>
          </w:p>
        </w:tc>
        <w:tc>
          <w:tcPr>
            <w:tcW w:w="1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4"/>
            <w:vMerge w:val="restart"/>
          </w:tcPr>
          <w:p>
            <w:pPr>
              <w:jc w:val="right"/>
              <w:ind w:right="49"/>
              <w:spacing w:after="0"/>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w w:val="94"/>
              </w:rPr>
              <w:t>Paid-in</w:t>
            </w:r>
          </w:p>
        </w:tc>
        <w:tc>
          <w:tcPr>
            <w:tcW w:w="1180" w:type="dxa"/>
            <w:vAlign w:val="bottom"/>
            <w:gridSpan w:val="4"/>
          </w:tcPr>
          <w:p>
            <w:pPr>
              <w:ind w:left="120"/>
              <w:spacing w:after="0" w:line="147" w:lineRule="exact"/>
              <w:rPr>
                <w:sz w:val="20"/>
                <w:szCs w:val="20"/>
                <w:color w:val="auto"/>
              </w:rPr>
            </w:pPr>
            <w:r>
              <w:rPr>
                <w:rFonts w:ascii="Arial" w:cs="Arial" w:eastAsia="Arial" w:hAnsi="Arial"/>
                <w:sz w:val="14"/>
                <w:szCs w:val="14"/>
                <w:b w:val="1"/>
                <w:bCs w:val="1"/>
                <w:color w:val="auto"/>
                <w:w w:val="98"/>
              </w:rPr>
              <w:t>Comprehensive</w:t>
            </w:r>
          </w:p>
        </w:tc>
        <w:tc>
          <w:tcPr>
            <w:tcW w:w="1000" w:type="dxa"/>
            <w:vAlign w:val="bottom"/>
            <w:gridSpan w:val="4"/>
            <w:vMerge w:val="continue"/>
          </w:tcPr>
          <w:p>
            <w:pPr>
              <w:spacing w:after="0"/>
              <w:rPr>
                <w:sz w:val="12"/>
                <w:szCs w:val="12"/>
                <w:color w:val="auto"/>
              </w:rPr>
            </w:pPr>
          </w:p>
        </w:tc>
        <w:tc>
          <w:tcPr>
            <w:tcW w:w="1000" w:type="dxa"/>
            <w:vAlign w:val="bottom"/>
            <w:gridSpan w:val="4"/>
          </w:tcPr>
          <w:p>
            <w:pPr>
              <w:ind w:left="60"/>
              <w:spacing w:after="0" w:line="147"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20" w:type="dxa"/>
            <w:vAlign w:val="bottom"/>
            <w:gridSpan w:val="3"/>
          </w:tcPr>
          <w:p>
            <w:pPr>
              <w:jc w:val="right"/>
              <w:ind w:right="469"/>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left="69"/>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(Loss) 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60" w:type="dxa"/>
            <w:vAlign w:val="bottom"/>
            <w:tcBorders>
              <w:top w:val="single" w:sz="8" w:color="auto"/>
            </w:tcBorders>
          </w:tcPr>
          <w:p>
            <w:pPr>
              <w:jc w:val="right"/>
              <w:ind w:right="109"/>
              <w:spacing w:after="0" w:line="141"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ind w:right="69"/>
              <w:spacing w:after="0" w:line="141"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ind w:right="89"/>
              <w:spacing w:after="0" w:line="141"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3"/>
          </w:tcPr>
          <w:p>
            <w:pPr>
              <w:ind w:left="120"/>
              <w:spacing w:after="0" w:line="141"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20" w:type="dxa"/>
            <w:vAlign w:val="bottom"/>
            <w:tcBorders>
              <w:top w:val="single" w:sz="8" w:color="CCEEFF"/>
            </w:tcBorders>
            <w:shd w:val="clear" w:color="auto" w:fill="CCEEFF"/>
          </w:tcPr>
          <w:p>
            <w:pPr>
              <w:spacing w:after="0" w:line="109" w:lineRule="exact"/>
              <w:rPr>
                <w:sz w:val="20"/>
                <w:szCs w:val="20"/>
                <w:color w:val="auto"/>
              </w:rPr>
            </w:pPr>
            <w:r>
              <w:rPr>
                <w:rFonts w:ascii="Arial" w:cs="Arial" w:eastAsia="Arial" w:hAnsi="Arial"/>
                <w:sz w:val="12"/>
                <w:szCs w:val="12"/>
                <w:color w:val="auto"/>
              </w:rPr>
              <w:t>BALANCE—December 31, 2016 (as</w:t>
            </w: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reported)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179,814,912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$ 140,805</w:t>
            </w:r>
          </w:p>
        </w:tc>
        <w:tc>
          <w:tcPr>
            <w:tcW w:w="100" w:type="dxa"/>
            <w:vAlign w:val="bottom"/>
            <w:tcBorders>
              <w:right w:val="single" w:sz="8" w:color="auto"/>
            </w:tcBorders>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57,692,496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1,137,000</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(95,476)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(81,691)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20" w:type="dxa"/>
            <w:vAlign w:val="bottom"/>
          </w:tcPr>
          <w:p>
            <w:pPr>
              <w:spacing w:after="0" w:line="147" w:lineRule="exact"/>
              <w:rPr>
                <w:sz w:val="20"/>
                <w:szCs w:val="20"/>
                <w:color w:val="auto"/>
              </w:rPr>
            </w:pPr>
            <w:r>
              <w:rPr>
                <w:rFonts w:ascii="Arial" w:cs="Arial" w:eastAsia="Arial" w:hAnsi="Arial"/>
                <w:sz w:val="14"/>
                <w:szCs w:val="14"/>
                <w:color w:val="auto"/>
              </w:rPr>
              <w:t>Effect of adoption of ASC 606</w:t>
            </w:r>
          </w:p>
        </w:tc>
        <w:tc>
          <w:tcPr>
            <w:tcW w:w="7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2,677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2,677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98"/>
              </w:rPr>
              <w:t>BALANCE—January 1, 2017 (as adjusted)</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179,814,912</w:t>
            </w:r>
          </w:p>
        </w:tc>
        <w:tc>
          <w:tcPr>
            <w:tcW w:w="6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140,805</w:t>
            </w:r>
          </w:p>
        </w:tc>
        <w:tc>
          <w:tcPr>
            <w:tcW w:w="10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57,692,496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1,137,000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13,785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(92,799)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(79,014)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line="129" w:lineRule="exact"/>
              <w:rPr>
                <w:sz w:val="20"/>
                <w:szCs w:val="20"/>
                <w:color w:val="auto"/>
              </w:rPr>
            </w:pPr>
            <w:r>
              <w:rPr>
                <w:rFonts w:ascii="Arial" w:cs="Arial" w:eastAsia="Arial" w:hAnsi="Arial"/>
                <w:sz w:val="14"/>
                <w:szCs w:val="14"/>
                <w:color w:val="auto"/>
                <w:w w:val="95"/>
              </w:rPr>
              <w:t>Issuance of common stock upon exercise of</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2,165,976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tcPr>
          <w:p>
            <w:pPr>
              <w:spacing w:after="0" w:line="147" w:lineRule="exact"/>
              <w:rPr>
                <w:sz w:val="20"/>
                <w:szCs w:val="20"/>
                <w:color w:val="auto"/>
              </w:rPr>
            </w:pPr>
            <w:r>
              <w:rPr>
                <w:rFonts w:ascii="Arial" w:cs="Arial" w:eastAsia="Arial" w:hAnsi="Arial"/>
                <w:sz w:val="14"/>
                <w:szCs w:val="14"/>
                <w:color w:val="auto"/>
              </w:rPr>
              <w:t>Issuance of common stock for acquisition</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2,292,012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line="129" w:lineRule="exact"/>
              <w:rPr>
                <w:sz w:val="20"/>
                <w:szCs w:val="20"/>
                <w:color w:val="auto"/>
              </w:rPr>
            </w:pPr>
            <w:r>
              <w:rPr>
                <w:rFonts w:ascii="Arial" w:cs="Arial" w:eastAsia="Arial" w:hAnsi="Arial"/>
                <w:sz w:val="14"/>
                <w:szCs w:val="14"/>
                <w:color w:val="auto"/>
                <w:w w:val="92"/>
              </w:rPr>
              <w:t>Change in accumulated other comprehensive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Arial" w:cs="Arial" w:eastAsia="Arial" w:hAnsi="Arial"/>
                <w:sz w:val="14"/>
                <w:szCs w:val="14"/>
                <w:color w:val="auto"/>
              </w:rPr>
              <w:t>(loss)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10,500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tcPr>
          <w:p>
            <w:pPr>
              <w:spacing w:after="0" w:line="147" w:lineRule="exact"/>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(2,570)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BALANCE—December 31, 2017</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179,814,912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140,805</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4"/>
              </w:rPr>
              <w:t>62,160,984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1,137,000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19,716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(95,369)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(75,701)</w:t>
            </w:r>
          </w:p>
        </w:tc>
        <w:tc>
          <w:tcPr>
            <w:tcW w:w="0" w:type="dxa"/>
            <w:vAlign w:val="bottom"/>
          </w:tcPr>
          <w:p>
            <w:pPr>
              <w:spacing w:after="0"/>
              <w:rPr>
                <w:sz w:val="1"/>
                <w:szCs w:val="1"/>
                <w:color w:val="auto"/>
              </w:rPr>
            </w:pPr>
          </w:p>
        </w:tc>
      </w:tr>
      <w:tr>
        <w:trPr>
          <w:trHeight w:val="161"/>
        </w:trPr>
        <w:tc>
          <w:tcPr>
            <w:tcW w:w="2640" w:type="dxa"/>
            <w:vAlign w:val="bottom"/>
            <w:gridSpan w:val="2"/>
          </w:tcPr>
          <w:p>
            <w:pPr>
              <w:spacing w:after="0" w:line="154" w:lineRule="exact"/>
              <w:rPr>
                <w:sz w:val="20"/>
                <w:szCs w:val="20"/>
                <w:color w:val="auto"/>
              </w:rPr>
            </w:pPr>
            <w:r>
              <w:rPr>
                <w:rFonts w:ascii="Arial" w:cs="Arial" w:eastAsia="Arial" w:hAnsi="Arial"/>
                <w:sz w:val="14"/>
                <w:szCs w:val="14"/>
                <w:color w:val="auto"/>
              </w:rPr>
              <w:t>Effect of adoption of ASU 2016-09</w:t>
            </w: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ind w:left="20"/>
              <w:spacing w:after="0" w:line="154"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775</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(775)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BALANCE—January 1, 2018</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179,814,912</w:t>
            </w:r>
          </w:p>
        </w:tc>
        <w:tc>
          <w:tcPr>
            <w:tcW w:w="6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140,805</w:t>
            </w:r>
          </w:p>
        </w:tc>
        <w:tc>
          <w:tcPr>
            <w:tcW w:w="10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62,160,984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1,137,000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20,491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(96,144)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(75,701)</w:t>
            </w:r>
          </w:p>
        </w:tc>
        <w:tc>
          <w:tcPr>
            <w:tcW w:w="0" w:type="dxa"/>
            <w:vAlign w:val="bottom"/>
          </w:tcPr>
          <w:p>
            <w:pPr>
              <w:spacing w:after="0"/>
              <w:rPr>
                <w:sz w:val="1"/>
                <w:szCs w:val="1"/>
                <w:color w:val="auto"/>
              </w:rPr>
            </w:pPr>
          </w:p>
        </w:tc>
      </w:tr>
      <w:tr>
        <w:trPr>
          <w:trHeight w:val="135"/>
        </w:trPr>
        <w:tc>
          <w:tcPr>
            <w:tcW w:w="2640" w:type="dxa"/>
            <w:vAlign w:val="bottom"/>
            <w:gridSpan w:val="2"/>
          </w:tcPr>
          <w:p>
            <w:pPr>
              <w:spacing w:after="0" w:line="135" w:lineRule="exact"/>
              <w:rPr>
                <w:sz w:val="20"/>
                <w:szCs w:val="20"/>
                <w:color w:val="auto"/>
              </w:rPr>
            </w:pPr>
            <w:r>
              <w:rPr>
                <w:rFonts w:ascii="Arial" w:cs="Arial" w:eastAsia="Arial" w:hAnsi="Arial"/>
                <w:sz w:val="14"/>
                <w:szCs w:val="14"/>
                <w:color w:val="auto"/>
                <w:w w:val="96"/>
              </w:rPr>
              <w:t>Issuance of common stock upon exercise of</w:t>
            </w: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14,882,622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tcPr>
          <w:p>
            <w:pPr>
              <w:spacing w:after="0" w:line="147" w:lineRule="exact"/>
              <w:rPr>
                <w:sz w:val="20"/>
                <w:szCs w:val="20"/>
                <w:color w:val="auto"/>
              </w:rPr>
            </w:pPr>
            <w:r>
              <w:rPr>
                <w:rFonts w:ascii="Arial" w:cs="Arial" w:eastAsia="Arial" w:hAnsi="Arial"/>
                <w:sz w:val="14"/>
                <w:szCs w:val="14"/>
                <w:color w:val="auto"/>
              </w:rPr>
              <w:t>Stock-based compensation</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5,411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5,411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Conversion of non-voting common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1,137,000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(1,137,000)</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line="129" w:lineRule="exact"/>
              <w:rPr>
                <w:sz w:val="20"/>
                <w:szCs w:val="20"/>
                <w:color w:val="auto"/>
              </w:rPr>
            </w:pPr>
            <w:r>
              <w:rPr>
                <w:rFonts w:ascii="Arial" w:cs="Arial" w:eastAsia="Arial" w:hAnsi="Arial"/>
                <w:sz w:val="14"/>
                <w:szCs w:val="14"/>
                <w:color w:val="auto"/>
                <w:w w:val="92"/>
              </w:rPr>
              <w:t>Change in accumulated other comprehensive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Arial" w:cs="Arial" w:eastAsia="Arial" w:hAnsi="Arial"/>
                <w:sz w:val="14"/>
                <w:szCs w:val="14"/>
                <w:color w:val="auto"/>
              </w:rPr>
              <w:t>(loss)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loss</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(10,762)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(10,762)</w:t>
            </w:r>
          </w:p>
        </w:tc>
        <w:tc>
          <w:tcPr>
            <w:tcW w:w="0" w:type="dxa"/>
            <w:vAlign w:val="bottom"/>
          </w:tcPr>
          <w:p>
            <w:pPr>
              <w:spacing w:after="0"/>
              <w:rPr>
                <w:sz w:val="1"/>
                <w:szCs w:val="1"/>
                <w:color w:val="auto"/>
              </w:rPr>
            </w:pPr>
          </w:p>
        </w:tc>
      </w:tr>
      <w:tr>
        <w:trPr>
          <w:trHeight w:val="154"/>
        </w:trPr>
        <w:tc>
          <w:tcPr>
            <w:tcW w:w="2640" w:type="dxa"/>
            <w:vAlign w:val="bottom"/>
            <w:gridSpan w:val="2"/>
          </w:tcPr>
          <w:p>
            <w:pPr>
              <w:spacing w:after="0" w:line="154" w:lineRule="exact"/>
              <w:rPr>
                <w:sz w:val="20"/>
                <w:szCs w:val="20"/>
                <w:color w:val="auto"/>
              </w:rPr>
            </w:pPr>
            <w:r>
              <w:rPr>
                <w:rFonts w:ascii="Arial" w:cs="Arial" w:eastAsia="Arial" w:hAnsi="Arial"/>
                <w:sz w:val="14"/>
                <w:szCs w:val="14"/>
                <w:color w:val="auto"/>
              </w:rPr>
              <w:t>BALANCE—December 31, 2018</w:t>
            </w: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5"/>
              </w:rPr>
              <w:t>179,814,912</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89"/>
              </w:rPr>
              <w:t>$ 140,805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4"/>
              </w:rPr>
              <w:t>78,180,606</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9"/>
              <w:spacing w:after="0" w:line="154"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ind w:left="20"/>
              <w:spacing w:after="0" w:line="154"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30,834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(106,906</w:t>
            </w: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w w:val="84"/>
              </w:rPr>
              <w:t>)</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(76,041)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6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5"/>
              </w:rPr>
              <w:t>Issuance of common stock upon exercise of</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7,839,147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tcPr>
          <w:p>
            <w:pPr>
              <w:spacing w:after="0" w:line="147"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313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5,462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5,462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line="129" w:lineRule="exact"/>
              <w:rPr>
                <w:sz w:val="20"/>
                <w:szCs w:val="20"/>
                <w:color w:val="auto"/>
              </w:rPr>
            </w:pPr>
            <w:r>
              <w:rPr>
                <w:rFonts w:ascii="Arial" w:cs="Arial" w:eastAsia="Arial" w:hAnsi="Arial"/>
                <w:sz w:val="14"/>
                <w:szCs w:val="14"/>
                <w:color w:val="auto"/>
              </w:rPr>
              <w:t>Conversion of preferred stock to common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Arial" w:cs="Arial" w:eastAsia="Arial" w:hAnsi="Arial"/>
                <w:sz w:val="14"/>
                <w:szCs w:val="14"/>
                <w:color w:val="auto"/>
              </w:rPr>
              <w:t>stock</w:t>
            </w:r>
          </w:p>
        </w:tc>
        <w:tc>
          <w:tcPr>
            <w:tcW w:w="760" w:type="dxa"/>
            <w:vAlign w:val="bottom"/>
          </w:tcPr>
          <w:p>
            <w:pPr>
              <w:jc w:val="right"/>
              <w:spacing w:after="0"/>
              <w:rPr>
                <w:sz w:val="20"/>
                <w:szCs w:val="20"/>
                <w:color w:val="auto"/>
              </w:rPr>
            </w:pPr>
            <w:r>
              <w:rPr>
                <w:rFonts w:ascii="Arial" w:cs="Arial" w:eastAsia="Arial" w:hAnsi="Arial"/>
                <w:sz w:val="14"/>
                <w:szCs w:val="14"/>
                <w:color w:val="auto"/>
              </w:rPr>
              <w:t>(803,481)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right w:val="single" w:sz="8" w:color="auto"/>
            </w:tcBorders>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803,481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2"/>
              </w:rPr>
              <w:t>Change in accumulated other comprehensive</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20" w:type="dxa"/>
            <w:vAlign w:val="bottom"/>
          </w:tcPr>
          <w:p>
            <w:pPr>
              <w:spacing w:after="0" w:line="147" w:lineRule="exact"/>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ind w:left="20"/>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(13,440)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(13,440)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BALANCE—June 30, 2019</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179,011,431</w:t>
            </w:r>
          </w:p>
        </w:tc>
        <w:tc>
          <w:tcPr>
            <w:tcW w:w="6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$ 140,752</w:t>
            </w:r>
          </w:p>
        </w:tc>
        <w:tc>
          <w:tcPr>
            <w:tcW w:w="100" w:type="dxa"/>
            <w:vAlign w:val="bottom"/>
            <w:tcBorders>
              <w:right w:val="single" w:sz="8" w:color="auto"/>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86,823,234</w:t>
            </w:r>
          </w:p>
        </w:tc>
        <w:tc>
          <w:tcPr>
            <w:tcW w:w="440" w:type="dxa"/>
            <w:vAlign w:val="bottom"/>
            <w:gridSpan w:val="2"/>
            <w:shd w:val="clear" w:color="auto" w:fill="CCEEFF"/>
          </w:tcPr>
          <w:p>
            <w:pPr>
              <w:jc w:val="right"/>
              <w:ind w:right="189"/>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w w:val="99"/>
              </w:rPr>
              <w:t>—</w:t>
            </w:r>
          </w:p>
        </w:tc>
        <w:tc>
          <w:tcPr>
            <w:tcW w:w="2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41,132</w:t>
            </w:r>
          </w:p>
        </w:tc>
        <w:tc>
          <w:tcPr>
            <w:tcW w:w="20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(9)</w:t>
            </w:r>
          </w:p>
        </w:tc>
        <w:tc>
          <w:tcPr>
            <w:tcW w:w="20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(120,346)</w:t>
            </w:r>
          </w:p>
        </w:tc>
        <w:tc>
          <w:tcPr>
            <w:tcW w:w="200" w:type="dxa"/>
            <w:vAlign w:val="bottom"/>
            <w:gridSpan w:val="2"/>
            <w:shd w:val="clear" w:color="auto" w:fill="CCEEFF"/>
          </w:tcPr>
          <w:p>
            <w:pPr>
              <w:ind w:left="6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(79,223)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80"/>
          </w:cols>
          <w:pgMar w:left="240" w:top="456"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SIX MONTHS ENDED JUNE 30, 2018 (unaudited)</w:t>
      </w:r>
    </w:p>
    <w:p>
      <w:pPr>
        <w:spacing w:after="0" w:line="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 data)</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36"/>
        </w:trPr>
        <w:tc>
          <w:tcPr>
            <w:tcW w:w="2620" w:type="dxa"/>
            <w:vAlign w:val="bottom"/>
          </w:tcPr>
          <w:p>
            <w:pPr>
              <w:spacing w:after="0"/>
              <w:rPr>
                <w:sz w:val="3"/>
                <w:szCs w:val="3"/>
                <w:color w:val="auto"/>
              </w:rPr>
            </w:pPr>
          </w:p>
        </w:tc>
        <w:tc>
          <w:tcPr>
            <w:tcW w:w="1400" w:type="dxa"/>
            <w:vAlign w:val="bottom"/>
            <w:gridSpan w:val="3"/>
            <w:vMerge w:val="restart"/>
          </w:tcPr>
          <w:p>
            <w:pPr>
              <w:jc w:val="right"/>
              <w:ind w:right="269"/>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4"/>
            <w:vMerge w:val="restart"/>
          </w:tcPr>
          <w:p>
            <w:pPr>
              <w:jc w:val="right"/>
              <w:ind w:right="109"/>
              <w:spacing w:after="0"/>
              <w:rPr>
                <w:sz w:val="20"/>
                <w:szCs w:val="20"/>
                <w:color w:val="auto"/>
              </w:rPr>
            </w:pPr>
            <w:r>
              <w:rPr>
                <w:rFonts w:ascii="Arial" w:cs="Arial" w:eastAsia="Arial" w:hAnsi="Arial"/>
                <w:sz w:val="14"/>
                <w:szCs w:val="14"/>
                <w:b w:val="1"/>
                <w:bCs w:val="1"/>
                <w:color w:val="auto"/>
              </w:rPr>
              <w:t>Non-Voting</w:t>
            </w: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6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2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3"/>
            <w:vMerge w:val="restart"/>
          </w:tcPr>
          <w:p>
            <w:pPr>
              <w:ind w:left="100"/>
              <w:spacing w:after="0" w:line="147"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gridSpan w:val="2"/>
            <w:vMerge w:val="restart"/>
          </w:tcPr>
          <w:p>
            <w:pPr>
              <w:jc w:val="center"/>
              <w:ind w:right="180"/>
              <w:spacing w:after="0" w:line="14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7"/>
        </w:trPr>
        <w:tc>
          <w:tcPr>
            <w:tcW w:w="2620" w:type="dxa"/>
            <w:vAlign w:val="bottom"/>
          </w:tcPr>
          <w:p>
            <w:pPr>
              <w:spacing w:after="0"/>
              <w:rPr>
                <w:sz w:val="5"/>
                <w:szCs w:val="5"/>
                <w:color w:val="auto"/>
              </w:rPr>
            </w:pPr>
          </w:p>
        </w:tc>
        <w:tc>
          <w:tcPr>
            <w:tcW w:w="1400" w:type="dxa"/>
            <w:vAlign w:val="bottom"/>
            <w:gridSpan w:val="3"/>
            <w:vMerge w:val="restart"/>
          </w:tcPr>
          <w:p>
            <w:pPr>
              <w:jc w:val="right"/>
              <w:ind w:right="149"/>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620" w:type="dxa"/>
            <w:vAlign w:val="bottom"/>
          </w:tcPr>
          <w:p>
            <w:pPr>
              <w:spacing w:after="0"/>
              <w:rPr>
                <w:sz w:val="8"/>
                <w:szCs w:val="8"/>
                <w:color w:val="auto"/>
              </w:rPr>
            </w:pPr>
          </w:p>
        </w:tc>
        <w:tc>
          <w:tcPr>
            <w:tcW w:w="1400" w:type="dxa"/>
            <w:vAlign w:val="bottom"/>
            <w:tcBorders>
              <w:bottom w:val="single" w:sz="8" w:color="auto"/>
            </w:tcBorders>
            <w:gridSpan w:val="3"/>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Borders>
              <w:bottom w:val="single" w:sz="8" w:color="auto"/>
            </w:tcBorders>
            <w:gridSpan w:val="4"/>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29"/>
              <w:spacing w:after="0" w:line="147" w:lineRule="exact"/>
              <w:rPr>
                <w:sz w:val="20"/>
                <w:szCs w:val="20"/>
                <w:color w:val="auto"/>
              </w:rPr>
            </w:pPr>
            <w:r>
              <w:rPr>
                <w:rFonts w:ascii="Arial" w:cs="Arial" w:eastAsia="Arial" w:hAnsi="Arial"/>
                <w:sz w:val="14"/>
                <w:szCs w:val="14"/>
                <w:b w:val="1"/>
                <w:bCs w:val="1"/>
                <w:color w:val="auto"/>
                <w:w w:val="94"/>
              </w:rPr>
              <w:t>Paid-in</w:t>
            </w:r>
          </w:p>
        </w:tc>
        <w:tc>
          <w:tcPr>
            <w:tcW w:w="1180" w:type="dxa"/>
            <w:vAlign w:val="bottom"/>
            <w:gridSpan w:val="4"/>
            <w:vMerge w:val="restart"/>
          </w:tcPr>
          <w:p>
            <w:pPr>
              <w:jc w:val="center"/>
              <w:spacing w:after="0" w:line="147"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4"/>
            <w:vMerge w:val="restart"/>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4"/>
            <w:vMerge w:val="restart"/>
          </w:tcPr>
          <w:p>
            <w:pPr>
              <w:ind w:left="60"/>
              <w:spacing w:after="0" w:line="147"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7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
                <w:szCs w:val="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6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1"/>
        </w:trPr>
        <w:tc>
          <w:tcPr>
            <w:tcW w:w="26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BALANCE—January 1, 2018</w:t>
            </w: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5"/>
              </w:rPr>
              <w:t>179,814,912</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8"/>
              </w:rPr>
              <w:t>$140,805</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62,160,984</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1,137,000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20,491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(96,144)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(75,701)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line="129" w:lineRule="exact"/>
              <w:rPr>
                <w:sz w:val="20"/>
                <w:szCs w:val="20"/>
                <w:color w:val="auto"/>
              </w:rPr>
            </w:pPr>
            <w:r>
              <w:rPr>
                <w:rFonts w:ascii="Arial" w:cs="Arial" w:eastAsia="Arial" w:hAnsi="Arial"/>
                <w:sz w:val="14"/>
                <w:szCs w:val="14"/>
                <w:color w:val="auto"/>
                <w:w w:val="95"/>
              </w:rPr>
              <w:t>Issuance of common stock upon exercise of</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10,289,763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20" w:type="dxa"/>
            <w:vAlign w:val="bottom"/>
          </w:tcPr>
          <w:p>
            <w:pPr>
              <w:spacing w:after="0" w:line="147" w:lineRule="exact"/>
              <w:rPr>
                <w:sz w:val="20"/>
                <w:szCs w:val="20"/>
                <w:color w:val="auto"/>
              </w:rPr>
            </w:pPr>
            <w:r>
              <w:rPr>
                <w:rFonts w:ascii="Arial" w:cs="Arial" w:eastAsia="Arial" w:hAnsi="Arial"/>
                <w:sz w:val="14"/>
                <w:szCs w:val="14"/>
                <w:color w:val="auto"/>
              </w:rPr>
              <w:t>Stock-based compensation</w:t>
            </w: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1,818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1,818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Conversion of non-voting common stock</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1,137,000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(1,137,000)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620" w:type="dxa"/>
            <w:vAlign w:val="bottom"/>
          </w:tcPr>
          <w:p>
            <w:pPr>
              <w:spacing w:after="0" w:line="129" w:lineRule="exact"/>
              <w:rPr>
                <w:sz w:val="20"/>
                <w:szCs w:val="20"/>
                <w:color w:val="auto"/>
              </w:rPr>
            </w:pPr>
            <w:r>
              <w:rPr>
                <w:rFonts w:ascii="Arial" w:cs="Arial" w:eastAsia="Arial" w:hAnsi="Arial"/>
                <w:sz w:val="14"/>
                <w:szCs w:val="14"/>
                <w:color w:val="auto"/>
              </w:rPr>
              <w:t>Change in accumulated other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140"/>
              <w:spacing w:after="0"/>
              <w:rPr>
                <w:sz w:val="20"/>
                <w:szCs w:val="20"/>
                <w:color w:val="auto"/>
              </w:rPr>
            </w:pPr>
            <w:r>
              <w:rPr>
                <w:rFonts w:ascii="Arial" w:cs="Arial" w:eastAsia="Arial" w:hAnsi="Arial"/>
                <w:sz w:val="14"/>
                <w:szCs w:val="14"/>
                <w:color w:val="auto"/>
              </w:rPr>
              <w:t>comprehensive (loss) income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20" w:type="dxa"/>
            <w:vAlign w:val="bottom"/>
          </w:tcPr>
          <w:p>
            <w:pPr>
              <w:spacing w:after="0" w:line="154" w:lineRule="exact"/>
              <w:rPr>
                <w:sz w:val="20"/>
                <w:szCs w:val="20"/>
                <w:color w:val="auto"/>
              </w:rPr>
            </w:pPr>
            <w:r>
              <w:rPr>
                <w:rFonts w:ascii="Arial" w:cs="Arial" w:eastAsia="Arial" w:hAnsi="Arial"/>
                <w:sz w:val="14"/>
                <w:szCs w:val="14"/>
                <w:color w:val="auto"/>
              </w:rPr>
              <w:t>BALANCE—June 30, 2018</w:t>
            </w: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5"/>
              </w:rPr>
              <w:t>179,814,912</w:t>
            </w: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140,805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4"/>
              </w:rPr>
              <w:t>73,587,747</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25,652</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(95,646)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80"/>
          </w:cols>
          <w:pgMar w:left="240" w:top="456"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left="289"/>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9"/>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9"/>
              <w:spacing w:after="0" w:line="141"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9"/>
              <w:spacing w:after="0" w:line="141"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9"/>
              <w:spacing w:after="0" w:line="141"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left="289"/>
              <w:spacing w:after="0" w:line="141" w:lineRule="exact"/>
              <w:rPr>
                <w:sz w:val="20"/>
                <w:szCs w:val="20"/>
                <w:color w:val="auto"/>
              </w:rPr>
            </w:pPr>
            <w:r>
              <w:rPr>
                <w:rFonts w:ascii="Arial" w:cs="Arial" w:eastAsia="Arial" w:hAnsi="Arial"/>
                <w:sz w:val="14"/>
                <w:szCs w:val="14"/>
                <w:b w:val="1"/>
                <w:bCs w:val="1"/>
                <w:color w:val="auto"/>
                <w:w w:val="94"/>
              </w:rPr>
              <w:t>(unaudited)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260"/>
              <w:spacing w:after="0" w:line="147" w:lineRule="exact"/>
              <w:rPr>
                <w:sz w:val="20"/>
                <w:szCs w:val="20"/>
                <w:color w:val="auto"/>
              </w:rPr>
            </w:pPr>
            <w:r>
              <w:rPr>
                <w:rFonts w:ascii="Arial" w:cs="Arial" w:eastAsia="Arial" w:hAnsi="Arial"/>
                <w:sz w:val="14"/>
                <w:szCs w:val="14"/>
                <w:color w:val="auto"/>
              </w:rPr>
              <w:t>Net (loss) income</w:t>
            </w:r>
          </w:p>
        </w:tc>
        <w:tc>
          <w:tcPr>
            <w:tcW w:w="12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(2,570)</w:t>
            </w:r>
          </w:p>
        </w:tc>
        <w:tc>
          <w:tcPr>
            <w:tcW w:w="34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w w:val="99"/>
              </w:rPr>
              <w:t>(10,762)</w:t>
            </w:r>
          </w:p>
        </w:tc>
        <w:tc>
          <w:tcPr>
            <w:tcW w:w="32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498</w:t>
            </w:r>
          </w:p>
        </w:tc>
        <w:tc>
          <w:tcPr>
            <w:tcW w:w="54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w w:val="99"/>
              </w:rPr>
              <w:t>(13,440)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540"/>
              <w:spacing w:after="0" w:line="147"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2,704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6,026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2,496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4,769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540"/>
              <w:spacing w:after="0" w:line="147" w:lineRule="exact"/>
              <w:rPr>
                <w:sz w:val="20"/>
                <w:szCs w:val="20"/>
                <w:color w:val="auto"/>
              </w:rPr>
            </w:pPr>
            <w:r>
              <w:rPr>
                <w:rFonts w:ascii="Arial" w:cs="Arial" w:eastAsia="Arial" w:hAnsi="Arial"/>
                <w:sz w:val="14"/>
                <w:szCs w:val="14"/>
                <w:color w:val="auto"/>
              </w:rPr>
              <w:t>Amortization of deferred contract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2,671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1,081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2,252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540"/>
              <w:spacing w:after="0" w:line="147" w:lineRule="exact"/>
              <w:rPr>
                <w:sz w:val="20"/>
                <w:szCs w:val="20"/>
                <w:color w:val="auto"/>
              </w:rPr>
            </w:pPr>
            <w:r>
              <w:rPr>
                <w:rFonts w:ascii="Arial" w:cs="Arial" w:eastAsia="Arial" w:hAnsi="Arial"/>
                <w:sz w:val="14"/>
                <w:szCs w:val="14"/>
                <w:color w:val="auto"/>
              </w:rPr>
              <w:t>Stock-based compensation, net of amounts capitalized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3,068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5,244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1,743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5,339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540"/>
              <w:spacing w:after="0" w:line="147" w:lineRule="exact"/>
              <w:rPr>
                <w:sz w:val="20"/>
                <w:szCs w:val="20"/>
                <w:color w:val="auto"/>
              </w:rPr>
            </w:pPr>
            <w:r>
              <w:rPr>
                <w:rFonts w:ascii="Arial" w:cs="Arial" w:eastAsia="Arial" w:hAnsi="Arial"/>
                <w:sz w:val="14"/>
                <w:szCs w:val="14"/>
                <w:color w:val="auto"/>
              </w:rPr>
              <w:t>Noncash lease expense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4,615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540"/>
              <w:spacing w:after="0" w:line="147" w:lineRule="exact"/>
              <w:rPr>
                <w:sz w:val="20"/>
                <w:szCs w:val="20"/>
                <w:color w:val="auto"/>
              </w:rPr>
            </w:pPr>
            <w:r>
              <w:rPr>
                <w:rFonts w:ascii="Arial" w:cs="Arial" w:eastAsia="Arial" w:hAnsi="Arial"/>
                <w:sz w:val="14"/>
                <w:szCs w:val="14"/>
                <w:color w:val="auto"/>
              </w:rPr>
              <w:t>Provision for accounts receivable allowance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378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477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125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553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540"/>
              <w:spacing w:after="0" w:line="147" w:lineRule="exact"/>
              <w:rPr>
                <w:sz w:val="20"/>
                <w:szCs w:val="20"/>
                <w:color w:val="auto"/>
              </w:rPr>
            </w:pPr>
            <w:r>
              <w:rPr>
                <w:rFonts w:ascii="Arial" w:cs="Arial" w:eastAsia="Arial" w:hAnsi="Arial"/>
                <w:sz w:val="14"/>
                <w:szCs w:val="14"/>
                <w:color w:val="auto"/>
              </w:rPr>
              <w:t>Loss on disposal of property and equipment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540"/>
              <w:spacing w:after="0" w:line="147"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840"/>
              <w:spacing w:after="0" w:line="147" w:lineRule="exact"/>
              <w:rPr>
                <w:sz w:val="20"/>
                <w:szCs w:val="20"/>
                <w:color w:val="auto"/>
              </w:rPr>
            </w:pPr>
            <w:r>
              <w:rPr>
                <w:rFonts w:ascii="Arial" w:cs="Arial" w:eastAsia="Arial" w:hAnsi="Arial"/>
                <w:sz w:val="14"/>
                <w:szCs w:val="14"/>
                <w:color w:val="auto"/>
              </w:rPr>
              <w:t>Accounts receivable,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(19,274)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1"/>
              </w:rPr>
              <w:t>(25,322)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(14,262)</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1"/>
              </w:rPr>
              <w:t>(12,179)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840"/>
              <w:spacing w:after="0" w:line="147" w:lineRule="exact"/>
              <w:rPr>
                <w:sz w:val="20"/>
                <w:szCs w:val="20"/>
                <w:color w:val="auto"/>
              </w:rPr>
            </w:pPr>
            <w:r>
              <w:rPr>
                <w:rFonts w:ascii="Arial" w:cs="Arial" w:eastAsia="Arial" w:hAnsi="Arial"/>
                <w:sz w:val="14"/>
                <w:szCs w:val="14"/>
                <w:color w:val="auto"/>
              </w:rPr>
              <w:t>Deferred contract costs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(3,352)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(8,925)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(3,638)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(6,112)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840"/>
              <w:spacing w:after="0" w:line="147"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(4,250)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(1,331)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(1,569)</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1"/>
              </w:rPr>
              <w:t>(12,206)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840"/>
              <w:spacing w:after="0" w:line="147"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(1,482)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(6,955)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(3,955)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(4,029)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840"/>
              <w:spacing w:after="0" w:line="147" w:lineRule="exact"/>
              <w:rPr>
                <w:sz w:val="20"/>
                <w:szCs w:val="20"/>
                <w:color w:val="auto"/>
              </w:rPr>
            </w:pPr>
            <w:r>
              <w:rPr>
                <w:rFonts w:ascii="Arial" w:cs="Arial" w:eastAsia="Arial" w:hAnsi="Arial"/>
                <w:sz w:val="14"/>
                <w:szCs w:val="14"/>
                <w:color w:val="auto"/>
              </w:rPr>
              <w:t>Accounts payable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4,647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7,241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3,564</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7,473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840"/>
              <w:spacing w:after="0" w:line="147" w:lineRule="exact"/>
              <w:rPr>
                <w:sz w:val="20"/>
                <w:szCs w:val="20"/>
                <w:color w:val="auto"/>
              </w:rPr>
            </w:pPr>
            <w:r>
              <w:rPr>
                <w:rFonts w:ascii="Arial" w:cs="Arial" w:eastAsia="Arial" w:hAnsi="Arial"/>
                <w:sz w:val="14"/>
                <w:szCs w:val="14"/>
                <w:color w:val="auto"/>
              </w:rPr>
              <w:t>Accrued expenses and other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2,860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10,857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2,507</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(8,601)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840"/>
              <w:spacing w:after="0" w:line="147" w:lineRule="exact"/>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29,825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31,599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22,042</w:t>
            </w:r>
          </w:p>
        </w:tc>
        <w:tc>
          <w:tcPr>
            <w:tcW w:w="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34,542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940" w:type="dxa"/>
            <w:vAlign w:val="bottom"/>
          </w:tcPr>
          <w:p>
            <w:pPr>
              <w:ind w:left="1120"/>
              <w:spacing w:after="0" w:line="154" w:lineRule="exact"/>
              <w:rPr>
                <w:sz w:val="20"/>
                <w:szCs w:val="20"/>
                <w:color w:val="auto"/>
              </w:rPr>
            </w:pPr>
            <w:r>
              <w:rPr>
                <w:rFonts w:ascii="Arial" w:cs="Arial" w:eastAsia="Arial" w:hAnsi="Arial"/>
                <w:sz w:val="14"/>
                <w:szCs w:val="14"/>
                <w:color w:val="auto"/>
              </w:rPr>
              <w:t>Net cash provided by operating activities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13,832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10,829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10,635</w:t>
            </w: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260"/>
              <w:spacing w:after="0" w:line="147" w:lineRule="exact"/>
              <w:rPr>
                <w:sz w:val="20"/>
                <w:szCs w:val="20"/>
                <w:color w:val="auto"/>
              </w:rPr>
            </w:pPr>
            <w:r>
              <w:rPr>
                <w:rFonts w:ascii="Arial" w:cs="Arial" w:eastAsia="Arial" w:hAnsi="Arial"/>
                <w:sz w:val="14"/>
                <w:szCs w:val="14"/>
                <w:color w:val="auto"/>
              </w:rPr>
              <w:t>Purchases of property and equipment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(2,351)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(9,662)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(6,548)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(4,979)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Capitalized software development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(5,452)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(6,176)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(2,587)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(4,408)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40" w:type="dxa"/>
            <w:vAlign w:val="bottom"/>
          </w:tcPr>
          <w:p>
            <w:pPr>
              <w:ind w:left="260"/>
              <w:spacing w:after="0" w:line="147" w:lineRule="exact"/>
              <w:rPr>
                <w:sz w:val="20"/>
                <w:szCs w:val="20"/>
                <w:color w:val="auto"/>
              </w:rPr>
            </w:pPr>
            <w:r>
              <w:rPr>
                <w:rFonts w:ascii="Arial" w:cs="Arial" w:eastAsia="Arial" w:hAnsi="Arial"/>
                <w:sz w:val="14"/>
                <w:szCs w:val="14"/>
                <w:color w:val="auto"/>
              </w:rPr>
              <w:t>Cash paid for acquisition of businesses; net of cash acquired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(4,957)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(1,618)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1120"/>
              <w:spacing w:after="0" w:line="147"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(12,760)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1"/>
              </w:rPr>
              <w:t>(17,456)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(9,135)</w:t>
            </w: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(9,387)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960" w:type="dxa"/>
            <w:vAlign w:val="bottom"/>
            <w:gridSpan w:val="2"/>
          </w:tcPr>
          <w:p>
            <w:pPr>
              <w:spacing w:after="0" w:line="154"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Proceeds from exercise of stock options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462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7,782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4,076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5,197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40" w:type="dxa"/>
            <w:vAlign w:val="bottom"/>
          </w:tcPr>
          <w:p>
            <w:pPr>
              <w:ind w:left="260"/>
              <w:spacing w:after="0" w:line="147" w:lineRule="exact"/>
              <w:rPr>
                <w:sz w:val="20"/>
                <w:szCs w:val="20"/>
                <w:color w:val="auto"/>
              </w:rPr>
            </w:pPr>
            <w:r>
              <w:rPr>
                <w:rFonts w:ascii="Arial" w:cs="Arial" w:eastAsia="Arial" w:hAnsi="Arial"/>
                <w:sz w:val="14"/>
                <w:szCs w:val="14"/>
                <w:color w:val="auto"/>
              </w:rPr>
              <w:t>Payment of offering costs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(156)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1120"/>
              <w:spacing w:after="0" w:line="147" w:lineRule="exact"/>
              <w:rPr>
                <w:sz w:val="20"/>
                <w:szCs w:val="20"/>
                <w:color w:val="auto"/>
              </w:rPr>
            </w:pPr>
            <w:r>
              <w:rPr>
                <w:rFonts w:ascii="Arial" w:cs="Arial" w:eastAsia="Arial" w:hAnsi="Arial"/>
                <w:sz w:val="14"/>
                <w:szCs w:val="14"/>
                <w:color w:val="auto"/>
              </w:rPr>
              <w:t>Net cash provided by financing activities</w:t>
            </w: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462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7,782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4,076</w:t>
            </w: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5,041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60" w:type="dxa"/>
            <w:vAlign w:val="bottom"/>
            <w:gridSpan w:val="2"/>
          </w:tcPr>
          <w:p>
            <w:pPr>
              <w:spacing w:after="0" w:line="154"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24</w:t>
            </w: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5,600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40" w:type="dxa"/>
            <w:vAlign w:val="bottom"/>
          </w:tcPr>
          <w:p>
            <w:pPr>
              <w:spacing w:after="0" w:line="147" w:lineRule="exact"/>
              <w:rPr>
                <w:sz w:val="20"/>
                <w:szCs w:val="20"/>
                <w:color w:val="auto"/>
              </w:rPr>
            </w:pPr>
            <w:r>
              <w:rPr>
                <w:rFonts w:ascii="Arial" w:cs="Arial" w:eastAsia="Arial" w:hAnsi="Arial"/>
                <w:sz w:val="14"/>
                <w:szCs w:val="14"/>
                <w:color w:val="auto"/>
              </w:rPr>
              <w:t>CASH, CASH EQUIVALENTS AND RESTRICTED CASH—Beginning of period</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62,298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63,778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63,778</w:t>
            </w: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64,980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CASH, CASH EQUIVALENTS AND RESTRICTED CASH —End of period</w:t>
            </w:r>
          </w:p>
        </w:tc>
        <w:tc>
          <w:tcPr>
            <w:tcW w:w="1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63,778</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64,980</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69,378</w:t>
            </w:r>
          </w:p>
        </w:tc>
        <w:tc>
          <w:tcPr>
            <w:tcW w:w="54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63,591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Cash paid for income taxes</w:t>
            </w:r>
          </w:p>
        </w:tc>
        <w:tc>
          <w:tcPr>
            <w:tcW w:w="1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w:t>
            </w:r>
          </w:p>
        </w:tc>
        <w:tc>
          <w:tcPr>
            <w:tcW w:w="54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spacing w:after="0" w:line="147"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Accrued property and equipment purchases</w:t>
            </w:r>
          </w:p>
        </w:tc>
        <w:tc>
          <w:tcPr>
            <w:tcW w:w="1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867</w:t>
            </w:r>
          </w:p>
        </w:tc>
        <w:tc>
          <w:tcPr>
            <w:tcW w:w="54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260"/>
              <w:spacing w:after="0" w:line="147" w:lineRule="exact"/>
              <w:rPr>
                <w:sz w:val="20"/>
                <w:szCs w:val="20"/>
                <w:color w:val="auto"/>
              </w:rPr>
            </w:pPr>
            <w:r>
              <w:rPr>
                <w:rFonts w:ascii="Arial" w:cs="Arial" w:eastAsia="Arial" w:hAnsi="Arial"/>
                <w:sz w:val="14"/>
                <w:szCs w:val="14"/>
                <w:color w:val="auto"/>
              </w:rPr>
              <w:t>Stock-based compensation included in capitalized software development costs</w:t>
            </w:r>
          </w:p>
        </w:tc>
        <w:tc>
          <w:tcPr>
            <w:tcW w:w="12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248</w:t>
            </w:r>
          </w:p>
        </w:tc>
        <w:tc>
          <w:tcPr>
            <w:tcW w:w="220" w:type="dxa"/>
            <w:vAlign w:val="bottom"/>
          </w:tcPr>
          <w:p>
            <w:pPr>
              <w:spacing w:after="0"/>
              <w:rPr>
                <w:sz w:val="12"/>
                <w:szCs w:val="12"/>
                <w:color w:val="auto"/>
              </w:rPr>
            </w:pPr>
          </w:p>
        </w:tc>
        <w:tc>
          <w:tcPr>
            <w:tcW w:w="34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167</w:t>
            </w:r>
          </w:p>
        </w:tc>
        <w:tc>
          <w:tcPr>
            <w:tcW w:w="220" w:type="dxa"/>
            <w:vAlign w:val="bottom"/>
          </w:tcPr>
          <w:p>
            <w:pPr>
              <w:spacing w:after="0"/>
              <w:rPr>
                <w:sz w:val="12"/>
                <w:szCs w:val="12"/>
                <w:color w:val="auto"/>
              </w:rPr>
            </w:pPr>
          </w:p>
        </w:tc>
        <w:tc>
          <w:tcPr>
            <w:tcW w:w="32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75</w:t>
            </w:r>
          </w:p>
        </w:tc>
        <w:tc>
          <w:tcPr>
            <w:tcW w:w="54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Vesting of early exercised options</w:t>
            </w:r>
          </w:p>
        </w:tc>
        <w:tc>
          <w:tcPr>
            <w:tcW w:w="1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143</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168</w:t>
            </w:r>
          </w:p>
        </w:tc>
        <w:tc>
          <w:tcPr>
            <w:tcW w:w="540" w:type="dxa"/>
            <w:vAlign w:val="bottom"/>
            <w:gridSpan w:val="2"/>
            <w:shd w:val="clear" w:color="auto" w:fill="CCEEFF"/>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260"/>
              <w:spacing w:after="0" w:line="147" w:lineRule="exact"/>
              <w:rPr>
                <w:sz w:val="20"/>
                <w:szCs w:val="20"/>
                <w:color w:val="auto"/>
              </w:rPr>
            </w:pPr>
            <w:r>
              <w:rPr>
                <w:rFonts w:ascii="Arial" w:cs="Arial" w:eastAsia="Arial" w:hAnsi="Arial"/>
                <w:sz w:val="14"/>
                <w:szCs w:val="14"/>
                <w:color w:val="auto"/>
              </w:rPr>
              <w:t>Acquisition of intangible assets through issuance of common stock</w:t>
            </w:r>
          </w:p>
        </w:tc>
        <w:tc>
          <w:tcPr>
            <w:tcW w:w="12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34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RECONCILIATION OF CASH, CASH EQUIVALENTS AND RESTRICTED CASH WITHIN THE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CONSOLIDATED BALANCE SHEETS TO THE AMOUNTS SHOWN IN THE STATEMENTS OF CASH</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FLOWS ABOVE: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tcPr>
          <w:p>
            <w:pPr>
              <w:ind w:left="260"/>
              <w:spacing w:after="0" w:line="147" w:lineRule="exact"/>
              <w:rPr>
                <w:sz w:val="20"/>
                <w:szCs w:val="20"/>
                <w:color w:val="auto"/>
              </w:rPr>
            </w:pPr>
            <w:r>
              <w:rPr>
                <w:rFonts w:ascii="Arial" w:cs="Arial" w:eastAsia="Arial" w:hAnsi="Arial"/>
                <w:sz w:val="14"/>
                <w:szCs w:val="14"/>
                <w:color w:val="auto"/>
              </w:rPr>
              <w:t>Cash and cash equivalents</w:t>
            </w:r>
          </w:p>
        </w:tc>
        <w:tc>
          <w:tcPr>
            <w:tcW w:w="120" w:type="dxa"/>
            <w:vAlign w:val="bottom"/>
            <w:gridSpan w:val="2"/>
          </w:tcPr>
          <w:p>
            <w:pPr>
              <w:jc w:val="right"/>
              <w:spacing w:after="0" w:line="147"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60,024</w:t>
            </w:r>
          </w:p>
        </w:tc>
        <w:tc>
          <w:tcPr>
            <w:tcW w:w="220" w:type="dxa"/>
            <w:vAlign w:val="bottom"/>
          </w:tcPr>
          <w:p>
            <w:pPr>
              <w:spacing w:after="0"/>
              <w:rPr>
                <w:sz w:val="12"/>
                <w:szCs w:val="12"/>
                <w:color w:val="auto"/>
              </w:rPr>
            </w:pPr>
          </w:p>
        </w:tc>
        <w:tc>
          <w:tcPr>
            <w:tcW w:w="34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53,639</w:t>
            </w:r>
          </w:p>
        </w:tc>
        <w:tc>
          <w:tcPr>
            <w:tcW w:w="220" w:type="dxa"/>
            <w:vAlign w:val="bottom"/>
          </w:tcPr>
          <w:p>
            <w:pPr>
              <w:spacing w:after="0"/>
              <w:rPr>
                <w:sz w:val="12"/>
                <w:szCs w:val="12"/>
                <w:color w:val="auto"/>
              </w:rPr>
            </w:pPr>
          </w:p>
        </w:tc>
        <w:tc>
          <w:tcPr>
            <w:tcW w:w="320" w:type="dxa"/>
            <w:vAlign w:val="bottom"/>
            <w:gridSpan w:val="2"/>
          </w:tcPr>
          <w:p>
            <w:pPr>
              <w:jc w:val="right"/>
              <w:ind w:right="9"/>
              <w:spacing w:after="0" w:line="14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64,716</w:t>
            </w:r>
          </w:p>
        </w:tc>
        <w:tc>
          <w:tcPr>
            <w:tcW w:w="54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52,286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40" w:type="dxa"/>
            <w:vAlign w:val="bottom"/>
            <w:shd w:val="clear" w:color="auto" w:fill="CCEEFF"/>
          </w:tcPr>
          <w:p>
            <w:pPr>
              <w:ind w:left="260"/>
              <w:spacing w:after="0" w:line="147" w:lineRule="exact"/>
              <w:rPr>
                <w:sz w:val="20"/>
                <w:szCs w:val="20"/>
                <w:color w:val="auto"/>
              </w:rPr>
            </w:pPr>
            <w:r>
              <w:rPr>
                <w:rFonts w:ascii="Arial" w:cs="Arial" w:eastAsia="Arial" w:hAnsi="Arial"/>
                <w:sz w:val="14"/>
                <w:szCs w:val="14"/>
                <w:color w:val="auto"/>
              </w:rPr>
              <w:t>Restricted cash – Including amounts in prepaid expense and other current assets and other assets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3,754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11,341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4,662</w:t>
            </w:r>
          </w:p>
        </w:tc>
        <w:tc>
          <w:tcPr>
            <w:tcW w:w="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11,305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40" w:type="dxa"/>
            <w:vAlign w:val="bottom"/>
          </w:tcPr>
          <w:p>
            <w:pPr>
              <w:ind w:left="260"/>
              <w:spacing w:after="0" w:line="154" w:lineRule="exact"/>
              <w:rPr>
                <w:sz w:val="20"/>
                <w:szCs w:val="20"/>
                <w:color w:val="auto"/>
              </w:rPr>
            </w:pPr>
            <w:r>
              <w:rPr>
                <w:rFonts w:ascii="Arial" w:cs="Arial" w:eastAsia="Arial" w:hAnsi="Arial"/>
                <w:sz w:val="14"/>
                <w:szCs w:val="14"/>
                <w:color w:val="auto"/>
              </w:rPr>
              <w:t>Total cash, cash equivalents and restricted cash</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63,778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64,980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69,378</w:t>
            </w:r>
          </w:p>
        </w:tc>
        <w:tc>
          <w:tcPr>
            <w:tcW w:w="360" w:type="dxa"/>
            <w:vAlign w:val="bottom"/>
          </w:tcPr>
          <w:p>
            <w:pPr>
              <w:spacing w:after="0"/>
              <w:rPr>
                <w:sz w:val="13"/>
                <w:szCs w:val="13"/>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63,591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80"/>
          </w:cols>
          <w:pgMar w:left="240" w:top="456"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4" w:lineRule="exact"/>
        <w:rPr>
          <w:sz w:val="20"/>
          <w:szCs w:val="20"/>
          <w:color w:val="auto"/>
        </w:rPr>
      </w:pPr>
    </w:p>
    <w:p>
      <w:pPr>
        <w:ind w:left="260" w:right="80" w:firstLine="437"/>
        <w:spacing w:after="0" w:line="275" w:lineRule="auto"/>
        <w:rPr>
          <w:sz w:val="20"/>
          <w:szCs w:val="20"/>
          <w:color w:val="auto"/>
        </w:rPr>
      </w:pPr>
      <w:r>
        <w:rPr>
          <w:rFonts w:ascii="Arial" w:cs="Arial" w:eastAsia="Arial" w:hAnsi="Arial"/>
          <w:sz w:val="17"/>
          <w:szCs w:val="17"/>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and log management, to provide unified, real-time observability of its customers’ entire technology stack. The Company is headquartered in New York City and has various other global office locations.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1" w:lineRule="exact"/>
        <w:rPr>
          <w:sz w:val="20"/>
          <w:szCs w:val="20"/>
          <w:color w:val="auto"/>
        </w:rPr>
      </w:pPr>
    </w:p>
    <w:p>
      <w:pPr>
        <w:ind w:left="260" w:right="400" w:firstLine="437"/>
        <w:spacing w:after="0" w:line="271"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1" w:lineRule="exact"/>
        <w:rPr>
          <w:sz w:val="20"/>
          <w:szCs w:val="20"/>
          <w:color w:val="auto"/>
        </w:rPr>
      </w:pPr>
    </w:p>
    <w:p>
      <w:pPr>
        <w:ind w:left="260" w:firstLine="437"/>
        <w:spacing w:after="0" w:line="271" w:lineRule="auto"/>
        <w:rPr>
          <w:sz w:val="20"/>
          <w:szCs w:val="20"/>
          <w:color w:val="auto"/>
        </w:rPr>
      </w:pPr>
      <w:r>
        <w:rPr>
          <w:rFonts w:ascii="Arial" w:cs="Arial" w:eastAsia="Arial" w:hAnsi="Arial"/>
          <w:sz w:val="18"/>
          <w:szCs w:val="18"/>
          <w:color w:val="auto"/>
        </w:rPr>
        <w:t>The consolidated financial statements include the accounts of Datadog, Inc. and its wholly owned subsidiaries. All intercompany transactions and balances have been eliminated in consolidation.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Split and Authorized Shares</w:t>
      </w:r>
    </w:p>
    <w:p>
      <w:pPr>
        <w:spacing w:after="0" w:line="221" w:lineRule="exact"/>
        <w:rPr>
          <w:sz w:val="20"/>
          <w:szCs w:val="20"/>
          <w:color w:val="auto"/>
        </w:rPr>
      </w:pPr>
    </w:p>
    <w:p>
      <w:pPr>
        <w:jc w:val="both"/>
        <w:ind w:left="260" w:right="60" w:firstLine="437"/>
        <w:spacing w:after="0" w:line="282" w:lineRule="auto"/>
        <w:rPr>
          <w:sz w:val="20"/>
          <w:szCs w:val="20"/>
          <w:color w:val="auto"/>
        </w:rPr>
      </w:pPr>
      <w:r>
        <w:rPr>
          <w:rFonts w:ascii="Arial" w:cs="Arial" w:eastAsia="Arial" w:hAnsi="Arial"/>
          <w:sz w:val="17"/>
          <w:szCs w:val="17"/>
          <w:color w:val="auto"/>
        </w:rPr>
        <w:t>On January 2, 2018, a 4-for-1 stock split of the Company’s then-outstanding common stock and convertible preferred stock was effected without any change in the par value per share. All information related to the Company’s common stock, convertible preferred stock and stock awards has been retroactively adjusted to give effect to the 4-for-1 stock split, without any change in the par value per share.</w:t>
      </w:r>
    </w:p>
    <w:p>
      <w:pPr>
        <w:spacing w:after="0" w:line="167"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On September 6, 2019, the Company’s Board of Directors and stockholders approved an amended and restated certificate of incorporation of the Company effecting a 3-for-1 stock split of the Company’s issued and outstanding shares of common stock and convertible preferred stock, and an increase to the authorized shares of our common stock and convertible preferred stock to 380,000,000 shares and 179,814,912 shares, respectively. The split was effected on September 6, 2019 and without any change in the par value per share. All information related to the Company’s common stock, convertible preferred stock and stock awards has been retroactively adjusted to give effect to the 3-for-1 stock split, without any change in the par value per share.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1" w:lineRule="exact"/>
        <w:rPr>
          <w:sz w:val="20"/>
          <w:szCs w:val="20"/>
          <w:color w:val="auto"/>
        </w:rPr>
      </w:pPr>
    </w:p>
    <w:p>
      <w:pPr>
        <w:ind w:left="260" w:right="120" w:firstLine="437"/>
        <w:spacing w:after="0" w:line="275" w:lineRule="auto"/>
        <w:rPr>
          <w:sz w:val="20"/>
          <w:szCs w:val="20"/>
          <w:color w:val="auto"/>
        </w:rPr>
      </w:pPr>
      <w:r>
        <w:rPr>
          <w:rFonts w:ascii="Arial" w:cs="Arial" w:eastAsia="Arial" w:hAnsi="Arial"/>
          <w:sz w:val="17"/>
          <w:szCs w:val="17"/>
          <w:color w:val="auto"/>
        </w:rPr>
        <w:t>The Company has a single operating and reportable segment as well as one business activity, monitoring and providing analytics on companies’ information technology (“IT”) infrastructure. The Company’s chief operating decision maker is its Chief Executive Officer, who reviews financial information presented on a consolidated basis for purposes of making operating decisions, assessing financial performance, and allocating resources. There are no segment managers who are held accountable for operations or results below the consolidated level.</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1" w:lineRule="exact"/>
        <w:rPr>
          <w:sz w:val="20"/>
          <w:szCs w:val="20"/>
          <w:color w:val="auto"/>
        </w:rPr>
      </w:pPr>
    </w:p>
    <w:p>
      <w:pPr>
        <w:ind w:left="260" w:right="100" w:firstLine="437"/>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allowance for doubtful accounts, the fair value of acquired assets and assumed liabilities from business combinations, useful lives of property, equipment, software, and finite lived intangibles, stock-based compensation including the determination of the fair value of the Company’s stock, valuation of long-lived assets and their recoverability, including goodwill, estimated expected period of benefit period for deferred contract costs, realization of deferred tax assets and uncertain tax positions, revenue</w:t>
      </w:r>
    </w:p>
    <w:p>
      <w:pPr>
        <w:spacing w:after="0" w:line="1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240" w:top="456" w:right="5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80"/>
        <w:spacing w:after="0" w:line="259" w:lineRule="auto"/>
        <w:rPr>
          <w:sz w:val="20"/>
          <w:szCs w:val="20"/>
          <w:color w:val="auto"/>
        </w:rPr>
      </w:pPr>
      <w:r>
        <w:rPr>
          <w:rFonts w:ascii="Arial" w:cs="Arial" w:eastAsia="Arial" w:hAnsi="Arial"/>
          <w:sz w:val="18"/>
          <w:szCs w:val="18"/>
          <w:color w:val="auto"/>
        </w:rPr>
        <w:t>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Unaudited Interim Consolidated Financial Information</w:t>
      </w:r>
    </w:p>
    <w:p>
      <w:pPr>
        <w:spacing w:after="0" w:line="221" w:lineRule="exact"/>
        <w:rPr>
          <w:sz w:val="20"/>
          <w:szCs w:val="20"/>
          <w:color w:val="auto"/>
        </w:rPr>
      </w:pPr>
    </w:p>
    <w:p>
      <w:pPr>
        <w:ind w:left="260" w:firstLine="437"/>
        <w:spacing w:after="0" w:line="285" w:lineRule="auto"/>
        <w:rPr>
          <w:sz w:val="20"/>
          <w:szCs w:val="20"/>
          <w:color w:val="auto"/>
        </w:rPr>
      </w:pPr>
      <w:r>
        <w:rPr>
          <w:rFonts w:ascii="Arial" w:cs="Arial" w:eastAsia="Arial" w:hAnsi="Arial"/>
          <w:sz w:val="16"/>
          <w:szCs w:val="16"/>
          <w:color w:val="auto"/>
        </w:rPr>
        <w:t>The accompanying interim consolidated balance sheet as of June 30, 2019, the interim consolidated statements of operations and comprehensive (loss) income, cash flows for the six months ended June 30, 2018 and 2019, the interim consolidated statement of convertible preferred stock and stockholders’ deficit for the six months ended June 30, 2018 and 2019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financial statements and reflect all adjustments, which include only normal recurring adjustments necessary for the fair presentation of the Company’s financial position as of June 30, 2019 and the Company’s consolidated results of operations and cash flows for the six months ended June 30, 2018 and 2019. The results of operations for the six months ended June 30, 2019 are not necessarily indicative of the results to be expected for the full year or any other future interim or annual period.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Unaudited Pro Forma Stockholders’ Equity and Pro Forma Net Loss Per Share</w:t>
      </w:r>
    </w:p>
    <w:p>
      <w:pPr>
        <w:spacing w:after="0" w:line="221" w:lineRule="exact"/>
        <w:rPr>
          <w:sz w:val="20"/>
          <w:szCs w:val="20"/>
          <w:color w:val="auto"/>
        </w:rPr>
      </w:pPr>
    </w:p>
    <w:p>
      <w:pPr>
        <w:ind w:left="260" w:right="60" w:firstLine="437"/>
        <w:spacing w:after="0" w:line="293" w:lineRule="auto"/>
        <w:rPr>
          <w:sz w:val="20"/>
          <w:szCs w:val="20"/>
          <w:color w:val="auto"/>
        </w:rPr>
      </w:pPr>
      <w:r>
        <w:rPr>
          <w:rFonts w:ascii="Arial" w:cs="Arial" w:eastAsia="Arial" w:hAnsi="Arial"/>
          <w:sz w:val="16"/>
          <w:szCs w:val="16"/>
          <w:color w:val="auto"/>
        </w:rPr>
        <w:t>Immediately prior to the completion of the Company’s initial public offering (“IPO”), all of the outstanding shares of its convertible preferred stock will automatically convert into 179,011,431 shares of Class B common stock, based on the 179,011,431 shares of the convertible preferred stock outstanding as of June 30, 2019. The unaudited pro forma stockholders’ equity as of June 30, 2019 has been computed to give effect to the automatic conversion of the convertible preferred stock as though the conversion and reclassification had occurred as of June 30, 2019. The shares of Class A common stock issuable and the proceeds expected to be received in the IPO are excluded from such pro forma information.</w:t>
      </w:r>
    </w:p>
    <w:p>
      <w:pPr>
        <w:spacing w:after="0" w:line="161" w:lineRule="exact"/>
        <w:rPr>
          <w:sz w:val="20"/>
          <w:szCs w:val="20"/>
          <w:color w:val="auto"/>
        </w:rPr>
      </w:pPr>
    </w:p>
    <w:p>
      <w:pPr>
        <w:ind w:left="260" w:right="340" w:firstLine="437"/>
        <w:spacing w:after="0" w:line="335" w:lineRule="auto"/>
        <w:rPr>
          <w:sz w:val="20"/>
          <w:szCs w:val="20"/>
          <w:color w:val="auto"/>
        </w:rPr>
      </w:pPr>
      <w:r>
        <w:rPr>
          <w:rFonts w:ascii="Arial" w:cs="Arial" w:eastAsia="Arial" w:hAnsi="Arial"/>
          <w:sz w:val="16"/>
          <w:szCs w:val="16"/>
          <w:color w:val="auto"/>
        </w:rPr>
        <w:t>Unaudited pro forma basic and diluted net loss per share is computed to give effect to the automatic conversion of 179,011,431 shares of the Company’s outstanding convertible preferred stock into 179,011,431 shares of Class B common stock in connection with the IPO.</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1" w:lineRule="exact"/>
        <w:rPr>
          <w:sz w:val="20"/>
          <w:szCs w:val="20"/>
          <w:color w:val="auto"/>
        </w:rPr>
      </w:pPr>
    </w:p>
    <w:p>
      <w:pPr>
        <w:ind w:left="260" w:firstLine="437"/>
        <w:spacing w:after="0" w:line="254" w:lineRule="auto"/>
        <w:rPr>
          <w:sz w:val="20"/>
          <w:szCs w:val="20"/>
          <w:color w:val="auto"/>
        </w:rPr>
      </w:pPr>
      <w:r>
        <w:rPr>
          <w:rFonts w:ascii="Arial" w:cs="Arial" w:eastAsia="Arial" w:hAnsi="Arial"/>
          <w:sz w:val="18"/>
          <w:szCs w:val="18"/>
          <w:color w:val="auto"/>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as a separate component of stockholders’ deficit.</w:t>
      </w:r>
    </w:p>
    <w:p>
      <w:pPr>
        <w:spacing w:after="0" w:line="189" w:lineRule="exact"/>
        <w:rPr>
          <w:sz w:val="20"/>
          <w:szCs w:val="20"/>
          <w:color w:val="auto"/>
        </w:rPr>
      </w:pPr>
    </w:p>
    <w:p>
      <w:pPr>
        <w:ind w:left="260" w:right="460" w:firstLine="437"/>
        <w:spacing w:after="0" w:line="335" w:lineRule="auto"/>
        <w:rPr>
          <w:sz w:val="20"/>
          <w:szCs w:val="20"/>
          <w:color w:val="auto"/>
        </w:rPr>
      </w:pPr>
      <w:r>
        <w:rPr>
          <w:rFonts w:ascii="Arial" w:cs="Arial" w:eastAsia="Arial" w:hAnsi="Arial"/>
          <w:sz w:val="16"/>
          <w:szCs w:val="16"/>
          <w:color w:val="auto"/>
        </w:rPr>
        <w:t>Transaction gains and losses that arise from exchange rate fluctuations on transactions denominated in a currency other than the functional currency are included in other income, net in the accompanying consolidated statements of operations and comprehensive loss when realized.</w:t>
      </w:r>
    </w:p>
    <w:p>
      <w:pPr>
        <w:spacing w:after="0" w:line="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40"/>
          </w:cols>
          <w:pgMar w:left="240" w:top="456" w:right="6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1" w:lineRule="exact"/>
        <w:rPr>
          <w:sz w:val="20"/>
          <w:szCs w:val="20"/>
          <w:color w:val="auto"/>
        </w:rPr>
      </w:pPr>
    </w:p>
    <w:p>
      <w:pPr>
        <w:ind w:left="260" w:right="140" w:firstLine="437"/>
        <w:spacing w:after="0" w:line="252" w:lineRule="auto"/>
        <w:rPr>
          <w:sz w:val="20"/>
          <w:szCs w:val="20"/>
          <w:color w:val="auto"/>
        </w:rPr>
      </w:pPr>
      <w:r>
        <w:rPr>
          <w:rFonts w:ascii="Arial" w:cs="Arial" w:eastAsia="Arial" w:hAnsi="Arial"/>
          <w:sz w:val="18"/>
          <w:szCs w:val="18"/>
          <w:color w:val="auto"/>
        </w:rPr>
        <w:t>The Company generates revenue from the sale of subscriptions to customers using its cloud-based platform. The terms of the Company’s subscription agreements are primarily monthly or annual.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subscription in full up-front,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191" w:lineRule="exact"/>
        <w:rPr>
          <w:sz w:val="20"/>
          <w:szCs w:val="20"/>
          <w:color w:val="auto"/>
        </w:rPr>
      </w:pPr>
    </w:p>
    <w:p>
      <w:pPr>
        <w:ind w:left="260" w:right="280" w:firstLine="437"/>
        <w:spacing w:after="0" w:line="282" w:lineRule="auto"/>
        <w:rPr>
          <w:sz w:val="20"/>
          <w:szCs w:val="20"/>
          <w:color w:val="auto"/>
        </w:rPr>
      </w:pPr>
      <w:r>
        <w:rPr>
          <w:rFonts w:ascii="Arial" w:cs="Arial" w:eastAsia="Arial" w:hAnsi="Arial"/>
          <w:sz w:val="17"/>
          <w:szCs w:val="17"/>
          <w:color w:val="auto"/>
        </w:rPr>
        <w:t xml:space="preserve">The Company elected to early adopt Financial Accounting Standards Board (“FASB”) Accounting Standards Codification (“ASC”) Topic 606, </w:t>
      </w: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(“Topic 606”), effective January 1, 2017, using the full retrospective method of adoption. As such,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present revenue in accordance with Topic 606 for all of the periods presented.</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28" w:lineRule="exact"/>
        <w:rPr>
          <w:sz w:val="20"/>
          <w:szCs w:val="20"/>
          <w:color w:val="auto"/>
        </w:rPr>
      </w:pPr>
    </w:p>
    <w:p>
      <w:pPr>
        <w:ind w:left="1220" w:hanging="424"/>
        <w:spacing w:after="0"/>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27" w:lineRule="exact"/>
        <w:rPr>
          <w:rFonts w:ascii="Arial" w:cs="Arial" w:eastAsia="Arial" w:hAnsi="Arial"/>
          <w:sz w:val="18"/>
          <w:szCs w:val="18"/>
          <w:color w:val="auto"/>
        </w:rPr>
      </w:pPr>
    </w:p>
    <w:p>
      <w:pPr>
        <w:ind w:left="1220" w:hanging="424"/>
        <w:spacing w:after="0"/>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27" w:lineRule="exact"/>
        <w:rPr>
          <w:rFonts w:ascii="Arial" w:cs="Arial" w:eastAsia="Arial" w:hAnsi="Arial"/>
          <w:sz w:val="18"/>
          <w:szCs w:val="18"/>
          <w:color w:val="auto"/>
        </w:rPr>
      </w:pPr>
    </w:p>
    <w:p>
      <w:pPr>
        <w:ind w:left="1220" w:hanging="424"/>
        <w:spacing w:after="0"/>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27" w:lineRule="exact"/>
        <w:rPr>
          <w:rFonts w:ascii="Arial" w:cs="Arial" w:eastAsia="Arial" w:hAnsi="Arial"/>
          <w:sz w:val="18"/>
          <w:szCs w:val="18"/>
          <w:color w:val="auto"/>
        </w:rPr>
      </w:pPr>
    </w:p>
    <w:p>
      <w:pPr>
        <w:ind w:left="1220" w:hanging="424"/>
        <w:spacing w:after="0"/>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27" w:lineRule="exact"/>
        <w:rPr>
          <w:rFonts w:ascii="Arial" w:cs="Arial" w:eastAsia="Arial" w:hAnsi="Arial"/>
          <w:sz w:val="18"/>
          <w:szCs w:val="18"/>
          <w:color w:val="auto"/>
        </w:rPr>
      </w:pPr>
    </w:p>
    <w:p>
      <w:pPr>
        <w:ind w:left="1220" w:hanging="424"/>
        <w:spacing w:after="0"/>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21" w:lineRule="exact"/>
        <w:rPr>
          <w:sz w:val="20"/>
          <w:szCs w:val="20"/>
          <w:color w:val="auto"/>
        </w:rPr>
      </w:pPr>
    </w:p>
    <w:p>
      <w:pPr>
        <w:ind w:left="260" w:right="560" w:firstLine="437"/>
        <w:spacing w:after="0" w:line="259" w:lineRule="auto"/>
        <w:rPr>
          <w:sz w:val="20"/>
          <w:szCs w:val="20"/>
          <w:color w:val="auto"/>
        </w:rPr>
      </w:pPr>
      <w:r>
        <w:rPr>
          <w:rFonts w:ascii="Arial" w:cs="Arial" w:eastAsia="Arial" w:hAnsi="Arial"/>
          <w:sz w:val="18"/>
          <w:szCs w:val="18"/>
          <w:color w:val="auto"/>
        </w:rPr>
        <w:t>The Company’s revenue arrangements may include infrastructure monitoring, application performance monitoring, log management, and synthetics, as well as secondary services including custom metrics in dashboard monitoring, docker container monitoring, and app analytics. The Company has identified each service as a separate performance obligation.</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transaction price is based on the fixed price for the contracted level of service plus variable consideration for additional optional purchases.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Billing periods correspond to the periods over which services are performed and there are no discounts given on the purchase of future services.</w:t>
      </w:r>
    </w:p>
    <w:p>
      <w:pPr>
        <w:spacing w:after="0" w:line="220" w:lineRule="exact"/>
        <w:rPr>
          <w:sz w:val="20"/>
          <w:szCs w:val="20"/>
          <w:color w:val="auto"/>
        </w:rPr>
      </w:pPr>
    </w:p>
    <w:p>
      <w:pPr>
        <w:ind w:left="260" w:right="80" w:firstLine="437"/>
        <w:spacing w:after="0" w:line="271" w:lineRule="auto"/>
        <w:rPr>
          <w:sz w:val="20"/>
          <w:szCs w:val="20"/>
          <w:color w:val="auto"/>
        </w:rPr>
      </w:pPr>
      <w:r>
        <w:rPr>
          <w:rFonts w:ascii="Arial" w:cs="Arial" w:eastAsia="Arial" w:hAnsi="Arial"/>
          <w:sz w:val="18"/>
          <w:szCs w:val="18"/>
          <w:color w:val="auto"/>
        </w:rPr>
        <w:t>The Company allocates revenue to each performance obligation based on its relative standalone selling price. The Company generally determines standalone selling prices based on a range of actual prices charged to customers.</w:t>
      </w:r>
    </w:p>
    <w:p>
      <w:pPr>
        <w:spacing w:after="0" w:line="175" w:lineRule="exact"/>
        <w:rPr>
          <w:sz w:val="20"/>
          <w:szCs w:val="20"/>
          <w:color w:val="auto"/>
        </w:rPr>
      </w:pPr>
    </w:p>
    <w:p>
      <w:pPr>
        <w:ind w:left="260" w:right="140" w:firstLine="437"/>
        <w:spacing w:after="0" w:line="255" w:lineRule="auto"/>
        <w:rPr>
          <w:sz w:val="20"/>
          <w:szCs w:val="20"/>
          <w:color w:val="auto"/>
        </w:rPr>
      </w:pPr>
      <w:r>
        <w:rPr>
          <w:rFonts w:ascii="Arial" w:cs="Arial" w:eastAsia="Arial" w:hAnsi="Arial"/>
          <w:sz w:val="18"/>
          <w:szCs w:val="18"/>
          <w:color w:val="auto"/>
        </w:rPr>
        <w:t>Revenue is recognized when control of these services is transferred to customers, in an amount that reflects the consideration the Company expects to be entitled to receive in exchange for those services. The Company determined an output method to be the most appropriate measure of progress because it most faithfully represents when the value of the services are simultaneously received and consumed by the customer, and control is transferred.</w:t>
      </w:r>
    </w:p>
    <w:p>
      <w:pPr>
        <w:spacing w:after="0" w:line="191" w:lineRule="exact"/>
        <w:rPr>
          <w:sz w:val="20"/>
          <w:szCs w:val="20"/>
          <w:color w:val="auto"/>
        </w:rPr>
      </w:pPr>
    </w:p>
    <w:p>
      <w:pPr>
        <w:ind w:left="260" w:firstLine="437"/>
        <w:spacing w:after="0" w:line="271" w:lineRule="auto"/>
        <w:rPr>
          <w:sz w:val="20"/>
          <w:szCs w:val="20"/>
          <w:color w:val="auto"/>
        </w:rPr>
      </w:pPr>
      <w:r>
        <w:rPr>
          <w:rFonts w:ascii="Arial" w:cs="Arial" w:eastAsia="Arial" w:hAnsi="Arial"/>
          <w:sz w:val="18"/>
          <w:szCs w:val="18"/>
          <w:color w:val="auto"/>
        </w:rPr>
        <w:t>For committed contractual amounts of usage, revenue is recognized ratably over the term of the subscription agreement generally beginning on the date that the platform is made available to a customer. For committed</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60"/>
          </w:cols>
          <w:pgMar w:left="240" w:top="456"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80"/>
        <w:spacing w:after="0" w:line="271" w:lineRule="auto"/>
        <w:rPr>
          <w:sz w:val="20"/>
          <w:szCs w:val="20"/>
          <w:color w:val="auto"/>
        </w:rPr>
      </w:pPr>
      <w:r>
        <w:rPr>
          <w:rFonts w:ascii="Arial" w:cs="Arial" w:eastAsia="Arial" w:hAnsi="Arial"/>
          <w:sz w:val="18"/>
          <w:szCs w:val="18"/>
          <w:color w:val="auto"/>
        </w:rPr>
        <w:t>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175" w:lineRule="exact"/>
        <w:rPr>
          <w:sz w:val="20"/>
          <w:szCs w:val="20"/>
          <w:color w:val="auto"/>
        </w:rPr>
      </w:pPr>
    </w:p>
    <w:p>
      <w:pPr>
        <w:ind w:left="260" w:right="400" w:firstLine="437"/>
        <w:spacing w:after="0" w:line="271" w:lineRule="auto"/>
        <w:rPr>
          <w:sz w:val="20"/>
          <w:szCs w:val="20"/>
          <w:color w:val="auto"/>
        </w:rPr>
      </w:pPr>
      <w:r>
        <w:rPr>
          <w:rFonts w:ascii="Arial" w:cs="Arial" w:eastAsia="Arial" w:hAnsi="Arial"/>
          <w:sz w:val="18"/>
          <w:szCs w:val="18"/>
          <w:color w:val="auto"/>
        </w:rPr>
        <w:t>The Company applied the practical expedient in Topic 606 and did not evaluate contracts of one year or less for the existence of a significant financing component.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1" w:lineRule="exact"/>
        <w:rPr>
          <w:sz w:val="20"/>
          <w:szCs w:val="20"/>
          <w:color w:val="auto"/>
        </w:rPr>
      </w:pPr>
    </w:p>
    <w:p>
      <w:pPr>
        <w:ind w:left="260" w:right="200" w:firstLine="437"/>
        <w:spacing w:after="0" w:line="255" w:lineRule="auto"/>
        <w:rPr>
          <w:sz w:val="20"/>
          <w:szCs w:val="20"/>
          <w:color w:val="auto"/>
        </w:rPr>
      </w:pPr>
      <w:r>
        <w:rPr>
          <w:rFonts w:ascii="Arial" w:cs="Arial" w:eastAsia="Arial" w:hAnsi="Arial"/>
          <w:sz w:val="18"/>
          <w:szCs w:val="18"/>
          <w:color w:val="auto"/>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1" w:lineRule="exact"/>
        <w:rPr>
          <w:sz w:val="20"/>
          <w:szCs w:val="20"/>
          <w:color w:val="auto"/>
        </w:rPr>
      </w:pPr>
    </w:p>
    <w:p>
      <w:pPr>
        <w:ind w:left="260" w:right="140" w:firstLine="437"/>
        <w:spacing w:after="0" w:line="417" w:lineRule="auto"/>
        <w:rPr>
          <w:sz w:val="20"/>
          <w:szCs w:val="20"/>
          <w:color w:val="auto"/>
        </w:rPr>
      </w:pPr>
      <w:r>
        <w:rPr>
          <w:rFonts w:ascii="Arial" w:cs="Arial" w:eastAsia="Arial" w:hAnsi="Arial"/>
          <w:sz w:val="14"/>
          <w:szCs w:val="14"/>
          <w:color w:val="auto"/>
        </w:rPr>
        <w:t>Research and development costs are expensed as incurred. Research and development costs consist of employee compensation (including stock-based compensation) and other employee-related expenses, materials and supplies, and allocated overhead costs such as rent and facilities costs.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1" w:lineRule="exact"/>
        <w:rPr>
          <w:sz w:val="20"/>
          <w:szCs w:val="20"/>
          <w:color w:val="auto"/>
        </w:rPr>
      </w:pPr>
    </w:p>
    <w:p>
      <w:pPr>
        <w:ind w:left="260" w:right="60" w:firstLine="437"/>
        <w:spacing w:after="0" w:line="259" w:lineRule="auto"/>
        <w:rPr>
          <w:sz w:val="20"/>
          <w:szCs w:val="20"/>
          <w:color w:val="auto"/>
        </w:rPr>
      </w:pPr>
      <w:r>
        <w:rPr>
          <w:rFonts w:ascii="Arial" w:cs="Arial" w:eastAsia="Arial" w:hAnsi="Arial"/>
          <w:sz w:val="18"/>
          <w:szCs w:val="18"/>
          <w:color w:val="auto"/>
        </w:rPr>
        <w:t>Advertising costs are expensed as incurred and were approximately $4.4 million, $8.3 million, $3.7 million and $4.6 million for the years ended December 31, 2017 and 2018, and six months ended June 30, 2018 and 2019 (unaudited), respectively, and are included in sales and marketing expense in the accompanying consolidated statement of operations and comprehensive loss.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1" w:lineRule="exact"/>
        <w:rPr>
          <w:sz w:val="20"/>
          <w:szCs w:val="20"/>
          <w:color w:val="auto"/>
        </w:rPr>
      </w:pPr>
    </w:p>
    <w:p>
      <w:pPr>
        <w:ind w:left="260" w:right="20" w:firstLine="437"/>
        <w:spacing w:after="0" w:line="272"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of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177" w:lineRule="exact"/>
        <w:rPr>
          <w:sz w:val="20"/>
          <w:szCs w:val="20"/>
          <w:color w:val="auto"/>
        </w:rPr>
      </w:pPr>
    </w:p>
    <w:p>
      <w:pPr>
        <w:ind w:left="260" w:firstLine="437"/>
        <w:spacing w:after="0" w:line="252" w:lineRule="auto"/>
        <w:rPr>
          <w:sz w:val="20"/>
          <w:szCs w:val="20"/>
          <w:color w:val="auto"/>
        </w:rPr>
      </w:pPr>
      <w:r>
        <w:rPr>
          <w:rFonts w:ascii="Arial" w:cs="Arial" w:eastAsia="Arial" w:hAnsi="Arial"/>
          <w:sz w:val="18"/>
          <w:szCs w:val="18"/>
          <w:color w:val="auto"/>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24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1" w:lineRule="exact"/>
        <w:rPr>
          <w:sz w:val="20"/>
          <w:szCs w:val="20"/>
          <w:color w:val="auto"/>
        </w:rPr>
      </w:pPr>
    </w:p>
    <w:p>
      <w:pPr>
        <w:ind w:left="260" w:right="100" w:firstLine="437"/>
        <w:spacing w:after="0" w:line="267" w:lineRule="auto"/>
        <w:rPr>
          <w:sz w:val="20"/>
          <w:szCs w:val="20"/>
          <w:color w:val="auto"/>
        </w:rPr>
      </w:pPr>
      <w:r>
        <w:rPr>
          <w:rFonts w:ascii="Arial" w:cs="Arial" w:eastAsia="Arial" w:hAnsi="Arial"/>
          <w:sz w:val="17"/>
          <w:szCs w:val="17"/>
          <w:color w:val="auto"/>
        </w:rPr>
        <w:t>The Company measures compensation expense for all stock-based payment awards, including stock options granted to employees, directors, and nonemployees, based on the estimated fair value of the awards on the date of grant. The fair value of each stock option granted is estimated using the Black Scholes option pricing model.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Stock-based compensation is recognized on a straight-line basis over the requisite service period. 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considers all highly liquid investments with an original maturity of three months or less when purchased to be cash equivalents.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equivalents consist of funds deposited into money market funds.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1" w:lineRule="exact"/>
        <w:rPr>
          <w:sz w:val="20"/>
          <w:szCs w:val="20"/>
          <w:color w:val="auto"/>
        </w:rPr>
      </w:pPr>
    </w:p>
    <w:p>
      <w:pPr>
        <w:ind w:left="260" w:right="40" w:firstLine="437"/>
        <w:spacing w:after="0" w:line="259" w:lineRule="auto"/>
        <w:rPr>
          <w:sz w:val="20"/>
          <w:szCs w:val="20"/>
          <w:color w:val="auto"/>
        </w:rPr>
      </w:pPr>
      <w:r>
        <w:rPr>
          <w:rFonts w:ascii="Arial" w:cs="Arial" w:eastAsia="Arial" w:hAnsi="Arial"/>
          <w:sz w:val="18"/>
          <w:szCs w:val="18"/>
          <w:color w:val="auto"/>
        </w:rPr>
        <w:t>Restricted cash primarily consists of collateralized letters of credit established in connection with lease agreements for the Company’s facilities. Restricted cash is included in current assets for leases that expire within one year and is included in non-current assets for leases that expire in more than one year from the balance sheet date.</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1" w:lineRule="exact"/>
        <w:rPr>
          <w:sz w:val="20"/>
          <w:szCs w:val="20"/>
          <w:color w:val="auto"/>
        </w:rPr>
      </w:pPr>
    </w:p>
    <w:p>
      <w:pPr>
        <w:ind w:left="260" w:right="80" w:firstLine="437"/>
        <w:spacing w:after="0" w:line="343" w:lineRule="auto"/>
        <w:rPr>
          <w:sz w:val="20"/>
          <w:szCs w:val="20"/>
          <w:color w:val="auto"/>
        </w:rPr>
      </w:pPr>
      <w:r>
        <w:rPr>
          <w:rFonts w:ascii="Arial" w:cs="Arial" w:eastAsia="Arial" w:hAnsi="Arial"/>
          <w:sz w:val="14"/>
          <w:szCs w:val="14"/>
          <w:color w:val="auto"/>
        </w:rPr>
        <w:t>Financial instruments that potentially subject the Company to credit risk primarily consist of cash and cash equivalents and accounts receivable. For cash and cash equivalents, the Company is exposed to credit risk in the event of default by the financial institutions to the extent of the amounts recorded on the accompanying consolidated balance sheets exceed federally insured limits. The Company places its cash and cash equivalents with financial institutions with high-quality credit ratings and has not experienced any losses in such accounts. For accounts receivable, the Company is exposed to credit risk in the event of nonpayment by customers to the extent of the amounts recorded on the accompanying consolidated balance sheets.</w:t>
      </w:r>
    </w:p>
    <w:p>
      <w:pPr>
        <w:spacing w:after="0" w:line="134" w:lineRule="exact"/>
        <w:rPr>
          <w:sz w:val="20"/>
          <w:szCs w:val="20"/>
          <w:color w:val="auto"/>
        </w:rPr>
      </w:pPr>
    </w:p>
    <w:p>
      <w:pPr>
        <w:ind w:left="260" w:right="40" w:firstLine="437"/>
        <w:spacing w:after="0" w:line="259" w:lineRule="auto"/>
        <w:rPr>
          <w:sz w:val="20"/>
          <w:szCs w:val="20"/>
          <w:color w:val="auto"/>
        </w:rPr>
      </w:pPr>
      <w:r>
        <w:rPr>
          <w:rFonts w:ascii="Arial" w:cs="Arial" w:eastAsia="Arial" w:hAnsi="Arial"/>
          <w:sz w:val="18"/>
          <w:szCs w:val="18"/>
          <w:color w:val="auto"/>
        </w:rPr>
        <w:t>There were no customers representing greater than 10% of total revenue for the years ended December 31, 2017 and 2018 or the six months ended June 30, 2018 or 2019 (unaudited). No customers represented greater than 10% of accounts receivable as of December 31, 2017 and 2018 or as of June 30, 2018 or 2019 (unaudited).</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1" w:lineRule="exact"/>
        <w:rPr>
          <w:sz w:val="20"/>
          <w:szCs w:val="20"/>
          <w:color w:val="auto"/>
        </w:rPr>
      </w:pPr>
    </w:p>
    <w:p>
      <w:pPr>
        <w:ind w:left="260" w:right="780" w:firstLine="437"/>
        <w:spacing w:after="0" w:line="271" w:lineRule="auto"/>
        <w:rPr>
          <w:sz w:val="20"/>
          <w:szCs w:val="20"/>
          <w:color w:val="auto"/>
        </w:rPr>
      </w:pPr>
      <w:r>
        <w:rPr>
          <w:rFonts w:ascii="Arial" w:cs="Arial" w:eastAsia="Arial" w:hAnsi="Arial"/>
          <w:sz w:val="18"/>
          <w:szCs w:val="18"/>
          <w:color w:val="auto"/>
        </w:rPr>
        <w:t>Revenue by location is determined by the billing address for the customer. The following table sets forth revenue by geographic area (in thousands):</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3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1"/>
        </w:trPr>
        <w:tc>
          <w:tcPr>
            <w:tcW w:w="31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40"/>
              <w:spacing w:after="0" w:line="141" w:lineRule="exact"/>
              <w:rPr>
                <w:sz w:val="20"/>
                <w:szCs w:val="20"/>
                <w:color w:val="auto"/>
              </w:rPr>
            </w:pPr>
            <w:r>
              <w:rPr>
                <w:rFonts w:ascii="Arial" w:cs="Arial" w:eastAsia="Arial" w:hAnsi="Arial"/>
                <w:sz w:val="14"/>
                <w:szCs w:val="14"/>
                <w:b w:val="1"/>
                <w:bCs w:val="1"/>
                <w:color w:val="auto"/>
              </w:rPr>
              <w:t>2017</w:t>
            </w:r>
          </w:p>
        </w:tc>
        <w:tc>
          <w:tcPr>
            <w:tcW w:w="980" w:type="dxa"/>
            <w:vAlign w:val="bottom"/>
            <w:gridSpan w:val="2"/>
          </w:tcPr>
          <w:p>
            <w:pPr>
              <w:jc w:val="right"/>
              <w:ind w:right="131"/>
              <w:spacing w:after="0" w:line="141"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5"/>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1"/>
        </w:trPr>
        <w:tc>
          <w:tcPr>
            <w:tcW w:w="31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center"/>
              <w:ind w:right="95"/>
              <w:spacing w:after="0" w:line="141"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2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$ 150,945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63,185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115,436</w:t>
            </w:r>
          </w:p>
        </w:tc>
        <w:tc>
          <w:tcPr>
            <w:tcW w:w="60" w:type="dxa"/>
            <w:vAlign w:val="bottom"/>
            <w:shd w:val="clear" w:color="auto" w:fill="CCEEFF"/>
          </w:tcPr>
          <w:p>
            <w:pPr>
              <w:spacing w:after="0"/>
              <w:rPr>
                <w:sz w:val="19"/>
                <w:szCs w:val="19"/>
                <w:color w:val="auto"/>
              </w:rPr>
            </w:pPr>
          </w:p>
        </w:tc>
      </w:tr>
      <w:tr>
        <w:trPr>
          <w:trHeight w:val="221"/>
        </w:trPr>
        <w:tc>
          <w:tcPr>
            <w:tcW w:w="3180" w:type="dxa"/>
            <w:vAlign w:val="bottom"/>
          </w:tcPr>
          <w:p>
            <w:pPr>
              <w:spacing w:after="0"/>
              <w:rPr>
                <w:sz w:val="20"/>
                <w:szCs w:val="20"/>
                <w:color w:val="auto"/>
              </w:rPr>
            </w:pPr>
            <w:r>
              <w:rPr>
                <w:rFonts w:ascii="Arial" w:cs="Arial" w:eastAsia="Arial" w:hAnsi="Arial"/>
                <w:sz w:val="18"/>
                <w:szCs w:val="18"/>
                <w:color w:val="auto"/>
              </w:rPr>
              <w:t>International</w:t>
            </w:r>
          </w:p>
        </w:tc>
        <w:tc>
          <w:tcPr>
            <w:tcW w:w="3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24,409</w:t>
            </w: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22,208</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37,836</w:t>
            </w:r>
          </w:p>
        </w:tc>
        <w:tc>
          <w:tcPr>
            <w:tcW w:w="60" w:type="dxa"/>
            <w:vAlign w:val="bottom"/>
          </w:tcPr>
          <w:p>
            <w:pPr>
              <w:spacing w:after="0"/>
              <w:rPr>
                <w:sz w:val="19"/>
                <w:szCs w:val="19"/>
                <w:color w:val="auto"/>
              </w:rPr>
            </w:pPr>
          </w:p>
        </w:tc>
      </w:tr>
      <w:tr>
        <w:trPr>
          <w:trHeight w:val="214"/>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100,761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$ 198,077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85,393</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153,272</w:t>
            </w:r>
          </w:p>
        </w:tc>
        <w:tc>
          <w:tcPr>
            <w:tcW w:w="60" w:type="dxa"/>
            <w:vAlign w:val="bottom"/>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3180" w:type="dxa"/>
            <w:vAlign w:val="bottom"/>
          </w:tcPr>
          <w:p>
            <w:pPr>
              <w:spacing w:after="0"/>
              <w:rPr>
                <w:sz w:val="24"/>
                <w:szCs w:val="24"/>
                <w:color w:val="auto"/>
              </w:rPr>
            </w:pPr>
          </w:p>
        </w:tc>
        <w:tc>
          <w:tcPr>
            <w:tcW w:w="4020" w:type="dxa"/>
            <w:vAlign w:val="bottom"/>
            <w:gridSpan w:val="2"/>
          </w:tcPr>
          <w:p>
            <w:pPr>
              <w:jc w:val="right"/>
              <w:ind w:right="1580"/>
              <w:spacing w:after="0"/>
              <w:rPr>
                <w:sz w:val="20"/>
                <w:szCs w:val="20"/>
                <w:color w:val="auto"/>
              </w:rPr>
            </w:pPr>
            <w:r>
              <w:rPr>
                <w:rFonts w:ascii="Arial" w:cs="Arial" w:eastAsia="Arial" w:hAnsi="Arial"/>
                <w:sz w:val="18"/>
                <w:szCs w:val="18"/>
                <w:color w:val="auto"/>
              </w:rPr>
              <w:t>F-12</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80"/>
          </w:cols>
          <w:pgMar w:left="240" w:top="456"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jc w:val="both"/>
        <w:ind w:left="260" w:right="180" w:firstLine="437"/>
        <w:spacing w:after="0" w:line="255" w:lineRule="auto"/>
        <w:rPr>
          <w:sz w:val="20"/>
          <w:szCs w:val="20"/>
          <w:color w:val="auto"/>
        </w:rPr>
      </w:pPr>
      <w:r>
        <w:rPr>
          <w:rFonts w:ascii="Arial" w:cs="Arial" w:eastAsia="Arial" w:hAnsi="Arial"/>
          <w:sz w:val="18"/>
          <w:szCs w:val="18"/>
          <w:color w:val="auto"/>
        </w:rPr>
        <w:t>Other than the United States, no other individual country accounted for 10% or more of total revenue for the years ended December 31, 2017 or 2018. As of December 31, 2017 and 2018, 84% and 85% of the Company’s long lived assets were located in the United States and 16% and 15% were located in Europe, respectively. As of June 30, 2019, 78% (unaudited) of the Company’s long lived assets were located in the United States and 22% (unaudited) were located in Europe.</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1" w:lineRule="exact"/>
        <w:rPr>
          <w:sz w:val="20"/>
          <w:szCs w:val="20"/>
          <w:color w:val="auto"/>
        </w:rPr>
      </w:pPr>
    </w:p>
    <w:p>
      <w:pPr>
        <w:ind w:left="260" w:right="160" w:firstLine="437"/>
        <w:spacing w:after="0" w:line="275" w:lineRule="auto"/>
        <w:rPr>
          <w:sz w:val="20"/>
          <w:szCs w:val="20"/>
          <w:color w:val="auto"/>
        </w:rPr>
      </w:pPr>
      <w:r>
        <w:rPr>
          <w:rFonts w:ascii="Arial" w:cs="Arial" w:eastAsia="Arial" w:hAnsi="Arial"/>
          <w:sz w:val="17"/>
          <w:szCs w:val="17"/>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 tiered hierarchy, which prioritizes the inputs used in the valuation methodologies in measuring fair value as follows:</w:t>
      </w:r>
    </w:p>
    <w:p>
      <w:pPr>
        <w:spacing w:after="0" w:line="68" w:lineRule="exact"/>
        <w:rPr>
          <w:sz w:val="20"/>
          <w:szCs w:val="20"/>
          <w:color w:val="auto"/>
        </w:rPr>
      </w:pPr>
    </w:p>
    <w:p>
      <w:pPr>
        <w:ind w:left="1240" w:right="640"/>
        <w:spacing w:after="0" w:line="271" w:lineRule="auto"/>
        <w:rPr>
          <w:sz w:val="20"/>
          <w:szCs w:val="20"/>
          <w:color w:val="auto"/>
        </w:rPr>
      </w:pPr>
      <w:r>
        <w:rPr>
          <w:rFonts w:ascii="Arial" w:cs="Arial" w:eastAsia="Arial" w:hAnsi="Arial"/>
          <w:sz w:val="18"/>
          <w:szCs w:val="18"/>
          <w:b w:val="1"/>
          <w:bCs w:val="1"/>
          <w:i w:val="1"/>
          <w:iCs w:val="1"/>
          <w:color w:val="auto"/>
        </w:rPr>
        <w:t xml:space="preserve">Level 1 Inputs: </w:t>
      </w:r>
      <w:r>
        <w:rPr>
          <w:rFonts w:ascii="Arial" w:cs="Arial" w:eastAsia="Arial" w:hAnsi="Arial"/>
          <w:sz w:val="18"/>
          <w:szCs w:val="18"/>
          <w:color w:val="auto"/>
        </w:rPr>
        <w:t>Unadjusted quoted prices in active markets for identical assets or liabilities accessible to the reporting entity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date.</w:t>
      </w:r>
    </w:p>
    <w:p>
      <w:pPr>
        <w:spacing w:after="0" w:line="68" w:lineRule="exact"/>
        <w:rPr>
          <w:sz w:val="20"/>
          <w:szCs w:val="20"/>
          <w:color w:val="auto"/>
        </w:rPr>
      </w:pPr>
    </w:p>
    <w:p>
      <w:pPr>
        <w:ind w:left="1240"/>
        <w:spacing w:after="0" w:line="271" w:lineRule="auto"/>
        <w:rPr>
          <w:sz w:val="20"/>
          <w:szCs w:val="20"/>
          <w:color w:val="auto"/>
        </w:rPr>
      </w:pPr>
      <w:r>
        <w:rPr>
          <w:rFonts w:ascii="Arial" w:cs="Arial" w:eastAsia="Arial" w:hAnsi="Arial"/>
          <w:sz w:val="18"/>
          <w:szCs w:val="18"/>
          <w:b w:val="1"/>
          <w:bCs w:val="1"/>
          <w:i w:val="1"/>
          <w:iCs w:val="1"/>
          <w:color w:val="auto"/>
        </w:rPr>
        <w:t xml:space="preserve">Level 2 Inputs: </w:t>
      </w:r>
      <w:r>
        <w:rPr>
          <w:rFonts w:ascii="Arial" w:cs="Arial" w:eastAsia="Arial" w:hAnsi="Arial"/>
          <w:sz w:val="18"/>
          <w:szCs w:val="18"/>
          <w:color w:val="auto"/>
        </w:rPr>
        <w:t>Other than quoted prices included in Level 1 inputs that are observable for the asset or liability, either directly or indirectly,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substantially the full term of the asset or liability.</w:t>
      </w:r>
    </w:p>
    <w:p>
      <w:pPr>
        <w:spacing w:after="0" w:line="68" w:lineRule="exact"/>
        <w:rPr>
          <w:sz w:val="20"/>
          <w:szCs w:val="20"/>
          <w:color w:val="auto"/>
        </w:rPr>
      </w:pPr>
    </w:p>
    <w:p>
      <w:pPr>
        <w:ind w:left="1240" w:right="520"/>
        <w:spacing w:after="0" w:line="335" w:lineRule="auto"/>
        <w:rPr>
          <w:sz w:val="20"/>
          <w:szCs w:val="20"/>
          <w:color w:val="auto"/>
        </w:rPr>
      </w:pPr>
      <w:r>
        <w:rPr>
          <w:rFonts w:ascii="Arial" w:cs="Arial" w:eastAsia="Arial" w:hAnsi="Arial"/>
          <w:sz w:val="16"/>
          <w:szCs w:val="16"/>
          <w:b w:val="1"/>
          <w:bCs w:val="1"/>
          <w:i w:val="1"/>
          <w:iCs w:val="1"/>
          <w:color w:val="auto"/>
        </w:rPr>
        <w:t xml:space="preserve">Level 3 Inputs: </w:t>
      </w:r>
      <w:r>
        <w:rPr>
          <w:rFonts w:ascii="Arial" w:cs="Arial" w:eastAsia="Arial" w:hAnsi="Arial"/>
          <w:sz w:val="16"/>
          <w:szCs w:val="16"/>
          <w:color w:val="auto"/>
        </w:rPr>
        <w:t>Unobservable inputs for the asset or liability used to measure fair value to the extent that observable inputs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thereby allowing for situations in which there is little, if any, market activity for the asset or liability at measurement date.</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Included in the Company’s cash and cash equivalents are money market funds, which are classified within Level 1 of the fair value hierarchy</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because they are valued using quoted market prices. As of December 31, 2017 and 2018 and June 30, 2019, the Company had $60.0 million,</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$53.6 million and $52.3 million (unaudited), respectively, of cash and cash equivalents primarily invested in money market funds. In addition, the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Company had $3.8 million, $11.3 million and $11.3 million (unaudited), respectively, of restricted cash in connection with collateral for various lease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agreements for the Company’s facilities. Accounts receivable, accounts payable, and accrued expenses are stated at their carrying value, which</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approximates fair value due to the short time to the expected receipt or payment date.</w:t>
      </w:r>
    </w:p>
    <w:p>
      <w:pPr>
        <w:spacing w:after="0" w:line="208" w:lineRule="exact"/>
        <w:rPr>
          <w:sz w:val="20"/>
          <w:szCs w:val="20"/>
          <w:color w:val="auto"/>
        </w:rPr>
      </w:pPr>
    </w:p>
    <w:p>
      <w:pPr>
        <w:ind w:left="260" w:right="300" w:firstLine="437"/>
        <w:spacing w:after="0" w:line="271"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1" w:lineRule="exact"/>
        <w:rPr>
          <w:sz w:val="20"/>
          <w:szCs w:val="20"/>
          <w:color w:val="auto"/>
        </w:rPr>
      </w:pPr>
    </w:p>
    <w:p>
      <w:pPr>
        <w:ind w:left="260" w:right="20" w:firstLine="437"/>
        <w:spacing w:after="0" w:line="252" w:lineRule="auto"/>
        <w:rPr>
          <w:sz w:val="20"/>
          <w:szCs w:val="20"/>
          <w:color w:val="auto"/>
        </w:rPr>
      </w:pPr>
      <w:r>
        <w:rPr>
          <w:rFonts w:ascii="Arial" w:cs="Arial" w:eastAsia="Arial" w:hAnsi="Arial"/>
          <w:sz w:val="18"/>
          <w:szCs w:val="18"/>
          <w:color w:val="auto"/>
        </w:rPr>
        <w:t>Accounts receivable includes billed and unbilled receivables. Trade accounts receivable are recorded at invoiced amounts and do not bear interest. The Company generally does not require collateral and provides for expected losses. The expectation of collectability is based on a review of credit profiles of customers, contractual terms and conditions, current economic trends, and historical payment experience. The Company regularly reviews the adequacy of the allowance for doubtful accounts by considering the age of each outstanding invoice and the collection history of each customer to determine the appropriate amount of allowance for doubtful accounts. Accounts receivable deemed uncollectible are charged against the allowance for doubtful accounts when identified.</w:t>
      </w:r>
    </w:p>
    <w:p>
      <w:pPr>
        <w:spacing w:after="0" w:line="195" w:lineRule="exact"/>
        <w:rPr>
          <w:sz w:val="20"/>
          <w:szCs w:val="20"/>
          <w:color w:val="auto"/>
        </w:rPr>
      </w:pPr>
    </w:p>
    <w:p>
      <w:pPr>
        <w:ind w:left="260" w:right="140" w:firstLine="437"/>
        <w:spacing w:after="0" w:line="275" w:lineRule="auto"/>
        <w:rPr>
          <w:sz w:val="20"/>
          <w:szCs w:val="20"/>
          <w:color w:val="auto"/>
        </w:rPr>
      </w:pPr>
      <w:r>
        <w:rPr>
          <w:rFonts w:ascii="Arial" w:cs="Arial" w:eastAsia="Arial" w:hAnsi="Arial"/>
          <w:sz w:val="17"/>
          <w:szCs w:val="17"/>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December 31, 2017 and 2018 and June 30, 2019, unbilled accounts receivable of approximately $10.5 million, $13.1 million and $13.7 million (unaudited), respectively, was included in accounts receivable on the Company’s consolidated balance sheets.</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80"/>
          </w:cols>
          <w:pgMar w:left="240" w:top="456"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221" w:lineRule="exact"/>
        <w:rPr>
          <w:sz w:val="20"/>
          <w:szCs w:val="20"/>
          <w:color w:val="auto"/>
        </w:rPr>
      </w:pPr>
    </w:p>
    <w:p>
      <w:pPr>
        <w:ind w:left="260" w:right="280" w:firstLine="437"/>
        <w:spacing w:after="0" w:line="293" w:lineRule="auto"/>
        <w:rPr>
          <w:sz w:val="20"/>
          <w:szCs w:val="20"/>
          <w:color w:val="auto"/>
        </w:rPr>
      </w:pPr>
      <w:r>
        <w:rPr>
          <w:rFonts w:ascii="Arial" w:cs="Arial" w:eastAsia="Arial" w:hAnsi="Arial"/>
          <w:sz w:val="16"/>
          <w:szCs w:val="16"/>
          <w:color w:val="auto"/>
        </w:rPr>
        <w:t>The Company capitalizes qualifying internal 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61" w:lineRule="exact"/>
        <w:rPr>
          <w:sz w:val="20"/>
          <w:szCs w:val="20"/>
          <w:color w:val="auto"/>
        </w:rPr>
      </w:pPr>
    </w:p>
    <w:p>
      <w:pPr>
        <w:ind w:left="260" w:right="200" w:firstLine="437"/>
        <w:spacing w:after="0" w:line="255" w:lineRule="auto"/>
        <w:rPr>
          <w:sz w:val="20"/>
          <w:szCs w:val="20"/>
          <w:color w:val="auto"/>
        </w:rPr>
      </w:pPr>
      <w:r>
        <w:rPr>
          <w:rFonts w:ascii="Arial" w:cs="Arial" w:eastAsia="Arial" w:hAnsi="Arial"/>
          <w:sz w:val="18"/>
          <w:szCs w:val="18"/>
          <w:color w:val="auto"/>
        </w:rPr>
        <w:t>Capitalized costs are included in property and equipment. These costs are amortized over the estimated useful life of the software, which is two years, on a straight-line basis, which represents the manner in which the expected benefit will be derived. The amortization of costs related to the platform applications is included in cost of revenue and sales and marketing expense based on an allocation between paid customer accounts and free customer accounts not generating revenue.</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1" w:lineRule="exact"/>
        <w:rPr>
          <w:sz w:val="20"/>
          <w:szCs w:val="20"/>
          <w:color w:val="auto"/>
        </w:rPr>
      </w:pPr>
    </w:p>
    <w:p>
      <w:pPr>
        <w:jc w:val="both"/>
        <w:ind w:left="260" w:right="300" w:firstLine="437"/>
        <w:spacing w:after="0" w:line="282" w:lineRule="auto"/>
        <w:rPr>
          <w:sz w:val="20"/>
          <w:szCs w:val="20"/>
          <w:color w:val="auto"/>
        </w:rPr>
      </w:pPr>
      <w:r>
        <w:rPr>
          <w:rFonts w:ascii="Arial" w:cs="Arial" w:eastAsia="Arial" w:hAnsi="Arial"/>
          <w:sz w:val="17"/>
          <w:szCs w:val="17"/>
          <w:color w:val="auto"/>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1" w:lineRule="exact"/>
        <w:rPr>
          <w:sz w:val="20"/>
          <w:szCs w:val="20"/>
          <w:color w:val="auto"/>
        </w:rPr>
      </w:pPr>
    </w:p>
    <w:p>
      <w:pPr>
        <w:ind w:left="260" w:firstLine="437"/>
        <w:spacing w:after="0" w:line="270" w:lineRule="auto"/>
        <w:rPr>
          <w:sz w:val="20"/>
          <w:szCs w:val="20"/>
          <w:color w:val="auto"/>
        </w:rPr>
      </w:pPr>
      <w:r>
        <w:rPr>
          <w:rFonts w:ascii="Arial" w:cs="Arial" w:eastAsia="Arial" w:hAnsi="Arial"/>
          <w:sz w:val="17"/>
          <w:szCs w:val="17"/>
          <w:color w:val="auto"/>
        </w:rPr>
        <w:t>Sales commissions earned by the Company’s sales force are considered incremental and recoverable costs of obtaining a contract with a customer. These costs are deferred and then amortized over a period of benefit which is determined to be four years. The Company determined the period of benefit by taking into consideration the length of terms in its customer contracts, life of the technology and other factors. Amounts expected to be recognized within one year of the balance sheet date are recorded as deferred contract costs, current; the remaining portion is recorded as deferred contract costs, non-current, in the consolidated balance sheets. Deferred contract costs are periodically analyzed for impairment. Amortization expense is included in sales and marketing expenses in the accompanying consolidated statements of operations.</w:t>
      </w:r>
    </w:p>
    <w:p>
      <w:pPr>
        <w:spacing w:after="0" w:line="179" w:lineRule="exact"/>
        <w:rPr>
          <w:sz w:val="20"/>
          <w:szCs w:val="20"/>
          <w:color w:val="auto"/>
        </w:rPr>
      </w:pPr>
    </w:p>
    <w:p>
      <w:pPr>
        <w:ind w:left="260" w:right="20" w:firstLine="437"/>
        <w:spacing w:after="0" w:line="271" w:lineRule="auto"/>
        <w:rPr>
          <w:sz w:val="20"/>
          <w:szCs w:val="20"/>
          <w:color w:val="auto"/>
        </w:rPr>
      </w:pPr>
      <w:r>
        <w:rPr>
          <w:rFonts w:ascii="Arial" w:cs="Arial" w:eastAsia="Arial" w:hAnsi="Arial"/>
          <w:sz w:val="18"/>
          <w:szCs w:val="18"/>
          <w:color w:val="auto"/>
        </w:rPr>
        <w:t>The adoption of ASC 606 related to the deferral of incremental commission costs of obtaining a contract, primarily sales commissions, resulted in a decrease to accumulated deficit of $2.7 million as of January 1, 2017.</w:t>
      </w:r>
    </w:p>
    <w:p>
      <w:pPr>
        <w:spacing w:after="0" w:line="175" w:lineRule="exact"/>
        <w:rPr>
          <w:sz w:val="20"/>
          <w:szCs w:val="20"/>
          <w:color w:val="auto"/>
        </w:rPr>
      </w:pPr>
    </w:p>
    <w:p>
      <w:pPr>
        <w:ind w:left="260" w:right="140" w:firstLine="437"/>
        <w:spacing w:after="0" w:line="282" w:lineRule="auto"/>
        <w:rPr>
          <w:sz w:val="20"/>
          <w:szCs w:val="20"/>
          <w:color w:val="auto"/>
        </w:rPr>
      </w:pPr>
      <w:r>
        <w:rPr>
          <w:rFonts w:ascii="Arial" w:cs="Arial" w:eastAsia="Arial" w:hAnsi="Arial"/>
          <w:sz w:val="17"/>
          <w:szCs w:val="17"/>
          <w:color w:val="auto"/>
        </w:rPr>
        <w:t>Deferred contract costs on the Company’s consolidated balance sheets were $4.8 million, $11.0 million and $14.9 million as of December 31, 2017 and 2018 and June 30, 2019 (unaudited) respectively. Amortization expense was $1.3 million, $2.7 million, $1.1 million and $2.3 million for the years ended December 31, 2017 and 2018, and six months ended June 30, 2018 and 2019 (unaudited), respectively.</w:t>
      </w:r>
    </w:p>
    <w:p>
      <w:pPr>
        <w:spacing w:after="0" w:line="1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240" w:top="456" w:right="5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0000" w:type="dxa"/>
            <w:vAlign w:val="bottom"/>
          </w:tcPr>
          <w:p>
            <w:pPr>
              <w:jc w:val="center"/>
              <w:ind w:left="771"/>
              <w:spacing w:after="0"/>
              <w:rPr>
                <w:sz w:val="20"/>
                <w:szCs w:val="20"/>
                <w:color w:val="auto"/>
              </w:rPr>
            </w:pPr>
            <w:r>
              <w:rPr>
                <w:rFonts w:ascii="Arial" w:cs="Arial" w:eastAsia="Arial" w:hAnsi="Arial"/>
                <w:sz w:val="18"/>
                <w:szCs w:val="18"/>
                <w:b w:val="1"/>
                <w:bCs w:val="1"/>
                <w:color w:val="auto"/>
                <w:w w:val="97"/>
              </w:rPr>
              <w:t>DATADOG, INC.</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10000" w:type="dxa"/>
            <w:vAlign w:val="bottom"/>
          </w:tcPr>
          <w:p>
            <w:pPr>
              <w:jc w:val="center"/>
              <w:ind w:left="791"/>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00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Additions to deferred contract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8"/>
        </w:trPr>
        <w:tc>
          <w:tcPr>
            <w:tcW w:w="1002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Additions to deferred contract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Amortization of deferred contract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20" w:type="dxa"/>
            <w:vAlign w:val="bottom"/>
            <w:gridSpan w:val="2"/>
          </w:tcPr>
          <w:p>
            <w:pPr>
              <w:spacing w:after="0"/>
              <w:rPr>
                <w:sz w:val="20"/>
                <w:szCs w:val="20"/>
                <w:color w:val="auto"/>
              </w:rPr>
            </w:pPr>
            <w:r>
              <w:rPr>
                <w:rFonts w:ascii="Arial" w:cs="Arial" w:eastAsia="Arial" w:hAnsi="Arial"/>
                <w:sz w:val="18"/>
                <w:szCs w:val="18"/>
                <w:color w:val="auto"/>
              </w:rPr>
              <w:t>Additions to deferred contract costs (unaudited)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costs (unaudited)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21"/>
        </w:trPr>
        <w:tc>
          <w:tcPr>
            <w:tcW w:w="10020" w:type="dxa"/>
            <w:vAlign w:val="bottom"/>
            <w:gridSpan w:val="2"/>
          </w:tcPr>
          <w:p>
            <w:pPr>
              <w:spacing w:after="0"/>
              <w:rPr>
                <w:sz w:val="20"/>
                <w:szCs w:val="20"/>
                <w:color w:val="auto"/>
              </w:rPr>
            </w:pPr>
            <w:r>
              <w:rPr>
                <w:rFonts w:ascii="Arial" w:cs="Arial" w:eastAsia="Arial" w:hAnsi="Arial"/>
                <w:sz w:val="18"/>
                <w:szCs w:val="18"/>
                <w:color w:val="auto"/>
              </w:rPr>
              <w:t>Balance as of June 30, 2019 (unaudited)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1" w:lineRule="exact"/>
        <w:rPr>
          <w:sz w:val="20"/>
          <w:szCs w:val="20"/>
          <w:color w:val="auto"/>
        </w:rPr>
      </w:pPr>
    </w:p>
    <w:p>
      <w:pPr>
        <w:ind w:left="260" w:right="180" w:firstLine="437"/>
        <w:spacing w:after="0" w:line="255" w:lineRule="auto"/>
        <w:rPr>
          <w:sz w:val="20"/>
          <w:szCs w:val="20"/>
          <w:color w:val="auto"/>
        </w:rPr>
      </w:pPr>
      <w:r>
        <w:rPr>
          <w:rFonts w:ascii="Arial" w:cs="Arial" w:eastAsia="Arial" w:hAnsi="Arial"/>
          <w:sz w:val="18"/>
          <w:szCs w:val="18"/>
          <w:color w:val="auto"/>
        </w:rPr>
        <w:t>Deferred offering costs, which consist of direct incremental legal, accounting, and consulting fees relating to the IPO, will be capitalized. The deferred offering costs will be offset against IPO proceeds upon the consummation of the IPO. In the event the planned IPO is terminated, the deferred offering costs will be expensed. There were no deferred offering costs recorded as of December 31, 2017 and 2018. As of June 30, 2019, there was $1.4 million (unaudited) of deferred offering costs recorded.</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1" w:lineRule="exact"/>
        <w:rPr>
          <w:sz w:val="20"/>
          <w:szCs w:val="20"/>
          <w:color w:val="auto"/>
        </w:rPr>
      </w:pPr>
    </w:p>
    <w:p>
      <w:pPr>
        <w:ind w:left="260" w:right="20" w:firstLine="437"/>
        <w:spacing w:after="0" w:line="267" w:lineRule="auto"/>
        <w:rPr>
          <w:sz w:val="20"/>
          <w:szCs w:val="20"/>
          <w:color w:val="auto"/>
        </w:rPr>
      </w:pPr>
      <w:r>
        <w:rPr>
          <w:rFonts w:ascii="Arial" w:cs="Arial" w:eastAsia="Arial" w:hAnsi="Arial"/>
          <w:sz w:val="17"/>
          <w:szCs w:val="17"/>
          <w:color w:val="auto"/>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for Impairment of Long-Lived Assets (Including Goodwill and Intangibles)</w:t>
      </w:r>
    </w:p>
    <w:p>
      <w:pPr>
        <w:spacing w:after="0" w:line="221" w:lineRule="exact"/>
        <w:rPr>
          <w:sz w:val="20"/>
          <w:szCs w:val="20"/>
          <w:color w:val="auto"/>
        </w:rPr>
      </w:pPr>
    </w:p>
    <w:p>
      <w:pPr>
        <w:ind w:left="260" w:right="160" w:firstLine="437"/>
        <w:spacing w:after="0" w:line="271" w:lineRule="auto"/>
        <w:rPr>
          <w:sz w:val="20"/>
          <w:szCs w:val="20"/>
          <w:color w:val="auto"/>
        </w:rPr>
      </w:pPr>
      <w:r>
        <w:rPr>
          <w:rFonts w:ascii="Arial" w:cs="Arial" w:eastAsia="Arial" w:hAnsi="Arial"/>
          <w:sz w:val="18"/>
          <w:szCs w:val="18"/>
          <w:color w:val="auto"/>
        </w:rPr>
        <w:t>Long-lived assets with finite lives include property and equipment, capitalized development software costs and acquired intangible assets. Long-lived assets are amortized over their estimated useful lives which are as follows:</w:t>
      </w:r>
    </w:p>
    <w:p>
      <w:pPr>
        <w:sectPr>
          <w:pgSz w:w="11900" w:h="16838" w:orient="portrait"/>
          <w:cols w:equalWidth="0" w:num="1">
            <w:col w:w="11180"/>
          </w:cols>
          <w:pgMar w:left="240" w:top="456" w:right="479" w:bottom="1440" w:gutter="0" w:footer="0" w:header="0"/>
        </w:sectPr>
      </w:pP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Computers and equipment</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Furnitures and fixtures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Leasehold improvements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Capitalized software development costs</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useful life of asset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 years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1-3 years</w:t>
      </w:r>
    </w:p>
    <w:p>
      <w:pPr>
        <w:spacing w:after="0" w:line="141" w:lineRule="exact"/>
        <w:rPr>
          <w:sz w:val="20"/>
          <w:szCs w:val="20"/>
          <w:color w:val="auto"/>
        </w:rPr>
      </w:pPr>
    </w:p>
    <w:p>
      <w:pPr>
        <w:sectPr>
          <w:pgSz w:w="11900" w:h="16838" w:orient="portrait"/>
          <w:cols w:equalWidth="0" w:num="2">
            <w:col w:w="5320" w:space="720"/>
            <w:col w:w="5140"/>
          </w:cols>
          <w:pgMar w:left="240" w:top="456"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80"/>
          </w:cols>
          <w:pgMar w:left="240" w:top="456" w:right="47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80" w:firstLine="437"/>
        <w:spacing w:after="0" w:line="270" w:lineRule="auto"/>
        <w:rPr>
          <w:sz w:val="20"/>
          <w:szCs w:val="20"/>
          <w:color w:val="auto"/>
        </w:rPr>
      </w:pPr>
      <w:r>
        <w:rPr>
          <w:rFonts w:ascii="Arial" w:cs="Arial" w:eastAsia="Arial" w:hAnsi="Arial"/>
          <w:sz w:val="17"/>
          <w:szCs w:val="17"/>
          <w:color w:val="auto"/>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179" w:lineRule="exact"/>
        <w:rPr>
          <w:sz w:val="20"/>
          <w:szCs w:val="20"/>
          <w:color w:val="auto"/>
        </w:rPr>
      </w:pPr>
    </w:p>
    <w:p>
      <w:pPr>
        <w:ind w:left="260" w:firstLine="437"/>
        <w:spacing w:after="0" w:line="297" w:lineRule="auto"/>
        <w:rPr>
          <w:sz w:val="20"/>
          <w:szCs w:val="20"/>
          <w:color w:val="auto"/>
        </w:rPr>
      </w:pPr>
      <w:r>
        <w:rPr>
          <w:rFonts w:ascii="Arial" w:cs="Arial" w:eastAsia="Arial" w:hAnsi="Arial"/>
          <w:sz w:val="16"/>
          <w:szCs w:val="16"/>
          <w:color w:val="auto"/>
        </w:rPr>
        <w:t>Goodwill is not amortized but rather tested for impairment at least annually in the fourth quarter,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2017 or 2018 or six months ended June 30, 2018 or 2019 (unaudited).</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1" w:lineRule="exact"/>
        <w:rPr>
          <w:sz w:val="20"/>
          <w:szCs w:val="20"/>
          <w:color w:val="auto"/>
        </w:rPr>
      </w:pPr>
    </w:p>
    <w:p>
      <w:pPr>
        <w:ind w:left="260" w:right="20" w:firstLine="437"/>
        <w:spacing w:after="0" w:line="255" w:lineRule="auto"/>
        <w:rPr>
          <w:sz w:val="20"/>
          <w:szCs w:val="20"/>
          <w:color w:val="auto"/>
        </w:rPr>
      </w:pPr>
      <w:r>
        <w:rPr>
          <w:rFonts w:ascii="Arial" w:cs="Arial" w:eastAsia="Arial" w:hAnsi="Arial"/>
          <w:sz w:val="18"/>
          <w:szCs w:val="18"/>
          <w:color w:val="auto"/>
        </w:rPr>
        <w:t xml:space="preserve">The Company leases real estate facilities under operating leases. For leases that contain rent escalation or rent concession provisions, the Company records the total rent expense during the lease term on a straight-line basis over the term of the lease. Prior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the Company records the difference between the rent paid and the straight-line rent expense as a deferred rent liability within accrued expenses and other current liabilities and other liabilities.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1" w:lineRule="exact"/>
        <w:rPr>
          <w:sz w:val="20"/>
          <w:szCs w:val="20"/>
          <w:color w:val="auto"/>
        </w:rPr>
      </w:pPr>
    </w:p>
    <w:p>
      <w:pPr>
        <w:ind w:left="260" w:right="180" w:firstLine="437"/>
        <w:spacing w:after="0" w:line="259" w:lineRule="auto"/>
        <w:rPr>
          <w:sz w:val="20"/>
          <w:szCs w:val="20"/>
          <w:color w:val="auto"/>
        </w:rPr>
      </w:pPr>
      <w:r>
        <w:rPr>
          <w:rFonts w:ascii="Arial" w:cs="Arial" w:eastAsia="Arial" w:hAnsi="Arial"/>
          <w:sz w:val="18"/>
          <w:szCs w:val="18"/>
          <w:color w:val="auto"/>
        </w:rPr>
        <w:t>The Company records contract liabilities to deferred revenue when the Company receives customer payments in advance of the performance obligations being satisfied on the Company’s contracts. Certain of the Company’s customers pay in advance of satisfaction of performance obligations and other customers with monthly contract terms are billed in arrears on a monthly basis.</w:t>
      </w:r>
    </w:p>
    <w:p>
      <w:pPr>
        <w:spacing w:after="0" w:line="186" w:lineRule="exact"/>
        <w:rPr>
          <w:sz w:val="20"/>
          <w:szCs w:val="20"/>
          <w:color w:val="auto"/>
        </w:rPr>
      </w:pPr>
    </w:p>
    <w:p>
      <w:pPr>
        <w:ind w:left="260" w:right="100" w:firstLine="437"/>
        <w:spacing w:after="0" w:line="255" w:lineRule="auto"/>
        <w:rPr>
          <w:sz w:val="20"/>
          <w:szCs w:val="20"/>
          <w:color w:val="auto"/>
        </w:rPr>
      </w:pPr>
      <w:r>
        <w:rPr>
          <w:rFonts w:ascii="Arial" w:cs="Arial" w:eastAsia="Arial" w:hAnsi="Arial"/>
          <w:sz w:val="18"/>
          <w:szCs w:val="18"/>
          <w:color w:val="auto"/>
        </w:rPr>
        <w:t>The deferred revenue balance as of January 1, 2017 was $9.2 million. The Company recognized $9.2 million and $37.1 million of revenue during the fiscal years ended December 31, 2017 and 2018, respectively from beginning deferred revenue balances as of January 1, 2017 and 2018, respectively. The increase in contract liabilities from December 31, 2017 to December 31, 2018 primarily resulted from growth of contracts with new and existing customers.</w:t>
      </w:r>
    </w:p>
    <w:p>
      <w:pPr>
        <w:spacing w:after="0" w:line="191" w:lineRule="exact"/>
        <w:rPr>
          <w:sz w:val="20"/>
          <w:szCs w:val="20"/>
          <w:color w:val="auto"/>
        </w:rPr>
      </w:pPr>
    </w:p>
    <w:p>
      <w:pPr>
        <w:ind w:left="260" w:right="60" w:firstLine="437"/>
        <w:spacing w:after="0" w:line="271" w:lineRule="auto"/>
        <w:rPr>
          <w:sz w:val="20"/>
          <w:szCs w:val="20"/>
          <w:color w:val="auto"/>
        </w:rPr>
      </w:pPr>
      <w:r>
        <w:rPr>
          <w:rFonts w:ascii="Arial" w:cs="Arial" w:eastAsia="Arial" w:hAnsi="Arial"/>
          <w:sz w:val="18"/>
          <w:szCs w:val="18"/>
          <w:color w:val="auto"/>
        </w:rPr>
        <w:t>The Company recognized $24.0 million (unaudited) and $51.7 million (unaudited) for the six months ended June 30, 2018 and 2019, respectively, from beginning deferred revenue balances as of January 1, 2018 and 2019, respectively.</w:t>
      </w:r>
    </w:p>
    <w:p>
      <w:pPr>
        <w:spacing w:after="0" w:line="175" w:lineRule="exact"/>
        <w:rPr>
          <w:sz w:val="20"/>
          <w:szCs w:val="20"/>
          <w:color w:val="auto"/>
        </w:rPr>
      </w:pPr>
    </w:p>
    <w:p>
      <w:pPr>
        <w:ind w:left="260" w:right="160" w:firstLine="437"/>
        <w:spacing w:after="0" w:line="270" w:lineRule="auto"/>
        <w:rPr>
          <w:sz w:val="20"/>
          <w:szCs w:val="20"/>
          <w:color w:val="auto"/>
        </w:rPr>
      </w:pPr>
      <w:r>
        <w:rPr>
          <w:rFonts w:ascii="Arial" w:cs="Arial" w:eastAsia="Arial" w:hAnsi="Arial"/>
          <w:sz w:val="17"/>
          <w:szCs w:val="17"/>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December 31, 2018 and June 30, 2019, the aggregate transaction price allocated to remaining performance obligations was $127.1 million and $186.8 million (unaudited), respectively. There is uncertainty in the timing of revenues associated with the Company’s drawdown contracts, as future revenue can often vary significantly from past revenue.</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80"/>
          </w:cols>
          <w:pgMar w:left="240" w:top="456"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However, the Company expects to recognize substantially all of the remaining performance obligations over the next 24 months.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(Loss) Per Share Attributable to Common Shareholders</w:t>
      </w:r>
    </w:p>
    <w:p>
      <w:pPr>
        <w:spacing w:after="0" w:line="221" w:lineRule="exact"/>
        <w:rPr>
          <w:sz w:val="20"/>
          <w:szCs w:val="20"/>
          <w:color w:val="auto"/>
        </w:rPr>
      </w:pPr>
    </w:p>
    <w:p>
      <w:pPr>
        <w:ind w:left="260" w:right="120" w:firstLine="437"/>
        <w:spacing w:after="0" w:line="270" w:lineRule="auto"/>
        <w:rPr>
          <w:sz w:val="20"/>
          <w:szCs w:val="20"/>
          <w:color w:val="auto"/>
        </w:rPr>
      </w:pPr>
      <w:r>
        <w:rPr>
          <w:rFonts w:ascii="Arial" w:cs="Arial" w:eastAsia="Arial" w:hAnsi="Arial"/>
          <w:sz w:val="17"/>
          <w:szCs w:val="17"/>
          <w:color w:val="auto"/>
        </w:rPr>
        <w:t>Basic net income (loss) per share is computed by dividing net income (loss) by the weighted-average number of shares of common stock outstanding during the period. Diluted net income (loss) per share is computed by dividing net income (loss) by the weighted-average number of shares of common stock outstanding during the period giving effect to all potentially dilutive securities to the extent they are dilutive. The dilutive effect of potentially dilutive securities is reflected in diluted net income (loss) per share by application of the two-class method. During the periods when we are in a net loss position, the net loss attributable to common stockholders was not allocated to the convertible preferred stock and unvested common stock under the two-class method as these securities do not have a contractual obligation to share in our losses.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1" w:lineRule="exact"/>
        <w:rPr>
          <w:sz w:val="20"/>
          <w:szCs w:val="20"/>
          <w:color w:val="auto"/>
        </w:rPr>
      </w:pPr>
    </w:p>
    <w:p>
      <w:pPr>
        <w:ind w:left="260" w:firstLine="437"/>
        <w:spacing w:after="0" w:line="282" w:lineRule="auto"/>
        <w:rPr>
          <w:sz w:val="20"/>
          <w:szCs w:val="20"/>
          <w:color w:val="auto"/>
        </w:rPr>
      </w:pPr>
      <w:r>
        <w:rPr>
          <w:rFonts w:ascii="Arial" w:cs="Arial" w:eastAsia="Arial" w:hAnsi="Arial"/>
          <w:sz w:val="16"/>
          <w:szCs w:val="16"/>
          <w:color w:val="auto"/>
        </w:rPr>
        <w:t xml:space="preserve">In November 2015, the Financial Accounting Standards Board (“FASB”) issued ASU No. 2015-17, </w:t>
      </w:r>
      <w:r>
        <w:rPr>
          <w:rFonts w:ascii="Arial" w:cs="Arial" w:eastAsia="Arial" w:hAnsi="Arial"/>
          <w:sz w:val="16"/>
          <w:szCs w:val="16"/>
          <w:i w:val="1"/>
          <w:iCs w:val="1"/>
          <w:color w:val="auto"/>
        </w:rPr>
        <w:t>Income Taxes (Topic 740), Balance Sheet</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 of Deferred Tax</w:t>
      </w:r>
      <w:r>
        <w:rPr>
          <w:rFonts w:ascii="Arial" w:cs="Arial" w:eastAsia="Arial" w:hAnsi="Arial"/>
          <w:sz w:val="16"/>
          <w:szCs w:val="16"/>
          <w:color w:val="auto"/>
        </w:rPr>
        <w:t>. ASU No. 2015-17 was issued by the FASB as part of its initiative to reduce complexity in accounting standards (the</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Initiative). Current GAAP requires an entity to separate deferred income tax liabilities and assets into current and noncurrent amounts in a classified statement of financial position. To simplify the presentation of deferred income taxes, the amendments in ASU 2015-17 require that deferred tax liabilities and assets be classified as noncurrent in a classified statement of financial position. The current requirement that deferred tax liabilities and assets of a tax-paying component of an entity be offset and presented as a single amount is not affected by the amendments of ASU 2015-17.</w:t>
      </w:r>
    </w:p>
    <w:p>
      <w:pPr>
        <w:ind w:left="260" w:right="100"/>
        <w:spacing w:after="0" w:line="250" w:lineRule="auto"/>
        <w:rPr>
          <w:sz w:val="20"/>
          <w:szCs w:val="20"/>
          <w:color w:val="auto"/>
        </w:rPr>
      </w:pPr>
      <w:r>
        <w:rPr>
          <w:rFonts w:ascii="Arial" w:cs="Arial" w:eastAsia="Arial" w:hAnsi="Arial"/>
          <w:sz w:val="18"/>
          <w:szCs w:val="18"/>
          <w:color w:val="auto"/>
        </w:rPr>
        <w:t>ASU 2015-17 is effective for financial statements issued for annual periods beginning after December 15, 2017 and interim periods within those annual periods. Early adoption is permitted for financial statements that have not been previously issued. The ASU was adopted January 1, 2019 and applied retrospectively to all deferred tax assets and liabilities for all periods presented. The Company adoption of this ASU had no material impact on the Company’s consolidated financial statements.</w:t>
      </w:r>
    </w:p>
    <w:p>
      <w:pPr>
        <w:spacing w:after="0" w:line="195" w:lineRule="exact"/>
        <w:rPr>
          <w:sz w:val="20"/>
          <w:szCs w:val="20"/>
          <w:color w:val="auto"/>
        </w:rPr>
      </w:pPr>
    </w:p>
    <w:p>
      <w:pPr>
        <w:ind w:left="260" w:right="160" w:firstLine="437"/>
        <w:spacing w:after="0" w:line="29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Stock Compensation (Topic 718):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simplifies several aspects of the accounting for share-based payment transactions, including the income tax consequences,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awards as either equity or liabilities, and classification on the statement of cash flows. The Company has adopted this ASU effective January 1, 2018, and elected to account for forfeitures as they occur upon adoption, rather than estimated expected forfeitures over the course of a vesting period. The Company recognized a cumulative effect of $0.8 million to accumulated deficit as of January 1, 2018 upon adoption.</w:t>
      </w:r>
    </w:p>
    <w:p>
      <w:pPr>
        <w:spacing w:after="0" w:line="161" w:lineRule="exact"/>
        <w:rPr>
          <w:sz w:val="20"/>
          <w:szCs w:val="20"/>
          <w:color w:val="auto"/>
        </w:rPr>
      </w:pPr>
    </w:p>
    <w:p>
      <w:pPr>
        <w:ind w:left="260" w:right="40" w:firstLine="437"/>
        <w:spacing w:after="0" w:line="307"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ASU provides guidance on how certain cash receipts and outflows should be classified on entities’ statement of cash flows. The Company adopted the ASU on January 1, 2019 on a retrospective basis to all periods presented. Adoption of this ASU and did not have a material impact on the Company’s consolidated statements of cash flows for the periods presented.</w:t>
      </w:r>
    </w:p>
    <w:p>
      <w:pPr>
        <w:spacing w:after="0" w:line="150" w:lineRule="exact"/>
        <w:rPr>
          <w:sz w:val="20"/>
          <w:szCs w:val="20"/>
          <w:color w:val="auto"/>
        </w:rPr>
      </w:pPr>
    </w:p>
    <w:p>
      <w:pPr>
        <w:ind w:left="260" w:right="120" w:firstLine="437"/>
        <w:spacing w:after="0" w:line="252"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The standard requires that the statements of cash flows explain the change during the period in the total of cash, cash equivalents, and amounts generally described as restricted cash or restricted cash equivalents. The Company adopted the ASU on January 1, 2019 on a retrospective basis for all periods presented. Prior to the adoption of the ASU, changes within restricted cash were presented within investing activities as changes related to payments and refunds of security deposits in connection with leases for the Company’s facilities. As a result of adopting the ASU, the Company includes restricted cash with cash and cash equivalents when reconciling the beginning-of-period and</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240" w:top="456"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60"/>
        <w:spacing w:after="0" w:line="271" w:lineRule="auto"/>
        <w:rPr>
          <w:sz w:val="20"/>
          <w:szCs w:val="20"/>
          <w:color w:val="auto"/>
        </w:rPr>
      </w:pPr>
      <w:r>
        <w:rPr>
          <w:rFonts w:ascii="Arial" w:cs="Arial" w:eastAsia="Arial" w:hAnsi="Arial"/>
          <w:sz w:val="18"/>
          <w:szCs w:val="18"/>
          <w:color w:val="auto"/>
        </w:rPr>
        <w:t>end-of-period total amounts presented on the statement of consolidated cash flows. Accordingly, the statement of cash flows has been revised to include restricted cash as a consolidated component of cash, cash equivalents, and restricted cash.</w:t>
      </w:r>
    </w:p>
    <w:p>
      <w:pPr>
        <w:spacing w:after="0" w:line="175" w:lineRule="exact"/>
        <w:rPr>
          <w:sz w:val="20"/>
          <w:szCs w:val="20"/>
          <w:color w:val="auto"/>
        </w:rPr>
      </w:pPr>
    </w:p>
    <w:p>
      <w:pPr>
        <w:ind w:left="260" w:right="100" w:firstLine="437"/>
        <w:spacing w:after="0" w:line="254"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This ASU provides guidance to evaluate whether transactions should be accounted for as acquisitions (or disposals) of assets or businesses. If substantially all of the fair value of the gross assets acquired (or disposed of) is concentrated in a single asset or a group of similar assets, the assets acquired (or disposed of) are not considered a business. The Company adopted ASU 2017-01 as of January 1, 2017 on a prospective basis and there was no material impact on the Company’s consolidated financial statements.</w:t>
      </w:r>
    </w:p>
    <w:p>
      <w:pPr>
        <w:spacing w:after="0" w:line="189" w:lineRule="exact"/>
        <w:rPr>
          <w:sz w:val="20"/>
          <w:szCs w:val="20"/>
          <w:color w:val="auto"/>
        </w:rPr>
      </w:pPr>
    </w:p>
    <w:p>
      <w:pPr>
        <w:jc w:val="both"/>
        <w:ind w:left="260" w:right="200" w:firstLine="437"/>
        <w:spacing w:after="0" w:line="275"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The update simplifies the measurement of goodwill by eliminating step 2 from the goodwill impairment test. Entities should recognize an impairment charge for the amount by which the carrying amount exceeds the reporting unit’s fair value. The Company early adopted this ASU on January 1, 2017 and its adoption had no impact on the Company’s consolidated financial statements.</w:t>
      </w:r>
    </w:p>
    <w:p>
      <w:pPr>
        <w:spacing w:after="0" w:line="175" w:lineRule="exact"/>
        <w:rPr>
          <w:sz w:val="20"/>
          <w:szCs w:val="20"/>
          <w:color w:val="auto"/>
        </w:rPr>
      </w:pPr>
    </w:p>
    <w:p>
      <w:pPr>
        <w:ind w:left="260" w:firstLine="437"/>
        <w:spacing w:after="0" w:line="290"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This amends the scope of modification accounting for share-based payment arrangements. The ASU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The Company adopted this ASU on January 1, 2019 on a retrospective basis to all periods presented. Application of this ASU did not have a material impact on the Company’s consolidated financial statements for the year ended December 31, 2018.</w:t>
      </w:r>
    </w:p>
    <w:p>
      <w:pPr>
        <w:spacing w:after="0" w:line="165" w:lineRule="exact"/>
        <w:rPr>
          <w:sz w:val="20"/>
          <w:szCs w:val="20"/>
          <w:color w:val="auto"/>
        </w:rPr>
      </w:pPr>
    </w:p>
    <w:p>
      <w:pPr>
        <w:ind w:left="260" w:right="60" w:firstLine="437"/>
        <w:spacing w:after="0" w:line="26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(ASC 842)</w:t>
      </w:r>
      <w:r>
        <w:rPr>
          <w:rFonts w:ascii="Arial" w:cs="Arial" w:eastAsia="Arial" w:hAnsi="Arial"/>
          <w:sz w:val="17"/>
          <w:szCs w:val="17"/>
          <w:color w:val="auto"/>
        </w:rPr>
        <w:t>, which requires, among other items, lessees to recognize most leases as assets and liabilities on the balance sheet. Qualitative and quantitative disclosures are also enhanced to better understand the amount, timing and uncertainty of cash flows arising from leases. The Company adopted this ASU on January 1, 2019 and has elected the transition option prescribed by ASU 2018-11, and accordingly will not restate prior periods under ASC 842. The Company elected the package of practical expedients permitted under the transition guidance within the new standard, which among other things, allowed the Company to carry forward the historical lease classification and determination of the lease term. Upon adoption, the Company recognized a right of use asset of $47.9 million and a lease liability of $51.4 million with no impact to accumulated deficit or consolidated statement of cash flows. The Company’s consolidated financial statements for the six months ended June 30, 2019 reflect the adoption of ASC 842.</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1" w:lineRule="exact"/>
        <w:rPr>
          <w:sz w:val="20"/>
          <w:szCs w:val="20"/>
          <w:color w:val="auto"/>
        </w:rPr>
      </w:pPr>
    </w:p>
    <w:p>
      <w:pPr>
        <w:ind w:left="260" w:right="60" w:firstLine="437"/>
        <w:spacing w:after="0" w:line="293" w:lineRule="auto"/>
        <w:rPr>
          <w:sz w:val="20"/>
          <w:szCs w:val="20"/>
          <w:color w:val="auto"/>
        </w:rPr>
      </w:pPr>
      <w:r>
        <w:rPr>
          <w:rFonts w:ascii="Arial" w:cs="Arial" w:eastAsia="Arial" w:hAnsi="Arial"/>
          <w:sz w:val="16"/>
          <w:szCs w:val="16"/>
          <w:color w:val="auto"/>
        </w:rPr>
        <w:t>In June 2018, the FASB issued ASU 2018-07, Compensation—</w:t>
      </w:r>
      <w:r>
        <w:rPr>
          <w:rFonts w:ascii="Arial" w:cs="Arial" w:eastAsia="Arial" w:hAnsi="Arial"/>
          <w:sz w:val="16"/>
          <w:szCs w:val="16"/>
          <w:i w:val="1"/>
          <w:iCs w:val="1"/>
          <w:color w:val="auto"/>
        </w:rPr>
        <w:t>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The updated guidance simplifies the accounting for nonemployee share-based payment transactions. The amendments in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specify that Topic 718 applies to all share-based payment transactions in which a grantor acquires goods or services to be used or consumed in a grantor’s own operations by issuing share-based payment awards. The ASU is effective for public business entities for fiscal years beginning after December 15, 2018 and the Company does not expect a material effect on the Company’s consolidated financial statements as a result of this ASU.</w:t>
      </w:r>
    </w:p>
    <w:p>
      <w:pPr>
        <w:spacing w:after="0" w:line="161" w:lineRule="exact"/>
        <w:rPr>
          <w:sz w:val="20"/>
          <w:szCs w:val="20"/>
          <w:color w:val="auto"/>
        </w:rPr>
      </w:pPr>
    </w:p>
    <w:p>
      <w:pPr>
        <w:ind w:left="260" w:right="100" w:firstLine="437"/>
        <w:spacing w:after="0" w:line="27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which align the requirements for capitalizing implementation costs incurred in a hosting arrangement</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60"/>
          </w:cols>
          <w:pgMar w:left="240" w:top="456"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120"/>
        <w:spacing w:after="0" w:line="272" w:lineRule="auto"/>
        <w:rPr>
          <w:sz w:val="20"/>
          <w:szCs w:val="20"/>
          <w:color w:val="auto"/>
        </w:rPr>
      </w:pPr>
      <w:r>
        <w:rPr>
          <w:rFonts w:ascii="Arial" w:cs="Arial" w:eastAsia="Arial" w:hAnsi="Arial"/>
          <w:sz w:val="17"/>
          <w:szCs w:val="17"/>
          <w:color w:val="auto"/>
        </w:rPr>
        <w:t>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are effective for public business entities for fiscal years beginning after December 15, 2019, and interim periods within those fiscal years. Early adoption is permitted. The Company does not expect the adoption of this ASU to have a material effect on the Company’s consolidated financial statements.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1"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jc w:val="center"/>
              <w:ind w:right="40"/>
              <w:spacing w:after="0" w:line="141"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Hosting</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General prepaid expenses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Deferred compensation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Rent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60" w:type="dxa"/>
            <w:vAlign w:val="bottom"/>
            <w:gridSpan w:val="2"/>
          </w:tcPr>
          <w:p>
            <w:pPr>
              <w:spacing w:after="0"/>
              <w:rPr>
                <w:sz w:val="20"/>
                <w:szCs w:val="20"/>
                <w:color w:val="auto"/>
              </w:rPr>
            </w:pPr>
            <w:r>
              <w:rPr>
                <w:rFonts w:ascii="Arial" w:cs="Arial" w:eastAsia="Arial" w:hAnsi="Arial"/>
                <w:sz w:val="18"/>
                <w:szCs w:val="18"/>
                <w:color w:val="auto"/>
              </w:rPr>
              <w:t>Total prepaid expenses and other current assets</w:t>
            </w:r>
          </w:p>
        </w:tc>
        <w:tc>
          <w:tcPr>
            <w:tcW w:w="1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7,737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8,773</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6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5"/>
              <w:spacing w:after="0" w:line="141"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equipment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Furniture &amp; fixtures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property and equipment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(9,066)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21,649</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right="160" w:firstLine="437"/>
        <w:spacing w:after="0" w:line="259"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Basis of Presentation and Summary of Significant Accounting Policies—Internal Use Software</w:t>
      </w:r>
      <w:r>
        <w:rPr>
          <w:rFonts w:ascii="Arial" w:cs="Arial" w:eastAsia="Arial" w:hAnsi="Arial"/>
          <w:sz w:val="18"/>
          <w:szCs w:val="18"/>
          <w:color w:val="auto"/>
        </w:rPr>
        <w:t>, the Company capitalizes costs related to the development of computer software for internal use and is included in capitalized software development costs within property and equipment, net.</w:t>
      </w:r>
    </w:p>
    <w:p>
      <w:pPr>
        <w:spacing w:after="0" w:line="186" w:lineRule="exact"/>
        <w:rPr>
          <w:sz w:val="20"/>
          <w:szCs w:val="20"/>
          <w:color w:val="auto"/>
        </w:rPr>
      </w:pPr>
    </w:p>
    <w:p>
      <w:pPr>
        <w:ind w:left="260" w:right="840" w:firstLine="437"/>
        <w:spacing w:after="0" w:line="271" w:lineRule="auto"/>
        <w:rPr>
          <w:sz w:val="20"/>
          <w:szCs w:val="20"/>
          <w:color w:val="auto"/>
        </w:rPr>
      </w:pPr>
      <w:r>
        <w:rPr>
          <w:rFonts w:ascii="Arial" w:cs="Arial" w:eastAsia="Arial" w:hAnsi="Arial"/>
          <w:sz w:val="18"/>
          <w:szCs w:val="18"/>
          <w:color w:val="auto"/>
        </w:rPr>
        <w:t>Depreciation and amortization expense was approximately $2.2 million, $5.5 million, $2.3 million and $4.4 million for the years ended December 31, 2017 and 2018, and six months ended June 30, 2018 and 2019 (unaudited), respectively.</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240" w:top="456"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5. Acquisition, Intangible Assets and Goodwill</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Focusmatic Acquisition</w:t>
      </w:r>
    </w:p>
    <w:p>
      <w:pPr>
        <w:spacing w:after="0" w:line="221" w:lineRule="exact"/>
        <w:rPr>
          <w:sz w:val="20"/>
          <w:szCs w:val="20"/>
          <w:color w:val="auto"/>
        </w:rPr>
      </w:pPr>
    </w:p>
    <w:p>
      <w:pPr>
        <w:ind w:left="260" w:firstLine="437"/>
        <w:spacing w:after="0" w:line="286" w:lineRule="auto"/>
        <w:rPr>
          <w:sz w:val="20"/>
          <w:szCs w:val="20"/>
          <w:color w:val="auto"/>
        </w:rPr>
      </w:pPr>
      <w:r>
        <w:rPr>
          <w:rFonts w:ascii="Arial" w:cs="Arial" w:eastAsia="Arial" w:hAnsi="Arial"/>
          <w:sz w:val="16"/>
          <w:szCs w:val="16"/>
          <w:color w:val="auto"/>
        </w:rPr>
        <w:t xml:space="preserve">On March 28, 2017, the Company completed an acquisition of Focusmatic SAS (“Focusmatic”). Focusmatic is a log processing and analytics company that aligns with the Company’s goal of improving visibility for its customers IT infrastructure. Goodwill was not deductible for tax purposes. Pursuant to the Agreement and Plan of Merger, the entire ownership of Focusmatic was purchased by the Company in exchange for 2,292,012 shares of the Company’s common stock and $5.4 million of cash consideration. Goodwill resulted primarily from the expected integration of the employee base and product offerings of Focusmatic with the Company. The acquisition was accounted for as a business combination in accordance with ASC 805, </w:t>
      </w: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with the results of Focusmatic’s operations included in the consolidated financial statements from the date of acquisition.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of operations for this acquisition have been included in the Company’s consolidated statements of operations and comprehensive loss since the acquisition date and were not material. Pro forma results of operations for this acquisition have not been presented because it was also not material to the consolidated results of operations. Transaction costs amounted to approximately $0.1 million and were expensed as incurred.</w:t>
      </w:r>
    </w:p>
    <w:p>
      <w:pPr>
        <w:spacing w:after="0" w:line="168" w:lineRule="exact"/>
        <w:rPr>
          <w:sz w:val="20"/>
          <w:szCs w:val="20"/>
          <w:color w:val="auto"/>
        </w:rPr>
      </w:pPr>
    </w:p>
    <w:p>
      <w:pPr>
        <w:ind w:left="260" w:right="340" w:firstLine="437"/>
        <w:spacing w:after="0" w:line="271" w:lineRule="auto"/>
        <w:rPr>
          <w:sz w:val="20"/>
          <w:szCs w:val="20"/>
          <w:color w:val="auto"/>
        </w:rPr>
      </w:pPr>
      <w:r>
        <w:rPr>
          <w:rFonts w:ascii="Arial" w:cs="Arial" w:eastAsia="Arial" w:hAnsi="Arial"/>
          <w:sz w:val="18"/>
          <w:szCs w:val="18"/>
          <w:color w:val="auto"/>
        </w:rPr>
        <w:t>The aggregate purchase consideration and estimated fair values of the assets acquired and liabilities assumed at the date of acquisition were as follows (in thousands):</w:t>
      </w:r>
    </w:p>
    <w:p>
      <w:pPr>
        <w:spacing w:after="0" w:line="19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0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100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Fair value of purchase consideration:</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10040" w:type="dxa"/>
            <w:vAlign w:val="bottom"/>
          </w:tcPr>
          <w:p>
            <w:pPr>
              <w:ind w:left="360"/>
              <w:spacing w:after="0"/>
              <w:rPr>
                <w:sz w:val="20"/>
                <w:szCs w:val="20"/>
                <w:color w:val="auto"/>
              </w:rPr>
            </w:pPr>
            <w:r>
              <w:rPr>
                <w:rFonts w:ascii="Arial" w:cs="Arial" w:eastAsia="Arial" w:hAnsi="Arial"/>
                <w:sz w:val="18"/>
                <w:szCs w:val="18"/>
                <w:color w:val="auto"/>
              </w:rPr>
              <w:t>Cash consideration</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5,397</w:t>
            </w:r>
          </w:p>
        </w:tc>
        <w:tc>
          <w:tcPr>
            <w:tcW w:w="60" w:type="dxa"/>
            <w:vAlign w:val="bottom"/>
          </w:tcPr>
          <w:p>
            <w:pPr>
              <w:spacing w:after="0"/>
              <w:rPr>
                <w:sz w:val="18"/>
                <w:szCs w:val="18"/>
                <w:color w:val="auto"/>
              </w:rPr>
            </w:pPr>
          </w:p>
        </w:tc>
      </w:tr>
      <w:tr>
        <w:trPr>
          <w:trHeight w:val="214"/>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w:t>
            </w:r>
          </w:p>
        </w:tc>
        <w:tc>
          <w:tcPr>
            <w:tcW w:w="60" w:type="dxa"/>
            <w:vAlign w:val="bottom"/>
            <w:shd w:val="clear" w:color="auto" w:fill="CCEEFF"/>
          </w:tcPr>
          <w:p>
            <w:pPr>
              <w:spacing w:after="0"/>
              <w:rPr>
                <w:sz w:val="18"/>
                <w:szCs w:val="18"/>
                <w:color w:val="auto"/>
              </w:rPr>
            </w:pPr>
          </w:p>
        </w:tc>
      </w:tr>
      <w:tr>
        <w:trPr>
          <w:trHeight w:val="221"/>
        </w:trPr>
        <w:tc>
          <w:tcPr>
            <w:tcW w:w="100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7,412</w:t>
            </w:r>
          </w:p>
        </w:tc>
        <w:tc>
          <w:tcPr>
            <w:tcW w:w="60" w:type="dxa"/>
            <w:vAlign w:val="bottom"/>
          </w:tcPr>
          <w:p>
            <w:pPr>
              <w:spacing w:after="0"/>
              <w:rPr>
                <w:sz w:val="19"/>
                <w:szCs w:val="19"/>
                <w:color w:val="auto"/>
              </w:rPr>
            </w:pPr>
          </w:p>
        </w:tc>
      </w:tr>
      <w:tr>
        <w:trPr>
          <w:trHeight w:val="20"/>
        </w:trPr>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2"/>
        </w:trPr>
        <w:tc>
          <w:tcPr>
            <w:tcW w:w="10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100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Fair value of net assets acquired:</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10040" w:type="dxa"/>
            <w:vAlign w:val="bottom"/>
          </w:tcPr>
          <w:p>
            <w:pPr>
              <w:ind w:left="360"/>
              <w:spacing w:after="0"/>
              <w:rPr>
                <w:sz w:val="20"/>
                <w:szCs w:val="20"/>
                <w:color w:val="auto"/>
              </w:rPr>
            </w:pPr>
            <w:r>
              <w:rPr>
                <w:rFonts w:ascii="Arial" w:cs="Arial" w:eastAsia="Arial" w:hAnsi="Arial"/>
                <w:sz w:val="18"/>
                <w:szCs w:val="18"/>
                <w:color w:val="auto"/>
              </w:rPr>
              <w:t>Net tangible assets (liabilities)</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14"/>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1004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10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10040" w:type="dxa"/>
            <w:vAlign w:val="bottom"/>
          </w:tcPr>
          <w:p>
            <w:pPr>
              <w:spacing w:after="0"/>
              <w:rPr>
                <w:sz w:val="20"/>
                <w:szCs w:val="20"/>
                <w:color w:val="auto"/>
              </w:rPr>
            </w:pPr>
            <w:r>
              <w:rPr>
                <w:rFonts w:ascii="Arial" w:cs="Arial" w:eastAsia="Arial" w:hAnsi="Arial"/>
                <w:sz w:val="18"/>
                <w:szCs w:val="18"/>
                <w:color w:val="auto"/>
              </w:rPr>
              <w:t>Total fair value of net assets acquired</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Madumbo Acquisition</w:t>
      </w:r>
    </w:p>
    <w:p>
      <w:pPr>
        <w:spacing w:after="0" w:line="221" w:lineRule="exact"/>
        <w:rPr>
          <w:sz w:val="20"/>
          <w:szCs w:val="20"/>
          <w:color w:val="auto"/>
        </w:rPr>
      </w:pPr>
    </w:p>
    <w:p>
      <w:pPr>
        <w:ind w:left="260" w:right="100" w:firstLine="437"/>
        <w:spacing w:after="0" w:line="268" w:lineRule="auto"/>
        <w:rPr>
          <w:sz w:val="20"/>
          <w:szCs w:val="20"/>
          <w:color w:val="auto"/>
        </w:rPr>
      </w:pPr>
      <w:r>
        <w:rPr>
          <w:rFonts w:ascii="Arial" w:cs="Arial" w:eastAsia="Arial" w:hAnsi="Arial"/>
          <w:sz w:val="17"/>
          <w:szCs w:val="17"/>
          <w:color w:val="auto"/>
        </w:rPr>
        <w:t xml:space="preserve">On September 28, 2018, the Company entered into a Stock Purchase Agreement with Madumbo whereby the Company acquired all of the issued and outstanding shares of Madumbo for $1.6 million in cash consideration. Madumbo created an artificial intelligence platform that the Company plans to use to strengthen the Company’s current product offering. Goodwill was not deductible for tax purposes. Goodwill resulted primarily from the expected integration of Madumbo’s platform with the Company’s existing product offerings. The acquisition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results of Madumbo’s operations have been included in the Company’s consolidated statements of operations and comprehensive loss since the acquisition date and were not material. Pro forma results of operations for this acquisition have not been presented because it was also not material to the consolidated results of operations. Transaction costs amounted to approximately $0.1 million and were expensed as incurred.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80"/>
          </w:cols>
          <w:pgMar w:left="240" w:top="456"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340" w:firstLine="437"/>
        <w:spacing w:after="0" w:line="271" w:lineRule="auto"/>
        <w:rPr>
          <w:sz w:val="20"/>
          <w:szCs w:val="20"/>
          <w:color w:val="auto"/>
        </w:rPr>
      </w:pPr>
      <w:r>
        <w:rPr>
          <w:rFonts w:ascii="Arial" w:cs="Arial" w:eastAsia="Arial" w:hAnsi="Arial"/>
          <w:sz w:val="18"/>
          <w:szCs w:val="18"/>
          <w:color w:val="auto"/>
        </w:rPr>
        <w:t>The aggregate purchase consideration and estimated fair values of the assets acquired and liabilities assumed at the date of acquisition were as follows (in thousands):</w:t>
      </w:r>
    </w:p>
    <w:p>
      <w:pPr>
        <w:spacing w:after="0" w:line="19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Fair Value</w:t>
            </w:r>
          </w:p>
        </w:tc>
      </w:tr>
      <w:tr>
        <w:trPr>
          <w:trHeight w:val="194"/>
        </w:trPr>
        <w:tc>
          <w:tcPr>
            <w:tcW w:w="20" w:type="dxa"/>
            <w:vAlign w:val="bottom"/>
          </w:tcPr>
          <w:p>
            <w:pPr>
              <w:spacing w:after="0"/>
              <w:rPr>
                <w:sz w:val="16"/>
                <w:szCs w:val="16"/>
                <w:color w:val="auto"/>
              </w:rPr>
            </w:pPr>
          </w:p>
        </w:tc>
        <w:tc>
          <w:tcPr>
            <w:tcW w:w="63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Fair value of net assets acquired:</w:t>
            </w:r>
          </w:p>
        </w:tc>
        <w:tc>
          <w:tcPr>
            <w:tcW w:w="3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Net tangible assets (liabilities)</w:t>
            </w:r>
          </w:p>
        </w:tc>
        <w:tc>
          <w:tcPr>
            <w:tcW w:w="39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r>
      <w:tr>
        <w:trPr>
          <w:trHeight w:val="214"/>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technology</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net assets acquired</w:t>
            </w:r>
          </w:p>
        </w:tc>
        <w:tc>
          <w:tcPr>
            <w:tcW w:w="39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Intangibles, net consisted of the following (in thousands):</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8"/>
              </w:rPr>
              <w:t>December 31, 2017</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37"/>
              <w:spacing w:after="0" w:line="118" w:lineRule="exact"/>
              <w:rPr>
                <w:sz w:val="20"/>
                <w:szCs w:val="20"/>
                <w:color w:val="auto"/>
              </w:rPr>
            </w:pPr>
            <w:r>
              <w:rPr>
                <w:rFonts w:ascii="Arial" w:cs="Arial" w:eastAsia="Arial" w:hAnsi="Arial"/>
                <w:sz w:val="13"/>
                <w:szCs w:val="13"/>
                <w:b w:val="1"/>
                <w:bCs w:val="1"/>
                <w:color w:val="auto"/>
                <w:w w:val="90"/>
              </w:rPr>
              <w:t>Gross</w:t>
            </w:r>
          </w:p>
        </w:tc>
        <w:tc>
          <w:tcPr>
            <w:tcW w:w="14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97"/>
              <w:spacing w:after="0" w:line="118" w:lineRule="exact"/>
              <w:rPr>
                <w:sz w:val="20"/>
                <w:szCs w:val="20"/>
                <w:color w:val="auto"/>
              </w:rPr>
            </w:pPr>
            <w:r>
              <w:rPr>
                <w:rFonts w:ascii="Arial" w:cs="Arial" w:eastAsia="Arial" w:hAnsi="Arial"/>
                <w:sz w:val="13"/>
                <w:szCs w:val="13"/>
                <w:b w:val="1"/>
                <w:bCs w:val="1"/>
                <w:color w:val="auto"/>
              </w:rPr>
              <w:t>Net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37"/>
              <w:spacing w:after="0" w:line="118" w:lineRule="exact"/>
              <w:rPr>
                <w:sz w:val="20"/>
                <w:szCs w:val="20"/>
                <w:color w:val="auto"/>
              </w:rPr>
            </w:pPr>
            <w:r>
              <w:rPr>
                <w:rFonts w:ascii="Arial" w:cs="Arial" w:eastAsia="Arial" w:hAnsi="Arial"/>
                <w:sz w:val="13"/>
                <w:szCs w:val="13"/>
                <w:b w:val="1"/>
                <w:bCs w:val="1"/>
                <w:color w:val="auto"/>
                <w:w w:val="95"/>
              </w:rPr>
              <w:t>Gross</w:t>
            </w:r>
          </w:p>
        </w:tc>
        <w:tc>
          <w:tcPr>
            <w:tcW w:w="14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right="57"/>
              <w:spacing w:after="0" w:line="118" w:lineRule="exact"/>
              <w:rPr>
                <w:sz w:val="20"/>
                <w:szCs w:val="20"/>
                <w:color w:val="auto"/>
              </w:rPr>
            </w:pPr>
            <w:r>
              <w:rPr>
                <w:rFonts w:ascii="Arial" w:cs="Arial" w:eastAsia="Arial" w:hAnsi="Arial"/>
                <w:sz w:val="13"/>
                <w:szCs w:val="13"/>
                <w:b w:val="1"/>
                <w:bCs w:val="1"/>
                <w:color w:val="auto"/>
              </w:rPr>
              <w:t>Net</w:t>
            </w: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00" w:type="dxa"/>
            <w:vAlign w:val="bottom"/>
            <w:gridSpan w:val="3"/>
          </w:tcPr>
          <w:p>
            <w:pPr>
              <w:ind w:left="1120"/>
              <w:spacing w:after="0" w:line="147" w:lineRule="exact"/>
              <w:rPr>
                <w:sz w:val="20"/>
                <w:szCs w:val="20"/>
                <w:color w:val="auto"/>
              </w:rPr>
            </w:pPr>
            <w:r>
              <w:rPr>
                <w:rFonts w:ascii="Arial" w:cs="Arial" w:eastAsia="Arial" w:hAnsi="Arial"/>
                <w:sz w:val="14"/>
                <w:szCs w:val="14"/>
                <w:b w:val="1"/>
                <w:bCs w:val="1"/>
                <w:color w:val="auto"/>
                <w:w w:val="97"/>
              </w:rPr>
              <w:t>Carrying</w:t>
            </w:r>
          </w:p>
        </w:tc>
        <w:tc>
          <w:tcPr>
            <w:tcW w:w="1460" w:type="dxa"/>
            <w:vAlign w:val="bottom"/>
            <w:gridSpan w:val="4"/>
            <w:vMerge w:val="continue"/>
          </w:tcPr>
          <w:p>
            <w:pPr>
              <w:spacing w:after="0"/>
              <w:rPr>
                <w:sz w:val="12"/>
                <w:szCs w:val="12"/>
                <w:color w:val="auto"/>
              </w:rPr>
            </w:pPr>
          </w:p>
        </w:tc>
        <w:tc>
          <w:tcPr>
            <w:tcW w:w="680" w:type="dxa"/>
            <w:vAlign w:val="bottom"/>
            <w:gridSpan w:val="3"/>
          </w:tcPr>
          <w:p>
            <w:pPr>
              <w:ind w:left="100"/>
              <w:spacing w:after="0" w:line="147" w:lineRule="exact"/>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3"/>
          </w:tcPr>
          <w:p>
            <w:pPr>
              <w:jc w:val="center"/>
              <w:ind w:left="260"/>
              <w:spacing w:after="0" w:line="147" w:lineRule="exact"/>
              <w:rPr>
                <w:sz w:val="20"/>
                <w:szCs w:val="20"/>
                <w:color w:val="auto"/>
              </w:rPr>
            </w:pPr>
            <w:r>
              <w:rPr>
                <w:rFonts w:ascii="Arial" w:cs="Arial" w:eastAsia="Arial" w:hAnsi="Arial"/>
                <w:sz w:val="14"/>
                <w:szCs w:val="14"/>
                <w:b w:val="1"/>
                <w:bCs w:val="1"/>
                <w:color w:val="auto"/>
                <w:w w:val="97"/>
              </w:rPr>
              <w:t>Carrying</w:t>
            </w:r>
          </w:p>
        </w:tc>
        <w:tc>
          <w:tcPr>
            <w:tcW w:w="1460" w:type="dxa"/>
            <w:vAlign w:val="bottom"/>
            <w:gridSpan w:val="4"/>
            <w:vMerge w:val="continue"/>
          </w:tcPr>
          <w:p>
            <w:pPr>
              <w:spacing w:after="0"/>
              <w:rPr>
                <w:sz w:val="12"/>
                <w:szCs w:val="12"/>
                <w:color w:val="auto"/>
              </w:rPr>
            </w:pPr>
          </w:p>
        </w:tc>
        <w:tc>
          <w:tcPr>
            <w:tcW w:w="680" w:type="dxa"/>
            <w:vAlign w:val="bottom"/>
            <w:gridSpan w:val="3"/>
          </w:tcPr>
          <w:p>
            <w:pPr>
              <w:jc w:val="center"/>
              <w:ind w:left="40"/>
              <w:spacing w:after="0" w:line="147"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60" w:type="dxa"/>
            <w:vAlign w:val="bottom"/>
            <w:gridSpan w:val="4"/>
          </w:tcPr>
          <w:p>
            <w:pPr>
              <w:ind w:left="3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4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2,125</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1,288</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2,145</w:t>
            </w:r>
          </w:p>
        </w:tc>
        <w:tc>
          <w:tcPr>
            <w:tcW w:w="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1,288</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As of June 30, 2019</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30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0"/>
                <w:szCs w:val="10"/>
                <w:color w:val="auto"/>
              </w:rPr>
            </w:pPr>
          </w:p>
        </w:tc>
        <w:tc>
          <w:tcPr>
            <w:tcW w:w="1140" w:type="dxa"/>
            <w:vAlign w:val="bottom"/>
            <w:gridSpan w:val="3"/>
          </w:tcPr>
          <w:p>
            <w:pPr>
              <w:ind w:left="80"/>
              <w:spacing w:after="0" w:line="118" w:lineRule="exact"/>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0"/>
                <w:szCs w:val="10"/>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Intangible amortization expense was approximately $0.5 million, $0.5 million, $0.2 million and $0.4 million for the years ended December 31,</w:t>
      </w:r>
    </w:p>
    <w:p>
      <w:pPr>
        <w:spacing w:after="0" w:line="43" w:lineRule="exact"/>
        <w:rPr>
          <w:sz w:val="20"/>
          <w:szCs w:val="20"/>
          <w:color w:val="auto"/>
        </w:rPr>
      </w:pPr>
    </w:p>
    <w:p>
      <w:pPr>
        <w:ind w:left="260" w:right="880"/>
        <w:spacing w:after="0" w:line="318" w:lineRule="auto"/>
        <w:rPr>
          <w:sz w:val="20"/>
          <w:szCs w:val="20"/>
          <w:color w:val="auto"/>
        </w:rPr>
      </w:pPr>
      <w:r>
        <w:rPr>
          <w:rFonts w:ascii="Arial" w:cs="Arial" w:eastAsia="Arial" w:hAnsi="Arial"/>
          <w:sz w:val="16"/>
          <w:szCs w:val="16"/>
          <w:color w:val="auto"/>
        </w:rPr>
        <w:t>2017 and 2018 and six months ended June 30, 2018 and 2019 (unaudited), respectively. Amortization of developed technology and customer relationships are included in cost of revenue on the Company’s consolidated statement of operations and comprehensive loss.</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2019, future amortization expense by year is expected to be as follows (in thousands):</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4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2020</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42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Focusmatic acquisition</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Madumbo acquisition</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 and June 30, 2019 (unaudited)</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5260"/>
              <w:spacing w:after="0"/>
              <w:rPr>
                <w:sz w:val="20"/>
                <w:szCs w:val="20"/>
                <w:color w:val="auto"/>
              </w:rPr>
            </w:pPr>
            <w:r>
              <w:rPr>
                <w:rFonts w:ascii="Arial" w:cs="Arial" w:eastAsia="Arial" w:hAnsi="Arial"/>
                <w:sz w:val="18"/>
                <w:szCs w:val="18"/>
                <w:color w:val="auto"/>
              </w:rPr>
              <w:t>F-21</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June 30,</w:t>
            </w:r>
          </w:p>
        </w:tc>
      </w:tr>
      <w:tr>
        <w:trPr>
          <w:trHeight w:val="141"/>
        </w:trPr>
        <w:tc>
          <w:tcPr>
            <w:tcW w:w="8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83"/>
              <w:spacing w:after="0" w:line="141"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1"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1"/>
        </w:trPr>
        <w:tc>
          <w:tcPr>
            <w:tcW w:w="8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4"/>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$10,143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60" w:type="dxa"/>
            <w:vAlign w:val="bottom"/>
            <w:shd w:val="clear" w:color="auto" w:fill="CCEEFF"/>
          </w:tcPr>
          <w:p>
            <w:pPr>
              <w:spacing w:after="0"/>
              <w:rPr>
                <w:sz w:val="18"/>
                <w:szCs w:val="18"/>
                <w:color w:val="auto"/>
              </w:rPr>
            </w:pPr>
          </w:p>
        </w:tc>
      </w:tr>
      <w:tr>
        <w:trPr>
          <w:trHeight w:val="214"/>
        </w:trPr>
        <w:tc>
          <w:tcPr>
            <w:tcW w:w="8220" w:type="dxa"/>
            <w:vAlign w:val="bottom"/>
          </w:tcPr>
          <w:p>
            <w:pPr>
              <w:spacing w:after="0"/>
              <w:rPr>
                <w:sz w:val="20"/>
                <w:szCs w:val="20"/>
                <w:color w:val="auto"/>
              </w:rPr>
            </w:pPr>
            <w:r>
              <w:rPr>
                <w:rFonts w:ascii="Arial" w:cs="Arial" w:eastAsia="Arial" w:hAnsi="Arial"/>
                <w:sz w:val="18"/>
                <w:szCs w:val="18"/>
                <w:color w:val="auto"/>
              </w:rPr>
              <w:t>Early exercise liability-stock options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3,346</w:t>
            </w:r>
          </w:p>
        </w:tc>
        <w:tc>
          <w:tcPr>
            <w:tcW w:w="60" w:type="dxa"/>
            <w:vAlign w:val="bottom"/>
          </w:tcPr>
          <w:p>
            <w:pPr>
              <w:spacing w:after="0"/>
              <w:rPr>
                <w:sz w:val="18"/>
                <w:szCs w:val="18"/>
                <w:color w:val="auto"/>
              </w:rPr>
            </w:pPr>
          </w:p>
        </w:tc>
      </w:tr>
      <w:tr>
        <w:trPr>
          <w:trHeight w:val="214"/>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bonuses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60" w:type="dxa"/>
            <w:vAlign w:val="bottom"/>
            <w:shd w:val="clear" w:color="auto" w:fill="CCEEFF"/>
          </w:tcPr>
          <w:p>
            <w:pPr>
              <w:spacing w:after="0"/>
              <w:rPr>
                <w:sz w:val="18"/>
                <w:szCs w:val="18"/>
                <w:color w:val="auto"/>
              </w:rPr>
            </w:pPr>
          </w:p>
        </w:tc>
      </w:tr>
      <w:tr>
        <w:trPr>
          <w:trHeight w:val="214"/>
        </w:trPr>
        <w:tc>
          <w:tcPr>
            <w:tcW w:w="8220" w:type="dxa"/>
            <w:vAlign w:val="bottom"/>
          </w:tcPr>
          <w:p>
            <w:pPr>
              <w:spacing w:after="0"/>
              <w:rPr>
                <w:sz w:val="20"/>
                <w:szCs w:val="20"/>
                <w:color w:val="auto"/>
              </w:rPr>
            </w:pPr>
            <w:r>
              <w:rPr>
                <w:rFonts w:ascii="Arial" w:cs="Arial" w:eastAsia="Arial" w:hAnsi="Arial"/>
                <w:sz w:val="18"/>
                <w:szCs w:val="18"/>
                <w:color w:val="auto"/>
              </w:rPr>
              <w:t>Income tax liability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8"/>
                <w:szCs w:val="18"/>
                <w:color w:val="auto"/>
              </w:rPr>
            </w:pPr>
          </w:p>
        </w:tc>
      </w:tr>
      <w:tr>
        <w:trPr>
          <w:trHeight w:val="214"/>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Payroll and sales taxes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CCEEFF"/>
          </w:tcPr>
          <w:p>
            <w:pPr>
              <w:spacing w:after="0"/>
              <w:rPr>
                <w:sz w:val="18"/>
                <w:szCs w:val="18"/>
                <w:color w:val="auto"/>
              </w:rPr>
            </w:pPr>
          </w:p>
        </w:tc>
      </w:tr>
      <w:tr>
        <w:trPr>
          <w:trHeight w:val="214"/>
        </w:trPr>
        <w:tc>
          <w:tcPr>
            <w:tcW w:w="8220" w:type="dxa"/>
            <w:vAlign w:val="bottom"/>
          </w:tcPr>
          <w:p>
            <w:pPr>
              <w:spacing w:after="0"/>
              <w:rPr>
                <w:sz w:val="20"/>
                <w:szCs w:val="20"/>
                <w:color w:val="auto"/>
              </w:rPr>
            </w:pPr>
            <w:r>
              <w:rPr>
                <w:rFonts w:ascii="Arial" w:cs="Arial" w:eastAsia="Arial" w:hAnsi="Arial"/>
                <w:sz w:val="18"/>
                <w:szCs w:val="18"/>
                <w:color w:val="auto"/>
              </w:rPr>
              <w:t>Deferred rent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4"/>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60" w:type="dxa"/>
            <w:vAlign w:val="bottom"/>
            <w:shd w:val="clear" w:color="auto" w:fill="CCEEFF"/>
          </w:tcPr>
          <w:p>
            <w:pPr>
              <w:spacing w:after="0"/>
              <w:rPr>
                <w:sz w:val="18"/>
                <w:szCs w:val="18"/>
                <w:color w:val="auto"/>
              </w:rPr>
            </w:pPr>
          </w:p>
        </w:tc>
      </w:tr>
      <w:tr>
        <w:trPr>
          <w:trHeight w:val="221"/>
        </w:trPr>
        <w:tc>
          <w:tcPr>
            <w:tcW w:w="822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16,656</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30,290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21,725</w:t>
            </w:r>
          </w:p>
        </w:tc>
        <w:tc>
          <w:tcPr>
            <w:tcW w:w="6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left="260" w:right="140" w:firstLine="437"/>
        <w:spacing w:after="0" w:line="282" w:lineRule="auto"/>
        <w:rPr>
          <w:sz w:val="20"/>
          <w:szCs w:val="20"/>
          <w:color w:val="auto"/>
        </w:rPr>
      </w:pPr>
      <w:r>
        <w:rPr>
          <w:rFonts w:ascii="Arial" w:cs="Arial" w:eastAsia="Arial" w:hAnsi="Arial"/>
          <w:sz w:val="17"/>
          <w:szCs w:val="17"/>
          <w:b w:val="1"/>
          <w:bCs w:val="1"/>
          <w:i w:val="1"/>
          <w:iCs w:val="1"/>
          <w:color w:val="auto"/>
        </w:rPr>
        <w:t>Lease Commitments</w:t>
      </w:r>
      <w:r>
        <w:rPr>
          <w:rFonts w:ascii="Arial" w:cs="Arial" w:eastAsia="Arial" w:hAnsi="Arial"/>
          <w:sz w:val="17"/>
          <w:szCs w:val="17"/>
          <w:color w:val="auto"/>
        </w:rPr>
        <w:t>—The Company has entered into various noncancelable operating leases for its facilities expiring between fiscal 2019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2025. Certain operating leases contain provisions under which monthly rent escalates over time. When lease agreements contain escalating rent clauses or free rent periods, the Company recognizes rent expense on a straight-line basis over the term of the lease.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Rent expense for the years ended December 31, 2017 and 2018 was $3.8 million and $10.0 million, respectively.</w:t>
      </w:r>
    </w:p>
    <w:p>
      <w:pPr>
        <w:spacing w:after="0" w:line="221" w:lineRule="exact"/>
        <w:rPr>
          <w:sz w:val="20"/>
          <w:szCs w:val="20"/>
          <w:color w:val="auto"/>
        </w:rPr>
      </w:pPr>
    </w:p>
    <w:p>
      <w:pPr>
        <w:ind w:left="260" w:right="160" w:firstLine="437"/>
        <w:spacing w:after="0" w:line="271" w:lineRule="auto"/>
        <w:rPr>
          <w:sz w:val="20"/>
          <w:szCs w:val="20"/>
          <w:color w:val="auto"/>
        </w:rPr>
      </w:pPr>
      <w:r>
        <w:rPr>
          <w:rFonts w:ascii="Arial" w:cs="Arial" w:eastAsia="Arial" w:hAnsi="Arial"/>
          <w:sz w:val="18"/>
          <w:szCs w:val="18"/>
          <w:color w:val="auto"/>
        </w:rPr>
        <w:t>During 2017 and 2018 the Company received $0.1 million and $0.7 million, respectively, in sub-lease income which were recorded as a credit to rent expense.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minimum lease payments under noncancelable operating leases as of December 31, 2018 are as follows (in thousands):</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406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2019</w:t>
            </w:r>
          </w:p>
        </w:tc>
        <w:tc>
          <w:tcPr>
            <w:tcW w:w="45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9,833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5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45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Future sublease income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right="80" w:firstLine="437"/>
        <w:spacing w:after="0" w:line="307" w:lineRule="auto"/>
        <w:rPr>
          <w:sz w:val="20"/>
          <w:szCs w:val="20"/>
          <w:color w:val="auto"/>
        </w:rPr>
      </w:pPr>
      <w:r>
        <w:rPr>
          <w:rFonts w:ascii="Arial" w:cs="Arial" w:eastAsia="Arial" w:hAnsi="Arial"/>
          <w:sz w:val="16"/>
          <w:szCs w:val="16"/>
          <w:color w:val="auto"/>
        </w:rPr>
        <w:t>The above payments include payments related to a lease entered into in July 2018 with a lease term of 5 years and total lease payments over the life of the lease of approximately $19.8 million. The Company has not taken possession of the underlying property as of December 31, 2018 or June 30, 2019 and therefore, the operating lease liability has not been reflected on the consolidated balance sheet subsequent to the adoption of ASC 842.</w:t>
      </w:r>
    </w:p>
    <w:p>
      <w:pPr>
        <w:spacing w:after="0" w:line="150" w:lineRule="exact"/>
        <w:rPr>
          <w:sz w:val="20"/>
          <w:szCs w:val="20"/>
          <w:color w:val="auto"/>
        </w:rPr>
      </w:pPr>
    </w:p>
    <w:p>
      <w:pPr>
        <w:ind w:left="260" w:right="340" w:firstLine="437"/>
        <w:spacing w:after="0" w:line="271" w:lineRule="auto"/>
        <w:rPr>
          <w:sz w:val="20"/>
          <w:szCs w:val="20"/>
          <w:color w:val="auto"/>
        </w:rPr>
      </w:pPr>
      <w:r>
        <w:rPr>
          <w:rFonts w:ascii="Arial" w:cs="Arial" w:eastAsia="Arial" w:hAnsi="Arial"/>
          <w:sz w:val="18"/>
          <w:szCs w:val="18"/>
          <w:b w:val="1"/>
          <w:bCs w:val="1"/>
          <w:i w:val="1"/>
          <w:iCs w:val="1"/>
          <w:color w:val="auto"/>
        </w:rPr>
        <w:t>Non-Income Tax Matters</w:t>
      </w:r>
      <w:r>
        <w:rPr>
          <w:rFonts w:ascii="Arial" w:cs="Arial" w:eastAsia="Arial" w:hAnsi="Arial"/>
          <w:sz w:val="18"/>
          <w:szCs w:val="18"/>
          <w:color w:val="auto"/>
        </w:rPr>
        <w:t>—In January 2015, the Company recorded a $5.0 million contingent Federal payroll tax liability in conjunction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repurchase transactions, as part of a capital raise, with</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80"/>
          </w:cols>
          <w:pgMar w:left="240" w:top="456"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60"/>
        <w:spacing w:after="0" w:line="255" w:lineRule="auto"/>
        <w:rPr>
          <w:sz w:val="20"/>
          <w:szCs w:val="20"/>
          <w:color w:val="auto"/>
        </w:rPr>
      </w:pPr>
      <w:r>
        <w:rPr>
          <w:rFonts w:ascii="Arial" w:cs="Arial" w:eastAsia="Arial" w:hAnsi="Arial"/>
          <w:sz w:val="18"/>
          <w:szCs w:val="18"/>
          <w:color w:val="auto"/>
        </w:rPr>
        <w:t>certain of its employees. The potential payroll tax treatment of these transactions was subject to uncertainty, and the contingent payroll tax liability was deemed probable and reasonably estimable. On April 15, 2019, the period of limitations for assessing the contingent Federal payroll tax liability expired and the Company was legally released from being the primary obligor. As a result, the Company recognized a $5.0 million benefit in the consolidated statement of operations during the six months ended June 30, 2019 (unaudited).</w:t>
      </w:r>
    </w:p>
    <w:p>
      <w:pPr>
        <w:spacing w:after="0" w:line="191" w:lineRule="exact"/>
        <w:rPr>
          <w:sz w:val="20"/>
          <w:szCs w:val="20"/>
          <w:color w:val="auto"/>
        </w:rPr>
      </w:pPr>
    </w:p>
    <w:p>
      <w:pPr>
        <w:jc w:val="both"/>
        <w:ind w:left="260" w:right="60" w:firstLine="437"/>
        <w:spacing w:after="0" w:line="335" w:lineRule="auto"/>
        <w:rPr>
          <w:sz w:val="20"/>
          <w:szCs w:val="20"/>
          <w:color w:val="auto"/>
        </w:rPr>
      </w:pPr>
      <w:r>
        <w:rPr>
          <w:rFonts w:ascii="Arial" w:cs="Arial" w:eastAsia="Arial" w:hAnsi="Arial"/>
          <w:sz w:val="16"/>
          <w:szCs w:val="16"/>
          <w:b w:val="1"/>
          <w:bCs w:val="1"/>
          <w:i w:val="1"/>
          <w:iCs w:val="1"/>
          <w:color w:val="auto"/>
        </w:rPr>
        <w:t>401(k) Plan</w:t>
      </w:r>
      <w:r>
        <w:rPr>
          <w:rFonts w:ascii="Arial" w:cs="Arial" w:eastAsia="Arial" w:hAnsi="Arial"/>
          <w:sz w:val="16"/>
          <w:szCs w:val="16"/>
          <w:color w:val="auto"/>
        </w:rPr>
        <w:t>—The Company sponsors a 401(k) defined contribution plan covering all eligible US employees. Contributions to the 401(k) plan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discretionary. The Company did not make any matching contributions to the 401(k) plan for the years ended December 31, 2017 and 2018.</w:t>
      </w:r>
    </w:p>
    <w:p>
      <w:pPr>
        <w:spacing w:after="0" w:line="129" w:lineRule="exact"/>
        <w:rPr>
          <w:sz w:val="20"/>
          <w:szCs w:val="20"/>
          <w:color w:val="auto"/>
        </w:rPr>
      </w:pPr>
    </w:p>
    <w:p>
      <w:pPr>
        <w:jc w:val="both"/>
        <w:ind w:left="260" w:right="60" w:firstLine="437"/>
        <w:spacing w:after="0" w:line="259"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not feasible to predict or determine the ultimate outcome of these matters, the Company believes that none of its current legal proceedings will have a material adverse effect on its financial position or results of operations.</w:t>
      </w:r>
    </w:p>
    <w:p>
      <w:pPr>
        <w:spacing w:after="0" w:line="186" w:lineRule="exact"/>
        <w:rPr>
          <w:sz w:val="20"/>
          <w:szCs w:val="20"/>
          <w:color w:val="auto"/>
        </w:rPr>
      </w:pPr>
    </w:p>
    <w:p>
      <w:pPr>
        <w:ind w:left="260" w:right="80" w:firstLine="437"/>
        <w:spacing w:after="0" w:line="288" w:lineRule="auto"/>
        <w:rPr>
          <w:sz w:val="20"/>
          <w:szCs w:val="20"/>
          <w:color w:val="auto"/>
        </w:rPr>
      </w:pPr>
      <w:r>
        <w:rPr>
          <w:rFonts w:ascii="Arial" w:cs="Arial" w:eastAsia="Arial" w:hAnsi="Arial"/>
          <w:sz w:val="16"/>
          <w:szCs w:val="16"/>
          <w:b w:val="1"/>
          <w:bCs w:val="1"/>
          <w:i w:val="1"/>
          <w:iCs w:val="1"/>
          <w:color w:val="auto"/>
        </w:rPr>
        <w:t>Indemnification</w:t>
      </w:r>
      <w:r>
        <w:rPr>
          <w:rFonts w:ascii="Arial" w:cs="Arial" w:eastAsia="Arial" w:hAnsi="Arial"/>
          <w:sz w:val="16"/>
          <w:szCs w:val="16"/>
          <w:color w:val="auto"/>
        </w:rPr>
        <w:t>—The Company enters into indemnification provisions under some agreements with other parties in the ordinary course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consolidated statements of operations and comprehensive (loss) income in connection with the indemnification provisions have not been material.</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8. Leases</w:t>
      </w:r>
    </w:p>
    <w:p>
      <w:pPr>
        <w:spacing w:after="0" w:line="225" w:lineRule="exact"/>
        <w:rPr>
          <w:sz w:val="20"/>
          <w:szCs w:val="20"/>
          <w:color w:val="auto"/>
        </w:rPr>
      </w:pPr>
    </w:p>
    <w:p>
      <w:pPr>
        <w:ind w:left="260" w:right="100" w:firstLine="437"/>
        <w:spacing w:after="0" w:line="269" w:lineRule="auto"/>
        <w:rPr>
          <w:sz w:val="20"/>
          <w:szCs w:val="20"/>
          <w:color w:val="auto"/>
        </w:rPr>
      </w:pPr>
      <w:r>
        <w:rPr>
          <w:rFonts w:ascii="Arial" w:cs="Arial" w:eastAsia="Arial" w:hAnsi="Arial"/>
          <w:sz w:val="17"/>
          <w:szCs w:val="17"/>
          <w:color w:val="auto"/>
        </w:rPr>
        <w:t>The Company has entered into various noncancelable operating leases for its facilities expiring between fiscal 2019 and 2025.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 The Company has elected the practical expedient not to record leases with an initial term of 12 months or less on the balance sheet; we recognize lease expense for these leases on a straight-line basis over the lease term. The Company accounts for lease components and non-lease components as a single lease component. Operating lease assets and liabilities are reflected within operating lease assets; operating lease liabilities, current and operating lease liabilities, non-current, on the consolidated balance sheet.</w:t>
      </w:r>
    </w:p>
    <w:p>
      <w:pPr>
        <w:spacing w:after="0" w:line="179" w:lineRule="exact"/>
        <w:rPr>
          <w:sz w:val="20"/>
          <w:szCs w:val="20"/>
          <w:color w:val="auto"/>
        </w:rPr>
      </w:pPr>
    </w:p>
    <w:p>
      <w:pPr>
        <w:ind w:left="260" w:right="360" w:firstLine="437"/>
        <w:spacing w:after="0" w:line="271"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5" w:lineRule="exact"/>
        <w:rPr>
          <w:sz w:val="20"/>
          <w:szCs w:val="20"/>
          <w:color w:val="auto"/>
        </w:rPr>
      </w:pPr>
    </w:p>
    <w:p>
      <w:pPr>
        <w:ind w:left="260" w:right="60" w:firstLine="437"/>
        <w:spacing w:after="0" w:line="271" w:lineRule="auto"/>
        <w:rPr>
          <w:sz w:val="20"/>
          <w:szCs w:val="20"/>
          <w:color w:val="auto"/>
        </w:rPr>
      </w:pPr>
      <w:r>
        <w:rPr>
          <w:rFonts w:ascii="Arial" w:cs="Arial" w:eastAsia="Arial" w:hAnsi="Arial"/>
          <w:sz w:val="18"/>
          <w:szCs w:val="18"/>
          <w:color w:val="auto"/>
        </w:rPr>
        <w:t>The components of lease cost recognized within the Company’s consolidated statements of operations and comprehensive loss were as follows (in thousands):</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54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2019</w:t>
            </w:r>
          </w:p>
        </w:tc>
      </w:tr>
      <w:tr>
        <w:trPr>
          <w:trHeight w:val="141"/>
        </w:trPr>
        <w:tc>
          <w:tcPr>
            <w:tcW w:w="54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80"/>
              <w:spacing w:after="0" w:line="141"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(1)</w:t>
            </w:r>
          </w:p>
        </w:tc>
        <w:tc>
          <w:tcPr>
            <w:tcW w:w="3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60" w:type="dxa"/>
            <w:vAlign w:val="bottom"/>
            <w:shd w:val="clear" w:color="auto" w:fill="CCEEFF"/>
          </w:tcPr>
          <w:p>
            <w:pPr>
              <w:spacing w:after="0"/>
              <w:rPr>
                <w:sz w:val="18"/>
                <w:szCs w:val="18"/>
                <w:color w:val="auto"/>
              </w:rPr>
            </w:pPr>
          </w:p>
        </w:tc>
      </w:tr>
      <w:tr>
        <w:trPr>
          <w:trHeight w:val="214"/>
        </w:trPr>
        <w:tc>
          <w:tcPr>
            <w:tcW w:w="544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5"/>
                <w:szCs w:val="15"/>
                <w:color w:val="auto"/>
              </w:rPr>
              <w:t>(2)</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85090</wp:posOffset>
            </wp:positionV>
            <wp:extent cx="7562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147"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Includes right of use amortization of $4.5 million</w:t>
      </w:r>
    </w:p>
    <w:p>
      <w:pPr>
        <w:ind w:left="260"/>
        <w:spacing w:after="0"/>
        <w:tabs>
          <w:tab w:leader="none" w:pos="66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Primarily related to Consumer Price Index adjustments, common area maintenance and property tax.</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80"/>
          </w:cols>
          <w:pgMar w:left="240" w:top="456"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tcBorders>
              <w:top w:val="single" w:sz="8" w:color="auto"/>
            </w:tcBorders>
            <w:gridSpan w:val="6"/>
          </w:tcPr>
          <w:p>
            <w:pPr>
              <w:jc w:val="center"/>
              <w:ind w:right="20"/>
              <w:spacing w:after="0" w:line="141"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2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w w:val="96"/>
              </w:rPr>
              <w:t>Maturities of lease liabilities by fiscal year for the Company’s operating leases are as follows (in thousands):</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420" w:type="dxa"/>
            <w:vAlign w:val="bottom"/>
            <w:gridSpan w:val="4"/>
            <w:shd w:val="clear" w:color="auto" w:fill="CCEEFF"/>
          </w:tcPr>
          <w:p>
            <w:pPr>
              <w:jc w:val="center"/>
              <w:ind w:left="121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12,583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11,559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2024 and beyond</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420" w:type="dxa"/>
            <w:vAlign w:val="bottom"/>
            <w:gridSpan w:val="4"/>
            <w:shd w:val="clear" w:color="auto" w:fill="CCEEFF"/>
          </w:tcPr>
          <w:p>
            <w:pPr>
              <w:jc w:val="center"/>
              <w:ind w:left="121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Less: imputed interest</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(6,428)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420" w:type="dxa"/>
            <w:vAlign w:val="bottom"/>
            <w:gridSpan w:val="4"/>
            <w:shd w:val="clear" w:color="auto" w:fill="CCEEFF"/>
          </w:tcPr>
          <w:p>
            <w:pPr>
              <w:jc w:val="center"/>
              <w:ind w:left="121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48,363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color w:val="auto"/>
                <w:w w:val="94"/>
              </w:rPr>
              <w:t>Weighted average remaining lease term and discount rate for the Company’s operating leases are as follows:</w:t>
            </w: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1"/>
              </w:rPr>
              <w:t>(unaudited)</w:t>
            </w:r>
          </w:p>
        </w:tc>
        <w:tc>
          <w:tcPr>
            <w:tcW w:w="2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color w:val="auto"/>
                <w:w w:val="89"/>
              </w:rPr>
              <w:t>4.6 years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9. Convertible Preferred Stock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Convertible Preferred Stock</w:t>
      </w:r>
      <w:r>
        <w:rPr>
          <w:rFonts w:ascii="Arial" w:cs="Arial" w:eastAsia="Arial" w:hAnsi="Arial"/>
          <w:sz w:val="18"/>
          <w:szCs w:val="18"/>
          <w:color w:val="auto"/>
        </w:rPr>
        <w:t>—Convertible Preferred Stock is carried at the issuance price, net of issuance costs.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 December 31, 2017, convertible preferred stock (the “Preferred Stock”) consisted of the following (in thousands, except share and per share</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data):</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Shares Issued</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5"/>
              </w:rPr>
              <w:t>Issuance Price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Per Share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07"/>
        </w:trPr>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Seed</w:t>
            </w:r>
          </w:p>
        </w:tc>
        <w:tc>
          <w:tcPr>
            <w:tcW w:w="82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19,403,952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0.0575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3"/>
          </w:tcPr>
          <w:p>
            <w:pPr>
              <w:spacing w:after="0"/>
              <w:rPr>
                <w:sz w:val="20"/>
                <w:szCs w:val="20"/>
                <w:color w:val="auto"/>
              </w:rPr>
            </w:pPr>
            <w:r>
              <w:rPr>
                <w:rFonts w:ascii="Arial" w:cs="Arial" w:eastAsia="Arial" w:hAnsi="Arial"/>
                <w:sz w:val="18"/>
                <w:szCs w:val="18"/>
                <w:color w:val="auto"/>
              </w:rPr>
              <w:t>Series A</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49,195,632</w:t>
            </w: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B</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39,619,992</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3"/>
          </w:tcPr>
          <w:p>
            <w:pPr>
              <w:spacing w:after="0"/>
              <w:rPr>
                <w:sz w:val="20"/>
                <w:szCs w:val="20"/>
                <w:color w:val="auto"/>
              </w:rPr>
            </w:pPr>
            <w:r>
              <w:rPr>
                <w:rFonts w:ascii="Arial" w:cs="Arial" w:eastAsia="Arial" w:hAnsi="Arial"/>
                <w:sz w:val="18"/>
                <w:szCs w:val="18"/>
                <w:color w:val="auto"/>
              </w:rPr>
              <w:t>Series C</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30,389,424</w:t>
            </w: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0.8840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41,205,912</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179,814,912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3700" w:type="dxa"/>
            <w:vAlign w:val="bottom"/>
            <w:gridSpan w:val="2"/>
          </w:tcPr>
          <w:p>
            <w:pPr>
              <w:ind w:left="40"/>
              <w:spacing w:after="0"/>
              <w:rPr>
                <w:sz w:val="20"/>
                <w:szCs w:val="20"/>
                <w:color w:val="auto"/>
              </w:rPr>
            </w:pPr>
            <w:r>
              <w:rPr>
                <w:rFonts w:ascii="Arial" w:cs="Arial" w:eastAsia="Arial" w:hAnsi="Arial"/>
                <w:sz w:val="18"/>
                <w:szCs w:val="18"/>
                <w:color w:val="auto"/>
              </w:rPr>
              <w:t>Amounts are net of issuance costs.</w:t>
            </w:r>
          </w:p>
        </w:tc>
        <w:tc>
          <w:tcPr>
            <w:tcW w:w="1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0" w:type="dxa"/>
            <w:vAlign w:val="bottom"/>
            <w:gridSpan w:val="2"/>
          </w:tcPr>
          <w:p>
            <w:pPr>
              <w:jc w:val="right"/>
              <w:ind w:right="1182"/>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2018, Preferred Stock consisted of the following (in thousands, except share and per share data):</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Shares Issued</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5"/>
              </w:rPr>
              <w:t>Issuance Price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Per Share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07"/>
        </w:trPr>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Seed</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19,403,952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0.0575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1200" w:type="dxa"/>
            <w:vAlign w:val="bottom"/>
          </w:tcPr>
          <w:p>
            <w:pPr>
              <w:jc w:val="right"/>
              <w:spacing w:after="0"/>
              <w:rPr>
                <w:sz w:val="20"/>
                <w:szCs w:val="20"/>
                <w:color w:val="auto"/>
              </w:rPr>
            </w:pPr>
            <w:r>
              <w:rPr>
                <w:rFonts w:ascii="Arial" w:cs="Arial" w:eastAsia="Arial" w:hAnsi="Arial"/>
                <w:sz w:val="18"/>
                <w:szCs w:val="18"/>
                <w:color w:val="auto"/>
              </w:rPr>
              <w:t>49,195,632</w:t>
            </w: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39,619,992</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200" w:type="dxa"/>
            <w:vAlign w:val="bottom"/>
          </w:tcPr>
          <w:p>
            <w:pPr>
              <w:jc w:val="right"/>
              <w:spacing w:after="0"/>
              <w:rPr>
                <w:sz w:val="20"/>
                <w:szCs w:val="20"/>
                <w:color w:val="auto"/>
              </w:rPr>
            </w:pPr>
            <w:r>
              <w:rPr>
                <w:rFonts w:ascii="Arial" w:cs="Arial" w:eastAsia="Arial" w:hAnsi="Arial"/>
                <w:sz w:val="18"/>
                <w:szCs w:val="18"/>
                <w:color w:val="auto"/>
              </w:rPr>
              <w:t>30,389,424</w:t>
            </w: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0.8840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41,205,912</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179,814,912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0" w:type="dxa"/>
            <w:vAlign w:val="bottom"/>
            <w:tcBorders>
              <w:bottom w:val="single" w:sz="8" w:color="auto"/>
            </w:tcBorders>
          </w:tcPr>
          <w:p>
            <w:pPr>
              <w:spacing w:after="0"/>
              <w:rPr>
                <w:sz w:val="11"/>
                <w:szCs w:val="11"/>
                <w:color w:val="auto"/>
              </w:rPr>
            </w:pPr>
          </w:p>
        </w:tc>
        <w:tc>
          <w:tcPr>
            <w:tcW w:w="4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80" w:hanging="425"/>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Amounts are net of issuance costs.</w:t>
      </w:r>
    </w:p>
    <w:p>
      <w:pPr>
        <w:spacing w:after="0" w:line="2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At June 30, 2019 (unaudited), Preferred Stock consisted of the following (in thousands, except share and per share data):</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Shares Issued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7"/>
              </w:rPr>
              <w:t>Issuance Price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56"/>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07"/>
        </w:trPr>
        <w:tc>
          <w:tcPr>
            <w:tcW w:w="4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Seed</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19,403,952</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18,692,994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8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1220" w:type="dxa"/>
            <w:vAlign w:val="bottom"/>
          </w:tcPr>
          <w:p>
            <w:pPr>
              <w:jc w:val="right"/>
              <w:spacing w:after="0"/>
              <w:rPr>
                <w:sz w:val="20"/>
                <w:szCs w:val="20"/>
                <w:color w:val="auto"/>
              </w:rPr>
            </w:pPr>
            <w:r>
              <w:rPr>
                <w:rFonts w:ascii="Arial" w:cs="Arial" w:eastAsia="Arial" w:hAnsi="Arial"/>
                <w:sz w:val="18"/>
                <w:szCs w:val="18"/>
                <w:color w:val="auto"/>
              </w:rPr>
              <w:t>49,195,632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49,119,849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39,619,992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39,619,992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8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220" w:type="dxa"/>
            <w:vAlign w:val="bottom"/>
          </w:tcPr>
          <w:p>
            <w:pPr>
              <w:jc w:val="right"/>
              <w:spacing w:after="0"/>
              <w:rPr>
                <w:sz w:val="20"/>
                <w:szCs w:val="20"/>
                <w:color w:val="auto"/>
              </w:rPr>
            </w:pPr>
            <w:r>
              <w:rPr>
                <w:rFonts w:ascii="Arial" w:cs="Arial" w:eastAsia="Arial" w:hAnsi="Arial"/>
                <w:sz w:val="18"/>
                <w:szCs w:val="18"/>
                <w:color w:val="auto"/>
              </w:rPr>
              <w:t>30,389,424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30,372,684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0.8840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41,205,912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41,205,912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179,814,912</w:t>
            </w:r>
          </w:p>
        </w:tc>
        <w:tc>
          <w:tcPr>
            <w:tcW w:w="1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179,011,431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80" w:hanging="425"/>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Amounts are net of issuance costs.</w:t>
      </w:r>
    </w:p>
    <w:p>
      <w:pPr>
        <w:spacing w:after="0" w:line="22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Significant rights and preferences of the above convertible Preferred Stock are as follows:</w:t>
      </w:r>
    </w:p>
    <w:p>
      <w:pPr>
        <w:spacing w:after="0" w:line="217" w:lineRule="exact"/>
        <w:rPr>
          <w:sz w:val="20"/>
          <w:szCs w:val="20"/>
          <w:color w:val="auto"/>
        </w:rPr>
      </w:pPr>
    </w:p>
    <w:p>
      <w:pPr>
        <w:ind w:left="260" w:right="120" w:firstLine="437"/>
        <w:spacing w:after="0" w:line="262" w:lineRule="auto"/>
        <w:rPr>
          <w:sz w:val="20"/>
          <w:szCs w:val="20"/>
          <w:color w:val="auto"/>
        </w:rPr>
      </w:pPr>
      <w:r>
        <w:rPr>
          <w:rFonts w:ascii="Arial" w:cs="Arial" w:eastAsia="Arial" w:hAnsi="Arial"/>
          <w:sz w:val="18"/>
          <w:szCs w:val="18"/>
          <w:b w:val="1"/>
          <w:bCs w:val="1"/>
          <w:color w:val="auto"/>
        </w:rPr>
        <w:t>Conversion</w:t>
      </w:r>
      <w:r>
        <w:rPr>
          <w:rFonts w:ascii="Arial" w:cs="Arial" w:eastAsia="Arial" w:hAnsi="Arial"/>
          <w:sz w:val="18"/>
          <w:szCs w:val="18"/>
          <w:color w:val="auto"/>
        </w:rPr>
        <w:t>—At any time following the date of issuance, each share of Preferred Stock is convertible, at the option of its holder, into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of common stock, which results from dividing the applicable original issue price per share for each series by the applicable conversion price per share for such series.</w:t>
      </w:r>
    </w:p>
    <w:p>
      <w:pPr>
        <w:spacing w:after="0" w:line="183" w:lineRule="exact"/>
        <w:rPr>
          <w:sz w:val="20"/>
          <w:szCs w:val="20"/>
          <w:color w:val="auto"/>
        </w:rPr>
      </w:pPr>
    </w:p>
    <w:p>
      <w:pPr>
        <w:ind w:left="260" w:right="380" w:firstLine="437"/>
        <w:spacing w:after="0" w:line="259" w:lineRule="auto"/>
        <w:rPr>
          <w:sz w:val="20"/>
          <w:szCs w:val="20"/>
          <w:color w:val="auto"/>
        </w:rPr>
      </w:pPr>
      <w:r>
        <w:rPr>
          <w:rFonts w:ascii="Arial" w:cs="Arial" w:eastAsia="Arial" w:hAnsi="Arial"/>
          <w:sz w:val="18"/>
          <w:szCs w:val="18"/>
          <w:color w:val="auto"/>
        </w:rPr>
        <w:t>The initial conversion price of the Series D Preferred Stock shall be equal to $2.29, the Series C Preferred Stock shall be equal to $0.88, the Series B Preferred Stock shall be equal to $0.32, the Series A Preferred Stock shall be equal to $0.13, and the Seed Preferred Stock shall be equal to $0.06.</w:t>
      </w:r>
    </w:p>
    <w:p>
      <w:pPr>
        <w:spacing w:after="0" w:line="186" w:lineRule="exact"/>
        <w:rPr>
          <w:sz w:val="20"/>
          <w:szCs w:val="20"/>
          <w:color w:val="auto"/>
        </w:rPr>
      </w:pPr>
    </w:p>
    <w:p>
      <w:pPr>
        <w:ind w:left="260" w:right="120" w:firstLine="437"/>
        <w:spacing w:after="0" w:line="271" w:lineRule="auto"/>
        <w:rPr>
          <w:sz w:val="20"/>
          <w:szCs w:val="20"/>
          <w:color w:val="auto"/>
        </w:rPr>
      </w:pPr>
      <w:r>
        <w:rPr>
          <w:rFonts w:ascii="Arial" w:cs="Arial" w:eastAsia="Arial" w:hAnsi="Arial"/>
          <w:sz w:val="18"/>
          <w:szCs w:val="18"/>
          <w:color w:val="auto"/>
        </w:rPr>
        <w:t>The conversion price may be adjusted from time to time based on certain events such as a Deemed Issue of Additional Shares of Common Stock, stock splits and combinations, dividends or distributions or in the event of a merger or reorganization.</w:t>
      </w:r>
    </w:p>
    <w:p>
      <w:pPr>
        <w:spacing w:after="0" w:line="175" w:lineRule="exact"/>
        <w:rPr>
          <w:sz w:val="20"/>
          <w:szCs w:val="20"/>
          <w:color w:val="auto"/>
        </w:rPr>
      </w:pPr>
    </w:p>
    <w:p>
      <w:pPr>
        <w:jc w:val="both"/>
        <w:ind w:left="260" w:right="860" w:firstLine="437"/>
        <w:spacing w:after="0" w:line="259" w:lineRule="auto"/>
        <w:rPr>
          <w:sz w:val="20"/>
          <w:szCs w:val="20"/>
          <w:color w:val="auto"/>
        </w:rPr>
      </w:pPr>
      <w:r>
        <w:rPr>
          <w:rFonts w:ascii="Arial" w:cs="Arial" w:eastAsia="Arial" w:hAnsi="Arial"/>
          <w:sz w:val="18"/>
          <w:szCs w:val="18"/>
          <w:color w:val="auto"/>
        </w:rPr>
        <w:t>The Preferred Stock is subject to mandatory conversion upon the sale of shares of Common Stock of at least $3.44 per share in a firm-commitment underwritten public offering pursuant to an effective registration statement under the Securities Act of 1933, resulting in at least $75 million of gross proceeds to the Company (“Qualified Liquidation Event”).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240" w:top="456"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jc w:val="both"/>
        <w:ind w:left="260" w:right="40" w:firstLine="437"/>
        <w:spacing w:after="0" w:line="259"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color w:val="auto"/>
        </w:rPr>
        <w:t>—The holders of Preferred Stock are entitled to vote on all matters and are entitled to the number of votes equal to the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into which each share is then convertible. The holders of the shares of Series B Preferred Stock, shall be entitled to elect one director, the holders of Series A Preferred Stock, shall be entitled to elect two directors.</w:t>
      </w:r>
    </w:p>
    <w:p>
      <w:pPr>
        <w:spacing w:after="0" w:line="186" w:lineRule="exact"/>
        <w:rPr>
          <w:sz w:val="20"/>
          <w:szCs w:val="20"/>
          <w:color w:val="auto"/>
        </w:rPr>
      </w:pPr>
    </w:p>
    <w:p>
      <w:pPr>
        <w:ind w:left="260" w:firstLine="437"/>
        <w:spacing w:after="0" w:line="290"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—The Company shall not declare, pay or set aside any dividends on shares of any other class or series of capital stock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dividends on common shares payable in common shares) unless the holders of the Preferred Stock then outstanding shall first receive, or simultaneously receive, a dividend on each outstanding share of Seed Preferred Stock in an amount at least equal to $0.00345 per share, on each outstanding share of Series A Preferred Stock in an amount at least equal to $0.00753 per share, on each outstanding share of Series B Preferred Stock in an amount at least equal to $0.0191 per share, on each outstanding share of Series C Preferred Stock in an amount at least equal to $0.0530 per share, and on each outstanding share of Series D Preferred Stock in an amount at least equal to $0.1376 per share.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dividends have been declared or paid by the Company since inception.</w:t>
      </w:r>
    </w:p>
    <w:p>
      <w:pPr>
        <w:spacing w:after="0" w:line="221" w:lineRule="exact"/>
        <w:rPr>
          <w:sz w:val="20"/>
          <w:szCs w:val="20"/>
          <w:color w:val="auto"/>
        </w:rPr>
      </w:pPr>
    </w:p>
    <w:p>
      <w:pPr>
        <w:ind w:left="260" w:right="100" w:firstLine="437"/>
        <w:spacing w:after="0" w:line="297" w:lineRule="auto"/>
        <w:rPr>
          <w:sz w:val="20"/>
          <w:szCs w:val="20"/>
          <w:color w:val="auto"/>
        </w:rPr>
      </w:pPr>
      <w:r>
        <w:rPr>
          <w:rFonts w:ascii="Arial" w:cs="Arial" w:eastAsia="Arial" w:hAnsi="Arial"/>
          <w:sz w:val="16"/>
          <w:szCs w:val="16"/>
          <w:b w:val="1"/>
          <w:bCs w:val="1"/>
          <w:i w:val="1"/>
          <w:iCs w:val="1"/>
          <w:color w:val="auto"/>
        </w:rPr>
        <w:t>Liquidation Preference</w:t>
      </w:r>
      <w:r>
        <w:rPr>
          <w:rFonts w:ascii="Arial" w:cs="Arial" w:eastAsia="Arial" w:hAnsi="Arial"/>
          <w:sz w:val="16"/>
          <w:szCs w:val="16"/>
          <w:color w:val="auto"/>
        </w:rPr>
        <w:t>—In the event of any liquidation, the holders of shares of Preferred Stock then outstanding shall be entitled to be paid 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assets of the Company available for distribution to its stockholders, on a pari passu basis. The liquidation to Preferred Stock (Seed, Series A, Series B, Series C, and Series D) will be an amount per share equal to the greater of (a) the original issue price plus any dividends declared but unpaid thereon, or (b) such amount per share as would have been payable had all shares been converted into Common Stock immediately prior to liquidation.</w:t>
      </w:r>
    </w:p>
    <w:p>
      <w:pPr>
        <w:spacing w:after="0" w:line="160" w:lineRule="exact"/>
        <w:rPr>
          <w:sz w:val="20"/>
          <w:szCs w:val="20"/>
          <w:color w:val="auto"/>
        </w:rPr>
      </w:pPr>
    </w:p>
    <w:p>
      <w:pPr>
        <w:jc w:val="both"/>
        <w:ind w:left="260" w:right="260" w:firstLine="437"/>
        <w:spacing w:after="0" w:line="307" w:lineRule="auto"/>
        <w:rPr>
          <w:sz w:val="20"/>
          <w:szCs w:val="20"/>
          <w:color w:val="auto"/>
        </w:rPr>
      </w:pPr>
      <w:r>
        <w:rPr>
          <w:rFonts w:ascii="Arial" w:cs="Arial" w:eastAsia="Arial" w:hAnsi="Arial"/>
          <w:sz w:val="16"/>
          <w:szCs w:val="16"/>
          <w:color w:val="auto"/>
        </w:rPr>
        <w:t>If upon any liquidation, the assets of the Company are insufficient to make payment in full to the holders of Seed Preferred, Series A Preferred, Series B Preferred, Series C Preferred, and Series D Preferred, then such assets shall be distributed among the holders of the Seed, Series A, Series B Preferred, Series C Preferred, and Series D ratably in proportion to the full amounts to which they would otherwise be respectively entitled.</w:t>
      </w:r>
    </w:p>
    <w:p>
      <w:pPr>
        <w:spacing w:after="0" w:line="150" w:lineRule="exact"/>
        <w:rPr>
          <w:sz w:val="20"/>
          <w:szCs w:val="20"/>
          <w:color w:val="auto"/>
        </w:rPr>
      </w:pPr>
    </w:p>
    <w:p>
      <w:pPr>
        <w:ind w:left="260" w:right="480" w:firstLine="437"/>
        <w:spacing w:after="0" w:line="271" w:lineRule="auto"/>
        <w:rPr>
          <w:sz w:val="20"/>
          <w:szCs w:val="20"/>
          <w:color w:val="auto"/>
        </w:rPr>
      </w:pPr>
      <w:r>
        <w:rPr>
          <w:rFonts w:ascii="Arial" w:cs="Arial" w:eastAsia="Arial" w:hAnsi="Arial"/>
          <w:sz w:val="18"/>
          <w:szCs w:val="18"/>
          <w:color w:val="auto"/>
        </w:rPr>
        <w:t>After payment has been made to the holders of the Preferred Stock, the remaining assets available for distribution will be distributed ratably among the holders of common stock.</w:t>
      </w:r>
    </w:p>
    <w:p>
      <w:pPr>
        <w:spacing w:after="0" w:line="175" w:lineRule="exact"/>
        <w:rPr>
          <w:sz w:val="20"/>
          <w:szCs w:val="20"/>
          <w:color w:val="auto"/>
        </w:rPr>
      </w:pPr>
    </w:p>
    <w:p>
      <w:pPr>
        <w:ind w:left="260" w:right="60" w:firstLine="437"/>
        <w:spacing w:after="0" w:line="271"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—The Preferred Stock is redeemable upon certain deemed liquidation events such as a merger or sale of substantially all the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w:t>
      </w:r>
    </w:p>
    <w:p>
      <w:pPr>
        <w:spacing w:after="0" w:line="175" w:lineRule="exact"/>
        <w:rPr>
          <w:sz w:val="20"/>
          <w:szCs w:val="20"/>
          <w:color w:val="auto"/>
        </w:rPr>
      </w:pPr>
    </w:p>
    <w:p>
      <w:pPr>
        <w:ind w:left="260" w:right="40" w:firstLine="437"/>
        <w:spacing w:after="0" w:line="252" w:lineRule="auto"/>
        <w:rPr>
          <w:sz w:val="20"/>
          <w:szCs w:val="20"/>
          <w:color w:val="auto"/>
        </w:rPr>
      </w:pPr>
      <w:r>
        <w:rPr>
          <w:rFonts w:ascii="Arial" w:cs="Arial" w:eastAsia="Arial" w:hAnsi="Arial"/>
          <w:sz w:val="18"/>
          <w:szCs w:val="18"/>
          <w:b w:val="1"/>
          <w:bCs w:val="1"/>
          <w:i w:val="1"/>
          <w:iCs w:val="1"/>
          <w:color w:val="auto"/>
        </w:rPr>
        <w:t>Classification</w:t>
      </w:r>
      <w:r>
        <w:rPr>
          <w:rFonts w:ascii="Arial" w:cs="Arial" w:eastAsia="Arial" w:hAnsi="Arial"/>
          <w:sz w:val="18"/>
          <w:szCs w:val="18"/>
          <w:color w:val="auto"/>
        </w:rPr>
        <w:t>—The convertible Preferred Stock is not mandatorily redeemable, but a liquidation event would constitute a redemption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outside of management’s control. Therefore, all shares of convertible Preferred Stock have been presented outside of permanent equity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Further, the Company will not adjust the carrying value of the convertible Preferred Stock to the redemption value of such shares, since it is uncertain whether or when a redemption event will occur. In accordance with ASC 480, if it becomes certain that the convertible Preferred Stock will become redeemable, the carrying amount will be adjusted to equal the fair value of the instrument on the date that the contingent event becomes certain.</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10. Equity</w:t>
      </w:r>
    </w:p>
    <w:p>
      <w:pPr>
        <w:spacing w:after="0" w:line="225" w:lineRule="exact"/>
        <w:rPr>
          <w:sz w:val="20"/>
          <w:szCs w:val="20"/>
          <w:color w:val="auto"/>
        </w:rPr>
      </w:pPr>
    </w:p>
    <w:p>
      <w:pPr>
        <w:ind w:left="260" w:right="160" w:firstLine="437"/>
        <w:spacing w:after="0" w:line="255"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—Holders of common stock are entitled to one vote per share and may elect two directors. Holders of common stock are entitled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receive any dividends as may be declared from time to time by the board of directors. Common stock is subordinate to the Preferred Stock with respect to dividend rights and rights upon a Qualified Liquidation Event of the Company. The common stock is not redeemable at the option of the holder.</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60"/>
          </w:cols>
          <w:pgMar w:left="24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December 31, 2017 and 2018 and June 30, 2019, the Company had reserved shares of common stock for future issuance as follows:</w:t>
      </w:r>
    </w:p>
    <w:p>
      <w:pPr>
        <w:spacing w:after="0" w:line="25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r>
      <w:tr>
        <w:trPr>
          <w:trHeight w:val="141"/>
        </w:trPr>
        <w:tc>
          <w:tcPr>
            <w:tcW w:w="7100" w:type="dxa"/>
            <w:vAlign w:val="bottom"/>
          </w:tcPr>
          <w:p>
            <w:pPr>
              <w:spacing w:after="0"/>
              <w:rPr>
                <w:sz w:val="12"/>
                <w:szCs w:val="12"/>
                <w:color w:val="auto"/>
              </w:rPr>
            </w:pPr>
          </w:p>
        </w:tc>
        <w:tc>
          <w:tcPr>
            <w:tcW w:w="1120" w:type="dxa"/>
            <w:vAlign w:val="bottom"/>
          </w:tcPr>
          <w:p>
            <w:pPr>
              <w:jc w:val="right"/>
              <w:ind w:right="334"/>
              <w:spacing w:after="0" w:line="141" w:lineRule="exact"/>
              <w:rPr>
                <w:sz w:val="20"/>
                <w:szCs w:val="20"/>
                <w:color w:val="auto"/>
              </w:rPr>
            </w:pPr>
            <w:r>
              <w:rPr>
                <w:rFonts w:ascii="Arial" w:cs="Arial" w:eastAsia="Arial" w:hAnsi="Arial"/>
                <w:sz w:val="14"/>
                <w:szCs w:val="14"/>
                <w:b w:val="1"/>
                <w:bCs w:val="1"/>
                <w:color w:val="auto"/>
              </w:rPr>
              <w:t>2017</w:t>
            </w:r>
          </w:p>
        </w:tc>
        <w:tc>
          <w:tcPr>
            <w:tcW w:w="1300" w:type="dxa"/>
            <w:vAlign w:val="bottom"/>
            <w:gridSpan w:val="2"/>
          </w:tcPr>
          <w:p>
            <w:pPr>
              <w:jc w:val="right"/>
              <w:ind w:right="351"/>
              <w:spacing w:after="0" w:line="141" w:lineRule="exact"/>
              <w:rPr>
                <w:sz w:val="20"/>
                <w:szCs w:val="20"/>
                <w:color w:val="auto"/>
              </w:rPr>
            </w:pPr>
            <w:r>
              <w:rPr>
                <w:rFonts w:ascii="Arial" w:cs="Arial" w:eastAsia="Arial" w:hAnsi="Arial"/>
                <w:sz w:val="14"/>
                <w:szCs w:val="14"/>
                <w:b w:val="1"/>
                <w:bCs w:val="1"/>
                <w:color w:val="auto"/>
              </w:rPr>
              <w:t>2018</w:t>
            </w:r>
          </w:p>
        </w:tc>
        <w:tc>
          <w:tcPr>
            <w:tcW w:w="1320" w:type="dxa"/>
            <w:vAlign w:val="bottom"/>
            <w:gridSpan w:val="2"/>
          </w:tcPr>
          <w:p>
            <w:pPr>
              <w:jc w:val="center"/>
              <w:ind w:left="53"/>
              <w:spacing w:after="0" w:line="141"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2"/>
                <w:szCs w:val="12"/>
                <w:color w:val="auto"/>
              </w:rPr>
            </w:pPr>
          </w:p>
        </w:tc>
      </w:tr>
      <w:tr>
        <w:trPr>
          <w:trHeight w:val="141"/>
        </w:trPr>
        <w:tc>
          <w:tcPr>
            <w:tcW w:w="7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1"/>
              </w:rPr>
              <w:t>(unaudited)</w:t>
            </w:r>
          </w:p>
        </w:tc>
        <w:tc>
          <w:tcPr>
            <w:tcW w:w="80" w:type="dxa"/>
            <w:vAlign w:val="bottom"/>
          </w:tcPr>
          <w:p>
            <w:pPr>
              <w:spacing w:after="0"/>
              <w:rPr>
                <w:sz w:val="12"/>
                <w:szCs w:val="12"/>
                <w:color w:val="auto"/>
              </w:rPr>
            </w:pPr>
          </w:p>
        </w:tc>
      </w:tr>
      <w:tr>
        <w:trPr>
          <w:trHeight w:val="214"/>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Seed Preferred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19,403,952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19,403,952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18,692,994</w:t>
            </w:r>
          </w:p>
        </w:tc>
        <w:tc>
          <w:tcPr>
            <w:tcW w:w="80" w:type="dxa"/>
            <w:vAlign w:val="bottom"/>
            <w:shd w:val="clear" w:color="auto" w:fill="CCEEFF"/>
          </w:tcPr>
          <w:p>
            <w:pPr>
              <w:spacing w:after="0"/>
              <w:rPr>
                <w:sz w:val="18"/>
                <w:szCs w:val="18"/>
                <w:color w:val="auto"/>
              </w:rPr>
            </w:pPr>
          </w:p>
        </w:tc>
      </w:tr>
      <w:tr>
        <w:trPr>
          <w:trHeight w:val="214"/>
        </w:trPr>
        <w:tc>
          <w:tcPr>
            <w:tcW w:w="710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49,195,632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49,195,632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49,119,849</w:t>
            </w:r>
          </w:p>
        </w:tc>
        <w:tc>
          <w:tcPr>
            <w:tcW w:w="80" w:type="dxa"/>
            <w:vAlign w:val="bottom"/>
          </w:tcPr>
          <w:p>
            <w:pPr>
              <w:spacing w:after="0"/>
              <w:rPr>
                <w:sz w:val="18"/>
                <w:szCs w:val="18"/>
                <w:color w:val="auto"/>
              </w:rPr>
            </w:pPr>
          </w:p>
        </w:tc>
      </w:tr>
      <w:tr>
        <w:trPr>
          <w:trHeight w:val="214"/>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39,619,992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39,619,992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39,619,992</w:t>
            </w:r>
          </w:p>
        </w:tc>
        <w:tc>
          <w:tcPr>
            <w:tcW w:w="80" w:type="dxa"/>
            <w:vAlign w:val="bottom"/>
            <w:shd w:val="clear" w:color="auto" w:fill="CCEEFF"/>
          </w:tcPr>
          <w:p>
            <w:pPr>
              <w:spacing w:after="0"/>
              <w:rPr>
                <w:sz w:val="18"/>
                <w:szCs w:val="18"/>
                <w:color w:val="auto"/>
              </w:rPr>
            </w:pPr>
          </w:p>
        </w:tc>
      </w:tr>
      <w:tr>
        <w:trPr>
          <w:trHeight w:val="214"/>
        </w:trPr>
        <w:tc>
          <w:tcPr>
            <w:tcW w:w="7100" w:type="dxa"/>
            <w:vAlign w:val="bottom"/>
          </w:tcPr>
          <w:p>
            <w:pPr>
              <w:spacing w:after="0"/>
              <w:rPr>
                <w:sz w:val="20"/>
                <w:szCs w:val="20"/>
                <w:color w:val="auto"/>
              </w:rPr>
            </w:pPr>
            <w:r>
              <w:rPr>
                <w:rFonts w:ascii="Arial" w:cs="Arial" w:eastAsia="Arial" w:hAnsi="Arial"/>
                <w:sz w:val="18"/>
                <w:szCs w:val="18"/>
                <w:color w:val="auto"/>
              </w:rPr>
              <w:t>Series C Preferred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30,389,424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30,389,424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30,372,684</w:t>
            </w:r>
          </w:p>
        </w:tc>
        <w:tc>
          <w:tcPr>
            <w:tcW w:w="80" w:type="dxa"/>
            <w:vAlign w:val="bottom"/>
          </w:tcPr>
          <w:p>
            <w:pPr>
              <w:spacing w:after="0"/>
              <w:rPr>
                <w:sz w:val="18"/>
                <w:szCs w:val="18"/>
                <w:color w:val="auto"/>
              </w:rPr>
            </w:pPr>
          </w:p>
        </w:tc>
      </w:tr>
      <w:tr>
        <w:trPr>
          <w:trHeight w:val="214"/>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Series D Preferred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41,205,912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41,205,912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41,205,912</w:t>
            </w:r>
          </w:p>
        </w:tc>
        <w:tc>
          <w:tcPr>
            <w:tcW w:w="80" w:type="dxa"/>
            <w:vAlign w:val="bottom"/>
            <w:shd w:val="clear" w:color="auto" w:fill="CCEEFF"/>
          </w:tcPr>
          <w:p>
            <w:pPr>
              <w:spacing w:after="0"/>
              <w:rPr>
                <w:sz w:val="18"/>
                <w:szCs w:val="18"/>
                <w:color w:val="auto"/>
              </w:rPr>
            </w:pPr>
          </w:p>
        </w:tc>
      </w:tr>
      <w:tr>
        <w:trPr>
          <w:trHeight w:val="214"/>
        </w:trPr>
        <w:tc>
          <w:tcPr>
            <w:tcW w:w="7100" w:type="dxa"/>
            <w:vAlign w:val="bottom"/>
          </w:tcPr>
          <w:p>
            <w:pPr>
              <w:spacing w:after="0"/>
              <w:rPr>
                <w:sz w:val="20"/>
                <w:szCs w:val="20"/>
                <w:color w:val="auto"/>
              </w:rPr>
            </w:pPr>
            <w:r>
              <w:rPr>
                <w:rFonts w:ascii="Arial" w:cs="Arial" w:eastAsia="Arial" w:hAnsi="Arial"/>
                <w:sz w:val="18"/>
                <w:szCs w:val="18"/>
                <w:color w:val="auto"/>
              </w:rPr>
              <w:t>Non-voting common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1,137,000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4"/>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2012 stock option plan: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Options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44,877,888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38,865,057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34,618,503</w:t>
            </w:r>
          </w:p>
        </w:tc>
        <w:tc>
          <w:tcPr>
            <w:tcW w:w="80" w:type="dxa"/>
            <w:vAlign w:val="bottom"/>
          </w:tcPr>
          <w:p>
            <w:pPr>
              <w:spacing w:after="0"/>
              <w:rPr>
                <w:sz w:val="18"/>
                <w:szCs w:val="18"/>
                <w:color w:val="auto"/>
              </w:rPr>
            </w:pPr>
          </w:p>
        </w:tc>
      </w:tr>
      <w:tr>
        <w:trPr>
          <w:trHeight w:val="214"/>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available for future grants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8,939,016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976,632</w:t>
            </w:r>
          </w:p>
        </w:tc>
        <w:tc>
          <w:tcPr>
            <w:tcW w:w="80" w:type="dxa"/>
            <w:vAlign w:val="bottom"/>
            <w:shd w:val="clear" w:color="auto" w:fill="CCEEFF"/>
          </w:tcPr>
          <w:p>
            <w:pPr>
              <w:spacing w:after="0"/>
              <w:rPr>
                <w:sz w:val="18"/>
                <w:szCs w:val="18"/>
                <w:color w:val="auto"/>
              </w:rPr>
            </w:pPr>
          </w:p>
        </w:tc>
      </w:tr>
      <w:tr>
        <w:trPr>
          <w:trHeight w:val="221"/>
        </w:trPr>
        <w:tc>
          <w:tcPr>
            <w:tcW w:w="7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234,768,816</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218,749,194</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214,606,566</w:t>
            </w:r>
          </w:p>
        </w:tc>
        <w:tc>
          <w:tcPr>
            <w:tcW w:w="8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right="320" w:firstLine="437"/>
        <w:spacing w:after="0" w:line="301" w:lineRule="auto"/>
        <w:rPr>
          <w:sz w:val="20"/>
          <w:szCs w:val="20"/>
          <w:color w:val="auto"/>
        </w:rPr>
      </w:pPr>
      <w:r>
        <w:rPr>
          <w:rFonts w:ascii="Arial" w:cs="Arial" w:eastAsia="Arial" w:hAnsi="Arial"/>
          <w:sz w:val="17"/>
          <w:szCs w:val="17"/>
          <w:color w:val="auto"/>
        </w:rPr>
        <w:t>In January 2018, the Company converted the then outstanding shares of non-voting common stock to common stock. The non-voting common stock had the same rights and preferences as common stock except that the non-voting stock did not contain any voting rights.</w:t>
      </w:r>
    </w:p>
    <w:p>
      <w:pPr>
        <w:spacing w:after="0" w:line="152" w:lineRule="exact"/>
        <w:rPr>
          <w:sz w:val="20"/>
          <w:szCs w:val="20"/>
          <w:color w:val="auto"/>
        </w:rPr>
      </w:pPr>
    </w:p>
    <w:p>
      <w:pPr>
        <w:ind w:left="260" w:right="100" w:firstLine="437"/>
        <w:spacing w:after="0" w:line="272" w:lineRule="auto"/>
        <w:rPr>
          <w:sz w:val="20"/>
          <w:szCs w:val="20"/>
          <w:color w:val="auto"/>
        </w:rPr>
      </w:pPr>
      <w:r>
        <w:rPr>
          <w:rFonts w:ascii="Arial" w:cs="Arial" w:eastAsia="Arial" w:hAnsi="Arial"/>
          <w:sz w:val="17"/>
          <w:szCs w:val="17"/>
          <w:color w:val="auto"/>
        </w:rPr>
        <w:t>In March 2019, certain investors proposed a tender offer to purchase shares of the Company’s capital stock from certain stockholders at a price of $15.92 per share, pursuant to an offer to purchase to which the Company was not a party. The Company agreed to waive certain transfer restrictions in connection with, and assist in the administration of, the tender offer. The tender offer was completed in the second quarter of 2019, and an aggregate of 14,366,871 shares of the Company’s capital stock were successfully tendered, including 803,481 shares of Preferred stock that converted into an equal number of shares of common stock in conjunction with the sale.</w:t>
      </w:r>
    </w:p>
    <w:p>
      <w:pPr>
        <w:spacing w:after="0" w:line="177" w:lineRule="exact"/>
        <w:rPr>
          <w:sz w:val="20"/>
          <w:szCs w:val="20"/>
          <w:color w:val="auto"/>
        </w:rPr>
      </w:pPr>
    </w:p>
    <w:p>
      <w:pPr>
        <w:ind w:left="260" w:right="20" w:firstLine="437"/>
        <w:spacing w:after="0" w:line="270" w:lineRule="auto"/>
        <w:rPr>
          <w:sz w:val="20"/>
          <w:szCs w:val="20"/>
          <w:color w:val="auto"/>
        </w:rPr>
      </w:pPr>
      <w:r>
        <w:rPr>
          <w:rFonts w:ascii="Arial" w:cs="Arial" w:eastAsia="Arial" w:hAnsi="Arial"/>
          <w:sz w:val="17"/>
          <w:szCs w:val="17"/>
          <w:b w:val="1"/>
          <w:bCs w:val="1"/>
          <w:i w:val="1"/>
          <w:iCs w:val="1"/>
          <w:color w:val="auto"/>
        </w:rPr>
        <w:t>Stock-Based Compensation</w:t>
      </w:r>
      <w:r>
        <w:rPr>
          <w:rFonts w:ascii="Arial" w:cs="Arial" w:eastAsia="Arial" w:hAnsi="Arial"/>
          <w:sz w:val="17"/>
          <w:szCs w:val="17"/>
          <w:color w:val="auto"/>
        </w:rPr>
        <w:t>—The Company adopted an equity incentive plan in 2012 (the “Plan”), pursuant to which the Company’s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may grant stock option and restricted stock awards to employees, directors, officers, agents, consultants, advisors, and independent contractors. The Company has reserved 72,842,148 shares of the Company’s common stock for issuance pursuant to awards granted under the Plan as of June 30, 2019 (unaudited). Shares issued under the Plan shall be drawn from authorized and unissued shares or reacquired common stock. Stock option grants typically vest over a four-year requisite service period. Certain awards do include provisions where vesting accelerates upon the change of control event. The contractual term of stock options is typically ten years.</w:t>
      </w:r>
    </w:p>
    <w:p>
      <w:pPr>
        <w:spacing w:after="0" w:line="179" w:lineRule="exact"/>
        <w:rPr>
          <w:sz w:val="20"/>
          <w:szCs w:val="20"/>
          <w:color w:val="auto"/>
        </w:rPr>
      </w:pPr>
    </w:p>
    <w:p>
      <w:pPr>
        <w:ind w:left="260" w:right="60" w:firstLine="437"/>
        <w:spacing w:after="0" w:line="255" w:lineRule="auto"/>
        <w:rPr>
          <w:sz w:val="20"/>
          <w:szCs w:val="20"/>
          <w:color w:val="auto"/>
        </w:rPr>
      </w:pPr>
      <w:r>
        <w:rPr>
          <w:rFonts w:ascii="Arial" w:cs="Arial" w:eastAsia="Arial" w:hAnsi="Arial"/>
          <w:sz w:val="18"/>
          <w:szCs w:val="18"/>
          <w:color w:val="auto"/>
        </w:rPr>
        <w:t>The Company uses the Black-Scholes option pricing model to value stock options. The fair value of each award is recognized on a straight-line basis over the vesting or service period, which is typically four years. The Black-Scholes model requires specified inputs to determine the fair value of stock-based awards, consisting of (i) the expected volatility of the Company’s common stock over the expected option life, (ii) the risk-free interest rate, (iii) the expected dividend yield, and (iv) the expected option life.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80"/>
          </w:cols>
          <w:pgMar w:left="240" w:top="456"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assumptions used during the years ended December 31, 2017 and 2018:</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79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3"/>
          </w:tcPr>
          <w:p>
            <w:pPr>
              <w:jc w:val="right"/>
              <w:ind w:right="440"/>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2"/>
          </w:tcPr>
          <w:p>
            <w:pPr>
              <w:jc w:val="right"/>
              <w:ind w:right="431"/>
              <w:spacing w:after="0" w:line="141" w:lineRule="exact"/>
              <w:rPr>
                <w:sz w:val="20"/>
                <w:szCs w:val="20"/>
                <w:color w:val="auto"/>
              </w:rPr>
            </w:pPr>
            <w:r>
              <w:rPr>
                <w:rFonts w:ascii="Arial" w:cs="Arial" w:eastAsia="Arial" w:hAnsi="Arial"/>
                <w:sz w:val="14"/>
                <w:szCs w:val="14"/>
                <w:b w:val="1"/>
                <w:bCs w:val="1"/>
                <w:color w:val="auto"/>
              </w:rPr>
              <w:t>2018</w:t>
            </w:r>
          </w:p>
        </w:tc>
      </w:tr>
      <w:tr>
        <w:trPr>
          <w:trHeight w:val="207"/>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- 39.0%</w:t>
            </w:r>
          </w:p>
        </w:tc>
      </w:tr>
      <w:tr>
        <w:trPr>
          <w:trHeight w:val="214"/>
        </w:trPr>
        <w:tc>
          <w:tcPr>
            <w:tcW w:w="80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720" w:type="dxa"/>
            <w:vAlign w:val="bottom"/>
          </w:tcPr>
          <w:p>
            <w:pPr>
              <w:ind w:left="20"/>
              <w:spacing w:after="0"/>
              <w:rPr>
                <w:sz w:val="20"/>
                <w:szCs w:val="20"/>
                <w:color w:val="auto"/>
              </w:rPr>
            </w:pPr>
            <w:r>
              <w:rPr>
                <w:rFonts w:ascii="Arial" w:cs="Arial" w:eastAsia="Arial" w:hAnsi="Arial"/>
                <w:sz w:val="18"/>
                <w:szCs w:val="18"/>
                <w:color w:val="auto"/>
              </w:rPr>
              <w:t>- 2.2%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720" w:type="dxa"/>
            <w:vAlign w:val="bottom"/>
          </w:tcPr>
          <w:p>
            <w:pPr>
              <w:ind w:left="20"/>
              <w:spacing w:after="0"/>
              <w:rPr>
                <w:sz w:val="20"/>
                <w:szCs w:val="20"/>
                <w:color w:val="auto"/>
              </w:rPr>
            </w:pPr>
            <w:r>
              <w:rPr>
                <w:rFonts w:ascii="Arial" w:cs="Arial" w:eastAsia="Arial" w:hAnsi="Arial"/>
                <w:sz w:val="18"/>
                <w:szCs w:val="18"/>
                <w:color w:val="auto"/>
              </w:rPr>
              <w:t>- 3.0%</w:t>
            </w:r>
          </w:p>
        </w:tc>
      </w:tr>
      <w:tr>
        <w:trPr>
          <w:trHeight w:val="214"/>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3"/>
              </w:rPr>
              <w:t>—%</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4"/>
        </w:trPr>
        <w:tc>
          <w:tcPr>
            <w:tcW w:w="806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20" w:type="dxa"/>
            <w:vAlign w:val="bottom"/>
          </w:tcPr>
          <w:p>
            <w:pPr>
              <w:ind w:left="20"/>
              <w:spacing w:after="0"/>
              <w:rPr>
                <w:sz w:val="20"/>
                <w:szCs w:val="20"/>
                <w:color w:val="auto"/>
              </w:rPr>
            </w:pPr>
            <w:r>
              <w:rPr>
                <w:rFonts w:ascii="Arial" w:cs="Arial" w:eastAsia="Arial" w:hAnsi="Arial"/>
                <w:sz w:val="18"/>
                <w:szCs w:val="18"/>
                <w:color w:val="auto"/>
              </w:rPr>
              <w:t>- 6.1</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720" w:type="dxa"/>
            <w:vAlign w:val="bottom"/>
          </w:tcPr>
          <w:p>
            <w:pPr>
              <w:ind w:left="20"/>
              <w:spacing w:after="0"/>
              <w:rPr>
                <w:sz w:val="20"/>
                <w:szCs w:val="20"/>
                <w:color w:val="auto"/>
              </w:rPr>
            </w:pPr>
            <w:r>
              <w:rPr>
                <w:rFonts w:ascii="Arial" w:cs="Arial" w:eastAsia="Arial" w:hAnsi="Arial"/>
                <w:sz w:val="18"/>
                <w:szCs w:val="18"/>
                <w:color w:val="auto"/>
              </w:rPr>
              <w:t>- 6.1</w:t>
            </w:r>
          </w:p>
        </w:tc>
      </w:tr>
      <w:tr>
        <w:trPr>
          <w:trHeight w:val="214"/>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$5.63</w:t>
            </w:r>
          </w:p>
        </w:tc>
      </w:tr>
      <w:tr>
        <w:trPr>
          <w:trHeight w:val="427"/>
        </w:trPr>
        <w:tc>
          <w:tcPr>
            <w:tcW w:w="8620" w:type="dxa"/>
            <w:vAlign w:val="bottom"/>
            <w:gridSpan w:val="3"/>
          </w:tcPr>
          <w:p>
            <w:pPr>
              <w:ind w:left="440"/>
              <w:spacing w:after="0"/>
              <w:rPr>
                <w:sz w:val="20"/>
                <w:szCs w:val="20"/>
                <w:color w:val="auto"/>
              </w:rPr>
            </w:pPr>
            <w:r>
              <w:rPr>
                <w:rFonts w:ascii="Arial" w:cs="Arial" w:eastAsia="Arial" w:hAnsi="Arial"/>
                <w:sz w:val="18"/>
                <w:szCs w:val="18"/>
                <w:color w:val="auto"/>
                <w:w w:val="94"/>
              </w:rPr>
              <w:t>The following table summarizes the assumptions used during the six months ended June 30, 2018 and 2019:</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7"/>
        </w:trPr>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720" w:type="dxa"/>
            <w:vAlign w:val="bottom"/>
          </w:tcPr>
          <w:p>
            <w:pPr>
              <w:spacing w:after="0"/>
              <w:rPr>
                <w:sz w:val="24"/>
                <w:szCs w:val="24"/>
                <w:color w:val="auto"/>
              </w:rPr>
            </w:pPr>
          </w:p>
        </w:tc>
      </w:tr>
      <w:tr>
        <w:trPr>
          <w:trHeight w:val="170"/>
        </w:trPr>
        <w:tc>
          <w:tcPr>
            <w:tcW w:w="7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r>
      <w:tr>
        <w:trPr>
          <w:trHeight w:val="141"/>
        </w:trPr>
        <w:tc>
          <w:tcPr>
            <w:tcW w:w="7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500"/>
              <w:spacing w:after="0" w:line="141"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right="31"/>
              <w:spacing w:after="0" w:line="141" w:lineRule="exact"/>
              <w:rPr>
                <w:sz w:val="20"/>
                <w:szCs w:val="20"/>
                <w:color w:val="auto"/>
              </w:rPr>
            </w:pPr>
            <w:r>
              <w:rPr>
                <w:rFonts w:ascii="Arial" w:cs="Arial" w:eastAsia="Arial" w:hAnsi="Arial"/>
                <w:sz w:val="14"/>
                <w:szCs w:val="14"/>
                <w:b w:val="1"/>
                <w:bCs w:val="1"/>
                <w:color w:val="auto"/>
                <w:w w:val="89"/>
              </w:rPr>
              <w:t>2019</w:t>
            </w:r>
          </w:p>
        </w:tc>
      </w:tr>
      <w:tr>
        <w:trPr>
          <w:trHeight w:val="141"/>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12"/>
                <w:szCs w:val="12"/>
                <w:color w:val="auto"/>
              </w:rPr>
            </w:pPr>
          </w:p>
        </w:tc>
      </w:tr>
      <w:tr>
        <w:trPr>
          <w:trHeight w:val="214"/>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- 38.9%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31"/>
              <w:spacing w:after="0"/>
              <w:rPr>
                <w:sz w:val="20"/>
                <w:szCs w:val="20"/>
                <w:color w:val="auto"/>
              </w:rPr>
            </w:pPr>
            <w:r>
              <w:rPr>
                <w:rFonts w:ascii="Arial" w:cs="Arial" w:eastAsia="Arial" w:hAnsi="Arial"/>
                <w:sz w:val="18"/>
                <w:szCs w:val="18"/>
                <w:color w:val="auto"/>
                <w:w w:val="91"/>
              </w:rPr>
              <w:t>38.9% - 39.2%</w:t>
            </w:r>
          </w:p>
        </w:tc>
      </w:tr>
      <w:tr>
        <w:trPr>
          <w:trHeight w:val="214"/>
        </w:trPr>
        <w:tc>
          <w:tcPr>
            <w:tcW w:w="80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- 2.8%</w:t>
            </w:r>
          </w:p>
        </w:tc>
        <w:tc>
          <w:tcPr>
            <w:tcW w:w="220" w:type="dxa"/>
            <w:vAlign w:val="bottom"/>
          </w:tcPr>
          <w:p>
            <w:pPr>
              <w:spacing w:after="0"/>
              <w:rPr>
                <w:sz w:val="18"/>
                <w:szCs w:val="18"/>
                <w:color w:val="auto"/>
              </w:rPr>
            </w:pPr>
          </w:p>
        </w:tc>
        <w:tc>
          <w:tcPr>
            <w:tcW w:w="1320" w:type="dxa"/>
            <w:vAlign w:val="bottom"/>
            <w:gridSpan w:val="2"/>
          </w:tcPr>
          <w:p>
            <w:pPr>
              <w:jc w:val="center"/>
              <w:ind w:right="31"/>
              <w:spacing w:after="0"/>
              <w:rPr>
                <w:sz w:val="20"/>
                <w:szCs w:val="20"/>
                <w:color w:val="auto"/>
              </w:rPr>
            </w:pPr>
            <w:r>
              <w:rPr>
                <w:rFonts w:ascii="Arial" w:cs="Arial" w:eastAsia="Arial" w:hAnsi="Arial"/>
                <w:sz w:val="18"/>
                <w:szCs w:val="18"/>
                <w:color w:val="auto"/>
                <w:w w:val="89"/>
              </w:rPr>
              <w:t>1.8% - 2.6%</w:t>
            </w:r>
          </w:p>
        </w:tc>
      </w:tr>
      <w:tr>
        <w:trPr>
          <w:trHeight w:val="214"/>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4"/>
            <w:shd w:val="clear" w:color="auto" w:fill="CCEEFF"/>
          </w:tcPr>
          <w:p>
            <w:pPr>
              <w:jc w:val="center"/>
              <w:ind w:right="340"/>
              <w:spacing w:after="0"/>
              <w:rPr>
                <w:sz w:val="20"/>
                <w:szCs w:val="20"/>
                <w:color w:val="auto"/>
              </w:rPr>
            </w:pPr>
            <w:r>
              <w:rPr>
                <w:rFonts w:ascii="Arial" w:cs="Arial" w:eastAsia="Arial" w:hAnsi="Arial"/>
                <w:sz w:val="18"/>
                <w:szCs w:val="18"/>
                <w:color w:val="auto"/>
                <w:w w:val="93"/>
              </w:rPr>
              <w:t>—%</w:t>
            </w:r>
          </w:p>
        </w:tc>
        <w:tc>
          <w:tcPr>
            <w:tcW w:w="1320" w:type="dxa"/>
            <w:vAlign w:val="bottom"/>
            <w:gridSpan w:val="2"/>
            <w:shd w:val="clear" w:color="auto" w:fill="CCEEFF"/>
          </w:tcPr>
          <w:p>
            <w:pPr>
              <w:jc w:val="center"/>
              <w:ind w:right="31"/>
              <w:spacing w:after="0"/>
              <w:rPr>
                <w:sz w:val="20"/>
                <w:szCs w:val="20"/>
                <w:color w:val="auto"/>
              </w:rPr>
            </w:pPr>
            <w:r>
              <w:rPr>
                <w:rFonts w:ascii="Arial" w:cs="Arial" w:eastAsia="Arial" w:hAnsi="Arial"/>
                <w:sz w:val="18"/>
                <w:szCs w:val="18"/>
                <w:color w:val="auto"/>
                <w:w w:val="93"/>
              </w:rPr>
              <w:t>—%</w:t>
            </w:r>
          </w:p>
        </w:tc>
      </w:tr>
      <w:tr>
        <w:trPr>
          <w:trHeight w:val="214"/>
        </w:trPr>
        <w:tc>
          <w:tcPr>
            <w:tcW w:w="806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- 6.1</w:t>
            </w:r>
          </w:p>
        </w:tc>
        <w:tc>
          <w:tcPr>
            <w:tcW w:w="220" w:type="dxa"/>
            <w:vAlign w:val="bottom"/>
          </w:tcPr>
          <w:p>
            <w:pPr>
              <w:spacing w:after="0"/>
              <w:rPr>
                <w:sz w:val="18"/>
                <w:szCs w:val="18"/>
                <w:color w:val="auto"/>
              </w:rPr>
            </w:pPr>
          </w:p>
        </w:tc>
        <w:tc>
          <w:tcPr>
            <w:tcW w:w="1320" w:type="dxa"/>
            <w:vAlign w:val="bottom"/>
            <w:gridSpan w:val="2"/>
          </w:tcPr>
          <w:p>
            <w:pPr>
              <w:jc w:val="center"/>
              <w:ind w:right="31"/>
              <w:spacing w:after="0"/>
              <w:rPr>
                <w:sz w:val="20"/>
                <w:szCs w:val="20"/>
                <w:color w:val="auto"/>
              </w:rPr>
            </w:pPr>
            <w:r>
              <w:rPr>
                <w:rFonts w:ascii="Arial" w:cs="Arial" w:eastAsia="Arial" w:hAnsi="Arial"/>
                <w:sz w:val="18"/>
                <w:szCs w:val="18"/>
                <w:color w:val="auto"/>
                <w:w w:val="90"/>
              </w:rPr>
              <w:t>5.2 - 6.2</w:t>
            </w:r>
          </w:p>
        </w:tc>
      </w:tr>
      <w:tr>
        <w:trPr>
          <w:trHeight w:val="214"/>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$3.45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31"/>
              <w:spacing w:after="0"/>
              <w:rPr>
                <w:sz w:val="20"/>
                <w:szCs w:val="20"/>
                <w:color w:val="auto"/>
              </w:rPr>
            </w:pPr>
            <w:r>
              <w:rPr>
                <w:rFonts w:ascii="Arial" w:cs="Arial" w:eastAsia="Arial" w:hAnsi="Arial"/>
                <w:sz w:val="18"/>
                <w:szCs w:val="18"/>
                <w:color w:val="auto"/>
                <w:w w:val="89"/>
              </w:rPr>
              <w:t>$6.16 - $10.62</w:t>
            </w:r>
          </w:p>
        </w:tc>
      </w:tr>
    </w:tbl>
    <w:p>
      <w:pPr>
        <w:spacing w:after="0" w:line="200" w:lineRule="exact"/>
        <w:rPr>
          <w:sz w:val="20"/>
          <w:szCs w:val="20"/>
          <w:color w:val="auto"/>
        </w:rPr>
      </w:pPr>
    </w:p>
    <w:p>
      <w:pPr>
        <w:ind w:left="260" w:right="440" w:firstLine="437"/>
        <w:spacing w:after="0" w:line="27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 performed an analysis of its peer companies with similar expected lives to develop an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w:t>
      </w:r>
    </w:p>
    <w:p>
      <w:pPr>
        <w:spacing w:after="0" w:line="175" w:lineRule="exact"/>
        <w:rPr>
          <w:sz w:val="20"/>
          <w:szCs w:val="20"/>
          <w:color w:val="auto"/>
        </w:rPr>
      </w:pPr>
    </w:p>
    <w:p>
      <w:pPr>
        <w:ind w:left="260" w:right="160" w:firstLine="437"/>
        <w:spacing w:after="0" w:line="27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—Derived from the life of the options granted under the option plan and is based on the simplified method which is essentially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 average of the vesting period and contractual term.</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upon quoted market yields for the United States Treasury debt securities.</w:t>
      </w:r>
    </w:p>
    <w:p>
      <w:pPr>
        <w:spacing w:after="0" w:line="221" w:lineRule="exact"/>
        <w:rPr>
          <w:sz w:val="20"/>
          <w:szCs w:val="20"/>
          <w:color w:val="auto"/>
        </w:rPr>
      </w:pPr>
    </w:p>
    <w:p>
      <w:pPr>
        <w:ind w:left="260" w:right="100" w:firstLine="437"/>
        <w:spacing w:after="0" w:line="271"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—Since the Company has never paid and has no intention to pay cash dividends on common stock, the expected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yield is zero.</w:t>
      </w:r>
    </w:p>
    <w:p>
      <w:pPr>
        <w:spacing w:after="0" w:line="175" w:lineRule="exact"/>
        <w:rPr>
          <w:sz w:val="20"/>
          <w:szCs w:val="20"/>
          <w:color w:val="auto"/>
        </w:rPr>
      </w:pPr>
    </w:p>
    <w:p>
      <w:pPr>
        <w:ind w:left="260" w:right="40" w:firstLine="437"/>
        <w:spacing w:after="0" w:line="288" w:lineRule="auto"/>
        <w:rPr>
          <w:sz w:val="20"/>
          <w:szCs w:val="20"/>
          <w:color w:val="auto"/>
        </w:rPr>
      </w:pPr>
      <w:r>
        <w:rPr>
          <w:rFonts w:ascii="Arial" w:cs="Arial" w:eastAsia="Arial" w:hAnsi="Arial"/>
          <w:sz w:val="16"/>
          <w:szCs w:val="16"/>
          <w:i w:val="1"/>
          <w:iCs w:val="1"/>
          <w:color w:val="auto"/>
        </w:rPr>
        <w:t>Fair value of the common stock</w:t>
      </w:r>
      <w:r>
        <w:rPr>
          <w:rFonts w:ascii="Arial" w:cs="Arial" w:eastAsia="Arial" w:hAnsi="Arial"/>
          <w:sz w:val="16"/>
          <w:szCs w:val="16"/>
          <w:color w:val="auto"/>
        </w:rPr>
        <w:t>—Because the Company’s common stock is not yet publicly traded, the Company must estimate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The Board of Directors considers numerous objective and subjective factors to determine the fair value of the Company’s common stock at each meeting in which awards are approved. The factors considered include, but are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80"/>
          </w:cols>
          <w:pgMar w:left="240" w:top="456"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 option activity during the years ended December 31, 2017 and 2018 and the six months ended June 30, 2019 (unaudited) is as follows:</w:t>
      </w: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Number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2"/>
                <w:szCs w:val="12"/>
                <w:color w:val="auto"/>
              </w:rPr>
            </w:pPr>
          </w:p>
        </w:tc>
        <w:tc>
          <w:tcPr>
            <w:tcW w:w="9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Shares Available</w:t>
            </w: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860" w:type="dxa"/>
            <w:vAlign w:val="bottom"/>
            <w:gridSpan w:val="3"/>
            <w:vMerge w:val="continue"/>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3"/>
              <w:spacing w:after="0" w:line="147"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9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For Grant</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Balance—January 1, 2017</w:t>
            </w:r>
          </w:p>
        </w:tc>
        <w:tc>
          <w:tcPr>
            <w:tcW w:w="1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3,714,672</w:t>
            </w:r>
          </w:p>
        </w:tc>
        <w:tc>
          <w:tcPr>
            <w:tcW w:w="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35,825,160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Increase in option pool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16,443,048</w:t>
            </w:r>
          </w:p>
        </w:tc>
        <w:tc>
          <w:tcPr>
            <w:tcW w:w="5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2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(12,841,968)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12,841,968</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Options exercised</w:t>
            </w:r>
          </w:p>
        </w:tc>
        <w:tc>
          <w:tcPr>
            <w:tcW w:w="13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(2,165,976)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1,623,264</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(1,623,264)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tcPr>
          <w:p>
            <w:pPr>
              <w:spacing w:after="0"/>
              <w:rPr>
                <w:sz w:val="20"/>
                <w:szCs w:val="20"/>
                <w:color w:val="auto"/>
              </w:rPr>
            </w:pPr>
            <w:r>
              <w:rPr>
                <w:rFonts w:ascii="Arial" w:cs="Arial" w:eastAsia="Arial" w:hAnsi="Arial"/>
                <w:sz w:val="18"/>
                <w:szCs w:val="18"/>
                <w:color w:val="auto"/>
              </w:rPr>
              <w:t>Balance—December 31, 2017</w:t>
            </w:r>
          </w:p>
        </w:tc>
        <w:tc>
          <w:tcPr>
            <w:tcW w:w="1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8,939,016</w:t>
            </w:r>
          </w:p>
        </w:tc>
        <w:tc>
          <w:tcPr>
            <w:tcW w:w="5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44,877,888</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2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(11,236,803)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11,236,803</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Options exercised</w:t>
            </w:r>
          </w:p>
        </w:tc>
        <w:tc>
          <w:tcPr>
            <w:tcW w:w="13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(14,882,622)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0.52</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2,367,012</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(2,367,012)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tcPr>
          <w:p>
            <w:pPr>
              <w:spacing w:after="0"/>
              <w:rPr>
                <w:sz w:val="20"/>
                <w:szCs w:val="20"/>
                <w:color w:val="auto"/>
              </w:rPr>
            </w:pPr>
            <w:r>
              <w:rPr>
                <w:rFonts w:ascii="Arial" w:cs="Arial" w:eastAsia="Arial" w:hAnsi="Arial"/>
                <w:sz w:val="18"/>
                <w:szCs w:val="18"/>
                <w:color w:val="auto"/>
              </w:rPr>
              <w:t>Balance—December 31, 2018</w:t>
            </w:r>
          </w:p>
        </w:tc>
        <w:tc>
          <w:tcPr>
            <w:tcW w:w="1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69,225</w:t>
            </w:r>
          </w:p>
        </w:tc>
        <w:tc>
          <w:tcPr>
            <w:tcW w:w="5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38,865,057</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Increase in option pool (unaudited)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Options granted (unaudited)</w:t>
            </w:r>
          </w:p>
        </w:tc>
        <w:tc>
          <w:tcPr>
            <w:tcW w:w="2860" w:type="dxa"/>
            <w:vAlign w:val="bottom"/>
            <w:gridSpan w:val="3"/>
          </w:tcPr>
          <w:p>
            <w:pPr>
              <w:jc w:val="right"/>
              <w:ind w:right="460"/>
              <w:spacing w:after="0"/>
              <w:rPr>
                <w:sz w:val="20"/>
                <w:szCs w:val="20"/>
                <w:color w:val="auto"/>
              </w:rPr>
            </w:pPr>
            <w:r>
              <w:rPr>
                <w:rFonts w:ascii="Arial" w:cs="Arial" w:eastAsia="Arial" w:hAnsi="Arial"/>
                <w:sz w:val="18"/>
                <w:szCs w:val="18"/>
                <w:color w:val="auto"/>
              </w:rPr>
              <w:t>(4,261,980)</w:t>
            </w:r>
          </w:p>
        </w:tc>
        <w:tc>
          <w:tcPr>
            <w:tcW w:w="920" w:type="dxa"/>
            <w:vAlign w:val="bottom"/>
          </w:tcPr>
          <w:p>
            <w:pPr>
              <w:jc w:val="right"/>
              <w:spacing w:after="0"/>
              <w:rPr>
                <w:sz w:val="20"/>
                <w:szCs w:val="20"/>
                <w:color w:val="auto"/>
              </w:rPr>
            </w:pPr>
            <w:r>
              <w:rPr>
                <w:rFonts w:ascii="Arial" w:cs="Arial" w:eastAsia="Arial" w:hAnsi="Arial"/>
                <w:sz w:val="18"/>
                <w:szCs w:val="18"/>
                <w:color w:val="auto"/>
              </w:rPr>
              <w:t>4,261,980</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6.30</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(unaudited)</w:t>
            </w:r>
          </w:p>
        </w:tc>
        <w:tc>
          <w:tcPr>
            <w:tcW w:w="1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(7,839,147)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Options forfeited (unaudited)</w:t>
            </w:r>
          </w:p>
        </w:tc>
        <w:tc>
          <w:tcPr>
            <w:tcW w:w="1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669,387</w:t>
            </w:r>
          </w:p>
        </w:tc>
        <w:tc>
          <w:tcPr>
            <w:tcW w:w="5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(669,387)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2019 (unaudited)</w:t>
            </w:r>
          </w:p>
        </w:tc>
        <w:tc>
          <w:tcPr>
            <w:tcW w:w="13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976,632</w:t>
            </w:r>
          </w:p>
        </w:tc>
        <w:tc>
          <w:tcPr>
            <w:tcW w:w="5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34,618,503</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Exercisable—June 30, 2019 (unaudited)</w:t>
            </w:r>
          </w:p>
        </w:tc>
        <w:tc>
          <w:tcPr>
            <w:tcW w:w="1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0.64</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18,028,107</w:t>
            </w:r>
          </w:p>
        </w:tc>
        <w:tc>
          <w:tcPr>
            <w:tcW w:w="28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60" w:right="100" w:firstLine="437"/>
        <w:spacing w:after="0" w:line="255" w:lineRule="auto"/>
        <w:rPr>
          <w:sz w:val="20"/>
          <w:szCs w:val="20"/>
          <w:color w:val="auto"/>
        </w:rPr>
      </w:pPr>
      <w:r>
        <w:rPr>
          <w:rFonts w:ascii="Arial" w:cs="Arial" w:eastAsia="Arial" w:hAnsi="Arial"/>
          <w:sz w:val="18"/>
          <w:szCs w:val="18"/>
          <w:color w:val="auto"/>
        </w:rPr>
        <w:t>The weighted average grant-date fair value of options granted during 2017 and 2018 was $0.40 and $2.48, respectively. The Company received approximately $0.5 million and $7.8 million in cash proceeds from options exercised during 2017 and 2018, respectively. The intrinsic value of options exercised in 2017 and 2018 was approximately $1.5 million and $36.4 million, respectively. The aggregate fair value of options vested during 2017 and 2018 was $4.2 million and $3.5 million, respectively.</w:t>
      </w:r>
    </w:p>
    <w:p>
      <w:pPr>
        <w:spacing w:after="0" w:line="191" w:lineRule="exact"/>
        <w:rPr>
          <w:sz w:val="20"/>
          <w:szCs w:val="20"/>
          <w:color w:val="auto"/>
        </w:rPr>
      </w:pPr>
    </w:p>
    <w:p>
      <w:pPr>
        <w:ind w:left="260" w:right="100" w:firstLine="437"/>
        <w:spacing w:after="0" w:line="252" w:lineRule="auto"/>
        <w:rPr>
          <w:sz w:val="20"/>
          <w:szCs w:val="20"/>
          <w:color w:val="auto"/>
        </w:rPr>
      </w:pPr>
      <w:r>
        <w:rPr>
          <w:rFonts w:ascii="Arial" w:cs="Arial" w:eastAsia="Arial" w:hAnsi="Arial"/>
          <w:sz w:val="18"/>
          <w:szCs w:val="18"/>
          <w:color w:val="auto"/>
        </w:rPr>
        <w:t>The weighted average grant-date fair value of options granted during the six months ended June 30, 2018 and June 30, 2019 was $1.77 (unaudited) and $4.03 (unaudited), respectively. The Company received approximately $4.1 million (unaudited) and $5.2 million (unaudited) in cash proceeds from options exercised during the six months ended June 30, 2018 and June 30, 2019, respectively. The intrinsic value of options exercised during the six months ended June 30, 2018 and June 30, 2019 was approximately $19.4 million (unaudited) and $53.8 million (unaudited), respectively. The aggregate fair value of options vested during the six months ended June 30, 2018 and 2019 was $2.0 million (unaudited) and $3.6 million (unaudited), respectively.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80"/>
          </w:cols>
          <w:pgMar w:left="240" w:top="456"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Stock-based compensation expense was included in the consolidated statement of operations and comprehensive loss as follows (in thousands):</w:t>
      </w: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r>
      <w:tr>
        <w:trPr>
          <w:trHeight w:val="170"/>
        </w:trPr>
        <w:tc>
          <w:tcPr>
            <w:tcW w:w="5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217"/>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1"/>
        </w:trPr>
        <w:tc>
          <w:tcPr>
            <w:tcW w:w="5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1"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1"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3"/>
              <w:spacing w:after="0" w:line="141" w:lineRule="exact"/>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2"/>
                <w:szCs w:val="12"/>
                <w:color w:val="auto"/>
              </w:rPr>
            </w:pPr>
          </w:p>
        </w:tc>
      </w:tr>
      <w:tr>
        <w:trPr>
          <w:trHeight w:val="141"/>
        </w:trPr>
        <w:tc>
          <w:tcPr>
            <w:tcW w:w="5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left="217"/>
              <w:spacing w:after="0" w:line="141" w:lineRule="exact"/>
              <w:rPr>
                <w:sz w:val="20"/>
                <w:szCs w:val="20"/>
                <w:color w:val="auto"/>
              </w:rPr>
            </w:pPr>
            <w:r>
              <w:rPr>
                <w:rFonts w:ascii="Arial" w:cs="Arial" w:eastAsia="Arial" w:hAnsi="Arial"/>
                <w:sz w:val="14"/>
                <w:szCs w:val="14"/>
                <w:b w:val="1"/>
                <w:bCs w:val="1"/>
                <w:color w:val="auto"/>
                <w:w w:val="91"/>
              </w:rPr>
              <w:t>(unaudited)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4"/>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r>
      <w:tr>
        <w:trPr>
          <w:trHeight w:val="214"/>
        </w:trPr>
        <w:tc>
          <w:tcPr>
            <w:tcW w:w="5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1,775</w:t>
            </w:r>
          </w:p>
        </w:tc>
        <w:tc>
          <w:tcPr>
            <w:tcW w:w="60" w:type="dxa"/>
            <w:vAlign w:val="bottom"/>
          </w:tcPr>
          <w:p>
            <w:pPr>
              <w:spacing w:after="0"/>
              <w:rPr>
                <w:sz w:val="18"/>
                <w:szCs w:val="18"/>
                <w:color w:val="auto"/>
              </w:rPr>
            </w:pPr>
          </w:p>
        </w:tc>
      </w:tr>
      <w:tr>
        <w:trPr>
          <w:trHeight w:val="214"/>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1,736</w:t>
            </w:r>
          </w:p>
        </w:tc>
        <w:tc>
          <w:tcPr>
            <w:tcW w:w="60" w:type="dxa"/>
            <w:vAlign w:val="bottom"/>
            <w:shd w:val="clear" w:color="auto" w:fill="CCEEFF"/>
          </w:tcPr>
          <w:p>
            <w:pPr>
              <w:spacing w:after="0"/>
              <w:rPr>
                <w:sz w:val="18"/>
                <w:szCs w:val="18"/>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1,617</w:t>
            </w:r>
          </w:p>
        </w:tc>
        <w:tc>
          <w:tcPr>
            <w:tcW w:w="60" w:type="dxa"/>
            <w:vAlign w:val="bottom"/>
          </w:tcPr>
          <w:p>
            <w:pPr>
              <w:spacing w:after="0"/>
              <w:rPr>
                <w:sz w:val="19"/>
                <w:szCs w:val="19"/>
                <w:color w:val="auto"/>
              </w:rPr>
            </w:pPr>
          </w:p>
        </w:tc>
      </w:tr>
      <w:tr>
        <w:trPr>
          <w:trHeight w:val="214"/>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net of amounts capitalized</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5,339</w:t>
            </w:r>
          </w:p>
        </w:tc>
        <w:tc>
          <w:tcPr>
            <w:tcW w:w="60" w:type="dxa"/>
            <w:vAlign w:val="bottom"/>
            <w:shd w:val="clear" w:color="auto" w:fill="CCEEFF"/>
          </w:tcPr>
          <w:p>
            <w:pPr>
              <w:spacing w:after="0"/>
              <w:rPr>
                <w:sz w:val="18"/>
                <w:szCs w:val="18"/>
                <w:color w:val="auto"/>
              </w:rPr>
            </w:pPr>
          </w:p>
        </w:tc>
      </w:tr>
      <w:tr>
        <w:trPr>
          <w:trHeight w:val="228"/>
        </w:trPr>
        <w:tc>
          <w:tcPr>
            <w:tcW w:w="5820" w:type="dxa"/>
            <w:vAlign w:val="bottom"/>
          </w:tcPr>
          <w:p>
            <w:pPr>
              <w:spacing w:after="0"/>
              <w:rPr>
                <w:sz w:val="20"/>
                <w:szCs w:val="20"/>
                <w:color w:val="auto"/>
              </w:rPr>
            </w:pPr>
            <w:r>
              <w:rPr>
                <w:rFonts w:ascii="Arial" w:cs="Arial" w:eastAsia="Arial" w:hAnsi="Arial"/>
                <w:sz w:val="18"/>
                <w:szCs w:val="18"/>
                <w:color w:val="auto"/>
              </w:rPr>
              <w:t>Capitalized stock-based compensation expense</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214"/>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5,462</w:t>
            </w:r>
          </w:p>
        </w:tc>
        <w:tc>
          <w:tcPr>
            <w:tcW w:w="60" w:type="dxa"/>
            <w:vAlign w:val="bottom"/>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260" w:right="440" w:firstLine="437"/>
        <w:spacing w:after="0" w:line="307" w:lineRule="auto"/>
        <w:rPr>
          <w:sz w:val="20"/>
          <w:szCs w:val="20"/>
          <w:color w:val="auto"/>
        </w:rPr>
      </w:pPr>
      <w:r>
        <w:rPr>
          <w:rFonts w:ascii="Arial" w:cs="Arial" w:eastAsia="Arial" w:hAnsi="Arial"/>
          <w:sz w:val="16"/>
          <w:szCs w:val="16"/>
          <w:color w:val="auto"/>
        </w:rPr>
        <w:t>Total compensation cost related to unvested awards not yet recognized was approximately $28.4 million and $39.0 million (unaudited) as of December 31, 2018 and June 30, 2019, respectively. The weighted average period over which this compensation cost related to unvested employee awards will be recognized is 3.4 years and 3.3 years (unaudited) as of December 31, 2018 and June 30, 2019, respectively.</w:t>
      </w:r>
    </w:p>
    <w:p>
      <w:pPr>
        <w:spacing w:after="0" w:line="150" w:lineRule="exact"/>
        <w:rPr>
          <w:sz w:val="20"/>
          <w:szCs w:val="20"/>
          <w:color w:val="auto"/>
        </w:rPr>
      </w:pPr>
    </w:p>
    <w:p>
      <w:pPr>
        <w:ind w:left="260" w:right="20" w:firstLine="437"/>
        <w:spacing w:after="0" w:line="269" w:lineRule="auto"/>
        <w:rPr>
          <w:sz w:val="20"/>
          <w:szCs w:val="20"/>
          <w:color w:val="auto"/>
        </w:rPr>
      </w:pPr>
      <w:r>
        <w:rPr>
          <w:rFonts w:ascii="Arial" w:cs="Arial" w:eastAsia="Arial" w:hAnsi="Arial"/>
          <w:sz w:val="17"/>
          <w:szCs w:val="17"/>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262,788 shares of common stock, 2,095,656 shares of common stock and 2,362,500 shares of common stock as of December 31, 2017 and 2018 and June 30, 2019 (unaudited), respectively.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11. Income Taxes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 the years ended December 31, 2017 and 2018</w:t>
      </w: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For financial reporting purposes, income/(loss) before income taxes, includes the following components (in thousands):</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1"/>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60" w:type="dxa"/>
            <w:vAlign w:val="bottom"/>
            <w:tcBorders>
              <w:top w:val="single" w:sz="8" w:color="auto"/>
            </w:tcBorders>
          </w:tcPr>
          <w:p>
            <w:pPr>
              <w:jc w:val="right"/>
              <w:ind w:right="60"/>
              <w:spacing w:after="0" w:line="141"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1"/>
              <w:spacing w:after="0" w:line="141"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5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$(2,498)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(11,273)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57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6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(2,113)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(10,240)</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80" w:type="dxa"/>
            <w:vAlign w:val="bottom"/>
            <w:gridSpan w:val="3"/>
          </w:tcPr>
          <w:p>
            <w:pPr>
              <w:jc w:val="right"/>
              <w:ind w:right="4400"/>
              <w:spacing w:after="0"/>
              <w:rPr>
                <w:sz w:val="20"/>
                <w:szCs w:val="20"/>
                <w:color w:val="auto"/>
              </w:rPr>
            </w:pPr>
            <w:r>
              <w:rPr>
                <w:rFonts w:ascii="Arial" w:cs="Arial" w:eastAsia="Arial" w:hAnsi="Arial"/>
                <w:sz w:val="18"/>
                <w:szCs w:val="18"/>
                <w:color w:val="auto"/>
              </w:rPr>
              <w:t>F-30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80"/>
          </w:cols>
          <w:pgMar w:left="240" w:top="456"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income taxes allocated to operations for the years ended December 31, 2017 and 2018 were as follows (in thousands):</w:t>
      </w:r>
    </w:p>
    <w:p>
      <w:pPr>
        <w:spacing w:after="0" w:line="240"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2017</w:t>
            </w:r>
          </w:p>
        </w:tc>
        <w:tc>
          <w:tcPr>
            <w:tcW w:w="42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4"/>
          </w:tcPr>
          <w:p>
            <w:pPr>
              <w:spacing w:after="0"/>
              <w:rPr>
                <w:sz w:val="20"/>
                <w:szCs w:val="20"/>
                <w:color w:val="auto"/>
              </w:rPr>
            </w:pPr>
            <w:r>
              <w:rPr>
                <w:rFonts w:ascii="Arial" w:cs="Arial" w:eastAsia="Arial" w:hAnsi="Arial"/>
                <w:sz w:val="14"/>
                <w:szCs w:val="14"/>
                <w:b w:val="1"/>
                <w:bCs w:val="1"/>
                <w:color w:val="auto"/>
                <w:w w:val="94"/>
              </w:rPr>
              <w:t>Current</w:t>
            </w:r>
          </w:p>
        </w:tc>
        <w:tc>
          <w:tcPr>
            <w:tcW w:w="400" w:type="dxa"/>
            <w:vAlign w:val="bottom"/>
          </w:tcPr>
          <w:p>
            <w:pPr>
              <w:spacing w:after="0"/>
              <w:rPr>
                <w:sz w:val="16"/>
                <w:szCs w:val="16"/>
                <w:color w:val="auto"/>
              </w:rPr>
            </w:pPr>
          </w:p>
        </w:tc>
        <w:tc>
          <w:tcPr>
            <w:tcW w:w="840" w:type="dxa"/>
            <w:vAlign w:val="bottom"/>
            <w:gridSpan w:val="5"/>
          </w:tcPr>
          <w:p>
            <w:pPr>
              <w:ind w:left="80"/>
              <w:spacing w:after="0"/>
              <w:rPr>
                <w:sz w:val="20"/>
                <w:szCs w:val="20"/>
                <w:color w:val="auto"/>
              </w:rPr>
            </w:pPr>
            <w:r>
              <w:rPr>
                <w:rFonts w:ascii="Arial" w:cs="Arial" w:eastAsia="Arial" w:hAnsi="Arial"/>
                <w:sz w:val="14"/>
                <w:szCs w:val="14"/>
                <w:b w:val="1"/>
                <w:bCs w:val="1"/>
                <w:color w:val="auto"/>
              </w:rPr>
              <w:t>Deferred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52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Federal</w:t>
            </w:r>
          </w:p>
        </w:tc>
        <w:tc>
          <w:tcPr>
            <w:tcW w:w="3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41</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6"/>
              </w:rPr>
              <w:t>$ 41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20" w:type="dxa"/>
            <w:vAlign w:val="bottom"/>
            <w:gridSpan w:val="2"/>
          </w:tcPr>
          <w:p>
            <w:pPr>
              <w:spacing w:after="0"/>
              <w:rPr>
                <w:sz w:val="20"/>
                <w:szCs w:val="20"/>
                <w:color w:val="auto"/>
              </w:rPr>
            </w:pPr>
            <w:r>
              <w:rPr>
                <w:rFonts w:ascii="Arial" w:cs="Arial" w:eastAsia="Arial" w:hAnsi="Arial"/>
                <w:sz w:val="18"/>
                <w:szCs w:val="18"/>
                <w:color w:val="auto"/>
              </w:rPr>
              <w:t>State</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42"/>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(121)</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2018</w:t>
            </w:r>
          </w:p>
        </w:tc>
        <w:tc>
          <w:tcPr>
            <w:tcW w:w="4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00" w:type="dxa"/>
            <w:vAlign w:val="bottom"/>
            <w:tcBorders>
              <w:bottom w:val="single" w:sz="8" w:color="auto"/>
            </w:tcBorders>
            <w:vMerge w:val="continue"/>
          </w:tcPr>
          <w:p>
            <w:pPr>
              <w:spacing w:after="0"/>
              <w:rPr>
                <w:sz w:val="24"/>
                <w:szCs w:val="24"/>
                <w:color w:val="auto"/>
              </w:rPr>
            </w:pPr>
          </w:p>
        </w:tc>
        <w:tc>
          <w:tcPr>
            <w:tcW w:w="4220" w:type="dxa"/>
            <w:vAlign w:val="bottom"/>
          </w:tcPr>
          <w:p>
            <w:pPr>
              <w:spacing w:after="0"/>
              <w:rPr>
                <w:sz w:val="24"/>
                <w:szCs w:val="24"/>
                <w:color w:val="auto"/>
              </w:rPr>
            </w:pPr>
          </w:p>
        </w:tc>
        <w:tc>
          <w:tcPr>
            <w:tcW w:w="4440" w:type="dxa"/>
            <w:vAlign w:val="bottom"/>
            <w:gridSpan w:val="6"/>
          </w:tcPr>
          <w:p>
            <w:pPr>
              <w:ind w:left="3840"/>
              <w:spacing w:after="0"/>
              <w:rPr>
                <w:sz w:val="20"/>
                <w:szCs w:val="20"/>
                <w:color w:val="auto"/>
              </w:rPr>
            </w:pPr>
            <w:r>
              <w:rPr>
                <w:rFonts w:ascii="Arial" w:cs="Arial" w:eastAsia="Arial" w:hAnsi="Arial"/>
                <w:sz w:val="14"/>
                <w:szCs w:val="14"/>
                <w:b w:val="1"/>
                <w:bCs w:val="1"/>
                <w:color w:val="auto"/>
              </w:rPr>
              <w:t>Current</w:t>
            </w:r>
          </w:p>
        </w:tc>
        <w:tc>
          <w:tcPr>
            <w:tcW w:w="1240" w:type="dxa"/>
            <w:vAlign w:val="bottom"/>
            <w:gridSpan w:val="6"/>
          </w:tcPr>
          <w:p>
            <w:pPr>
              <w:jc w:val="right"/>
              <w:ind w:right="222"/>
              <w:spacing w:after="0"/>
              <w:rPr>
                <w:sz w:val="20"/>
                <w:szCs w:val="20"/>
                <w:color w:val="auto"/>
              </w:rPr>
            </w:pPr>
            <w:r>
              <w:rPr>
                <w:rFonts w:ascii="Arial" w:cs="Arial" w:eastAsia="Arial" w:hAnsi="Arial"/>
                <w:sz w:val="14"/>
                <w:szCs w:val="14"/>
                <w:b w:val="1"/>
                <w:bCs w:val="1"/>
                <w:color w:val="auto"/>
              </w:rPr>
              <w:t>Deferred</w:t>
            </w:r>
          </w:p>
        </w:tc>
        <w:tc>
          <w:tcPr>
            <w:tcW w:w="180" w:type="dxa"/>
            <w:vAlign w:val="bottom"/>
          </w:tcPr>
          <w:p>
            <w:pPr>
              <w:spacing w:after="0"/>
              <w:rPr>
                <w:sz w:val="24"/>
                <w:szCs w:val="24"/>
                <w:color w:val="auto"/>
              </w:rPr>
            </w:pPr>
          </w:p>
        </w:tc>
        <w:tc>
          <w:tcPr>
            <w:tcW w:w="54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52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Federal</w:t>
            </w:r>
          </w:p>
        </w:tc>
        <w:tc>
          <w:tcPr>
            <w:tcW w:w="3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20" w:type="dxa"/>
            <w:vAlign w:val="bottom"/>
            <w:gridSpan w:val="2"/>
          </w:tcPr>
          <w:p>
            <w:pPr>
              <w:spacing w:after="0"/>
              <w:rPr>
                <w:sz w:val="20"/>
                <w:szCs w:val="20"/>
                <w:color w:val="auto"/>
              </w:rPr>
            </w:pPr>
            <w:r>
              <w:rPr>
                <w:rFonts w:ascii="Arial" w:cs="Arial" w:eastAsia="Arial" w:hAnsi="Arial"/>
                <w:sz w:val="18"/>
                <w:szCs w:val="18"/>
                <w:color w:val="auto"/>
              </w:rPr>
              <w:t>State</w:t>
            </w:r>
          </w:p>
        </w:tc>
        <w:tc>
          <w:tcPr>
            <w:tcW w:w="4440" w:type="dxa"/>
            <w:vAlign w:val="bottom"/>
            <w:gridSpan w:val="6"/>
          </w:tcPr>
          <w:p>
            <w:pPr>
              <w:jc w:val="right"/>
              <w:ind w:right="40"/>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222"/>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432</w:t>
            </w:r>
          </w:p>
        </w:tc>
        <w:tc>
          <w:tcPr>
            <w:tcW w:w="100" w:type="dxa"/>
            <w:vAlign w:val="bottom"/>
          </w:tcPr>
          <w:p>
            <w:pPr>
              <w:spacing w:after="0"/>
              <w:rPr>
                <w:sz w:val="19"/>
                <w:szCs w:val="19"/>
                <w:color w:val="auto"/>
              </w:rPr>
            </w:pPr>
          </w:p>
        </w:tc>
        <w:tc>
          <w:tcPr>
            <w:tcW w:w="62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260" w:right="60" w:firstLine="437"/>
        <w:spacing w:after="0" w:line="262" w:lineRule="auto"/>
        <w:rPr>
          <w:sz w:val="20"/>
          <w:szCs w:val="20"/>
          <w:color w:val="auto"/>
        </w:rPr>
      </w:pPr>
      <w:r>
        <w:rPr>
          <w:rFonts w:ascii="Arial" w:cs="Arial" w:eastAsia="Arial" w:hAnsi="Arial"/>
          <w:sz w:val="18"/>
          <w:szCs w:val="18"/>
          <w:b w:val="1"/>
          <w:bCs w:val="1"/>
          <w:color w:val="auto"/>
        </w:rPr>
        <w:t>Tax Rate Reconciliation</w:t>
      </w:r>
      <w:r>
        <w:rPr>
          <w:rFonts w:ascii="Arial" w:cs="Arial" w:eastAsia="Arial" w:hAnsi="Arial"/>
          <w:sz w:val="18"/>
          <w:szCs w:val="18"/>
          <w:color w:val="auto"/>
        </w:rPr>
        <w:t>—Income tax expense was $0.5 million and $0.5 million for the years ended December 31, 2017 and 2018,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and differed from the amounts computed by applying the U.S. federal statutory income tax rate of 34% and 21% for the years ended December 31, 2017 and 2018, respectively, to pretax loss from operations as a result of the following (in thousands):</w:t>
      </w: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federal statutory rate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Nondeductible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Impacts of United States tax reform—rate change and mandatory repatriation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Uncertain tax positions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taxes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Act”). The Tax Act makes broad and complex changes to the U.S. tax code that affected the Company’s financial results for the year ended</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December 31, 2017, including, but not limited to: (1) requiring a one-time transition tax (payable over eight years) on certain un-repatriated earnings of</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foreign subsidiaries; (2) a future reduction of the U.S. federal corporate tax rate from 34% to 21% effective January 1, 2018, that reduced the current</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value of the Company’s deferred tax assets and liabilities; and (3) bonus depreciation that allows for full expensing of qualified property placed in</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service after September 27, 2017. In addition, the Tax Act establishes new tax laws that may affect the Company’s financial results for the years ending</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after December 31, 2017, including, but not limited to: (1) a reduction of the U.S. federal income tax rate from 34% to 21%; (2) limitation of the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deduction for interest expense; (3) a general elimination of U.S. federal income taxes on dividends from foreign subsidiaries; (4) a new provision</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designed to tax global intangible low-taxed income; (5) limitations on the deductibility of certain executive compensation; and (6) limitations on the use</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of Foreign Income Tax Credit to reduce the Company’s income tax liability.</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80"/>
          </w:cols>
          <w:pgMar w:left="240" w:top="456"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20" w:firstLine="437"/>
        <w:spacing w:after="0" w:line="290" w:lineRule="auto"/>
        <w:rPr>
          <w:sz w:val="20"/>
          <w:szCs w:val="20"/>
          <w:color w:val="auto"/>
        </w:rPr>
      </w:pPr>
      <w:r>
        <w:rPr>
          <w:rFonts w:ascii="Arial" w:cs="Arial" w:eastAsia="Arial" w:hAnsi="Arial"/>
          <w:sz w:val="16"/>
          <w:szCs w:val="16"/>
          <w:color w:val="auto"/>
        </w:rPr>
        <w:t>Pursuant to the Staff Accounting Bulletin published by the SEC on December 22, 2017, addressing the challenges in accounting for the effects of the Tax Act in the period of enactment, companies reported provisional amounts for those specific income tax effects of the Tax Act for which the accounting was incomplete but a reasonable estimate could be determined. Those provisional amounts were subject to adjustment during a measurement period of up to one year from the enactment date (a “measurement-period adjustment”). Pursuant to this guidance, the estimated impact of the Tax Act was based on a preliminary review of the new tax law and projected future financial results and was subject to revision based upon further analysis and interpretation of the Tax Act and to the extent that actual results differed from projections available at that time.</w:t>
      </w:r>
    </w:p>
    <w:p>
      <w:pPr>
        <w:spacing w:after="0" w:line="165" w:lineRule="exact"/>
        <w:rPr>
          <w:sz w:val="20"/>
          <w:szCs w:val="20"/>
          <w:color w:val="auto"/>
        </w:rPr>
      </w:pPr>
    </w:p>
    <w:p>
      <w:pPr>
        <w:ind w:left="260" w:right="180" w:firstLine="437"/>
        <w:spacing w:after="0" w:line="271" w:lineRule="auto"/>
        <w:rPr>
          <w:sz w:val="20"/>
          <w:szCs w:val="20"/>
          <w:color w:val="auto"/>
        </w:rPr>
      </w:pPr>
      <w:r>
        <w:rPr>
          <w:rFonts w:ascii="Arial" w:cs="Arial" w:eastAsia="Arial" w:hAnsi="Arial"/>
          <w:sz w:val="18"/>
          <w:szCs w:val="18"/>
          <w:color w:val="auto"/>
        </w:rPr>
        <w:t>In 2018, the Company completed its accounting with respect to the Tax Act and did not make any measurement-period adjustments to the initial tax expense of $4.0 million recorded in 2017. The accounting is summarized below:</w:t>
      </w:r>
    </w:p>
    <w:p>
      <w:pPr>
        <w:spacing w:after="0" w:line="81" w:lineRule="exact"/>
        <w:rPr>
          <w:sz w:val="20"/>
          <w:szCs w:val="20"/>
          <w:color w:val="auto"/>
        </w:rPr>
      </w:pPr>
    </w:p>
    <w:p>
      <w:pPr>
        <w:ind w:left="1220" w:right="200" w:hanging="537"/>
        <w:spacing w:after="0" w:line="252" w:lineRule="auto"/>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Reduction of U.S. Federal Corporate Tax Rate: The Tax Act reduced the corporate tax rate to 21%, effective January 1, 2018. Consequently, the Company recorded a decrease related to deferred tax assets and liabilities with a corresponding net adjustment to deferred income tax expense for the year ended December 31, 2017 of $4.0 million. In addition, the valuation allowance was reduced by $4.0 million, as the Company is in a full valuation allowance position for the U.S. Deferred Tax Asset position. The Company did not make any measurement-period adjustments related to this item in 2018. The Company’s accounting for this element of the Tax Act is complete.</w:t>
      </w:r>
    </w:p>
    <w:p>
      <w:pPr>
        <w:spacing w:after="0" w:line="100" w:lineRule="exact"/>
        <w:rPr>
          <w:rFonts w:ascii="Arial" w:cs="Arial" w:eastAsia="Arial" w:hAnsi="Arial"/>
          <w:sz w:val="18"/>
          <w:szCs w:val="18"/>
          <w:color w:val="auto"/>
        </w:rPr>
      </w:pPr>
    </w:p>
    <w:p>
      <w:pPr>
        <w:ind w:left="1220" w:right="80" w:hanging="537"/>
        <w:spacing w:after="0" w:line="293" w:lineRule="auto"/>
        <w:tabs>
          <w:tab w:leader="none" w:pos="12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One-Time Mandatory Deemed Repatriation Tax: The one-time mandatory deemed repatriation tax is imposed on previously untaxed accumulated and current earnings and profits of the Company’s foreign subsidiaries. The Company was able to reasonably estimate the one-time mandatory deemed repatriation tax and recorded an initial provisional tax obligation, with a corresponding adjustment to income tax expense for the year ended December 31, 2017, which did not have a material impact. The Company did not make any measurement-period adjustments related to this item in 2018. The Company’s accounting for this element of the Tax Act is complete.</w:t>
      </w:r>
    </w:p>
    <w:p>
      <w:pPr>
        <w:spacing w:after="0" w:line="67" w:lineRule="exact"/>
        <w:rPr>
          <w:rFonts w:ascii="Arial" w:cs="Arial" w:eastAsia="Arial" w:hAnsi="Arial"/>
          <w:sz w:val="16"/>
          <w:szCs w:val="16"/>
          <w:color w:val="auto"/>
        </w:rPr>
      </w:pPr>
    </w:p>
    <w:p>
      <w:pPr>
        <w:ind w:left="1220" w:right="180" w:hanging="537"/>
        <w:spacing w:after="0" w:line="255" w:lineRule="auto"/>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Valuation Allowances: The Company must assess whether its valuation allowance analyses are affected by the various aspects of the Tax Act. During 2017, the Company released $4.0 million of valuation allowance corresponding with the reduction of the associated U.S. deferred tax assets. The Company did not make any measurement-period adjustments related to this item in 2018. The Company’s accounting for this element of the Tax Act is complete.</w:t>
      </w:r>
    </w:p>
    <w:p>
      <w:pPr>
        <w:spacing w:after="0" w:line="97" w:lineRule="exact"/>
        <w:rPr>
          <w:rFonts w:ascii="Arial" w:cs="Arial" w:eastAsia="Arial" w:hAnsi="Arial"/>
          <w:sz w:val="18"/>
          <w:szCs w:val="18"/>
          <w:color w:val="auto"/>
        </w:rPr>
      </w:pPr>
    </w:p>
    <w:p>
      <w:pPr>
        <w:ind w:left="1220" w:hanging="537"/>
        <w:spacing w:after="0" w:line="259" w:lineRule="auto"/>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Global Intangible Low-Taxed Income (GILTI) Policy Election: The FASB allows companies to adopt an accounting policy to either recognize deferred tax for GILTI or treat such tax cost as a current period expense when incurred. The Company has adopted an accounting policy to treat taxes due on GILTI as a current period expense.</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60"/>
          </w:cols>
          <w:pgMar w:left="24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Components of Deferred Taxes</w:t>
      </w:r>
      <w:r>
        <w:rPr>
          <w:rFonts w:ascii="Arial" w:cs="Arial" w:eastAsia="Arial" w:hAnsi="Arial"/>
          <w:sz w:val="16"/>
          <w:szCs w:val="16"/>
          <w:color w:val="auto"/>
        </w:rPr>
        <w:t>—The tax effects of temporary differences that give rise to the deferred tax assets and deferred tax liabilities at</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December 31, 2017 and 2018 are presented below (in thousands):</w:t>
      </w:r>
    </w:p>
    <w:p>
      <w:pPr>
        <w:spacing w:after="0" w:line="2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rPr>
              <w:t>December 31,</w:t>
            </w:r>
          </w:p>
        </w:tc>
      </w:tr>
      <w:tr>
        <w:trPr>
          <w:trHeight w:val="141"/>
        </w:trPr>
        <w:tc>
          <w:tcPr>
            <w:tcW w:w="626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4"/>
        </w:trPr>
        <w:tc>
          <w:tcPr>
            <w:tcW w:w="6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Deferred tax assets:</w:t>
            </w:r>
          </w:p>
        </w:tc>
        <w:tc>
          <w:tcPr>
            <w:tcW w:w="3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6260" w:type="dxa"/>
            <w:vAlign w:val="bottom"/>
          </w:tcPr>
          <w:p>
            <w:pPr>
              <w:ind w:left="360"/>
              <w:spacing w:after="0"/>
              <w:rPr>
                <w:sz w:val="20"/>
                <w:szCs w:val="20"/>
                <w:color w:val="auto"/>
              </w:rPr>
            </w:pPr>
            <w:r>
              <w:rPr>
                <w:rFonts w:ascii="Arial" w:cs="Arial" w:eastAsia="Arial" w:hAnsi="Arial"/>
                <w:sz w:val="18"/>
                <w:szCs w:val="18"/>
                <w:color w:val="auto"/>
              </w:rPr>
              <w:t>Net operating losses (Federal and State)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6,328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18"/>
                <w:szCs w:val="18"/>
                <w:color w:val="auto"/>
              </w:rPr>
            </w:pPr>
          </w:p>
        </w:tc>
      </w:tr>
      <w:tr>
        <w:trPr>
          <w:trHeight w:val="21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8"/>
                <w:szCs w:val="18"/>
                <w:color w:val="auto"/>
              </w:rPr>
            </w:pPr>
          </w:p>
        </w:tc>
      </w:tr>
      <w:tr>
        <w:trPr>
          <w:trHeight w:val="214"/>
        </w:trPr>
        <w:tc>
          <w:tcPr>
            <w:tcW w:w="6260" w:type="dxa"/>
            <w:vAlign w:val="bottom"/>
          </w:tcPr>
          <w:p>
            <w:pPr>
              <w:ind w:left="360"/>
              <w:spacing w:after="0"/>
              <w:rPr>
                <w:sz w:val="20"/>
                <w:szCs w:val="20"/>
                <w:color w:val="auto"/>
              </w:rPr>
            </w:pPr>
            <w:r>
              <w:rPr>
                <w:rFonts w:ascii="Arial" w:cs="Arial" w:eastAsia="Arial" w:hAnsi="Arial"/>
                <w:sz w:val="18"/>
                <w:szCs w:val="18"/>
                <w:color w:val="auto"/>
              </w:rPr>
              <w:t>Bad debt reserve</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1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14"/>
        </w:trPr>
        <w:tc>
          <w:tcPr>
            <w:tcW w:w="626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r>
      <w:tr>
        <w:trPr>
          <w:trHeight w:val="21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r>
      <w:tr>
        <w:trPr>
          <w:trHeight w:val="214"/>
        </w:trPr>
        <w:tc>
          <w:tcPr>
            <w:tcW w:w="6260" w:type="dxa"/>
            <w:vAlign w:val="bottom"/>
          </w:tcPr>
          <w:p>
            <w:pPr>
              <w:ind w:left="360"/>
              <w:spacing w:after="0"/>
              <w:rPr>
                <w:sz w:val="20"/>
                <w:szCs w:val="20"/>
                <w:color w:val="auto"/>
              </w:rPr>
            </w:pPr>
            <w:r>
              <w:rPr>
                <w:rFonts w:ascii="Arial" w:cs="Arial" w:eastAsia="Arial" w:hAnsi="Arial"/>
                <w:sz w:val="18"/>
                <w:szCs w:val="18"/>
                <w:color w:val="auto"/>
              </w:rPr>
              <w:t>Federal withholding tax reserve</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8"/>
                <w:szCs w:val="18"/>
                <w:color w:val="auto"/>
              </w:rPr>
            </w:pPr>
          </w:p>
        </w:tc>
      </w:tr>
      <w:tr>
        <w:trPr>
          <w:trHeight w:val="21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Internal use software</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r>
      <w:tr>
        <w:trPr>
          <w:trHeight w:val="214"/>
        </w:trPr>
        <w:tc>
          <w:tcPr>
            <w:tcW w:w="6260" w:type="dxa"/>
            <w:vAlign w:val="bottom"/>
          </w:tcPr>
          <w:p>
            <w:pPr>
              <w:ind w:left="360"/>
              <w:spacing w:after="0"/>
              <w:rPr>
                <w:sz w:val="20"/>
                <w:szCs w:val="20"/>
                <w:color w:val="auto"/>
              </w:rPr>
            </w:pPr>
            <w:r>
              <w:rPr>
                <w:rFonts w:ascii="Arial" w:cs="Arial" w:eastAsia="Arial" w:hAnsi="Arial"/>
                <w:sz w:val="18"/>
                <w:szCs w:val="18"/>
                <w:color w:val="auto"/>
              </w:rPr>
              <w:t>Rent expense</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r>
      <w:tr>
        <w:trPr>
          <w:trHeight w:val="21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foreign exchange</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21"/>
        </w:trPr>
        <w:tc>
          <w:tcPr>
            <w:tcW w:w="62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30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10,426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13,482</w:t>
            </w:r>
          </w:p>
        </w:tc>
        <w:tc>
          <w:tcPr>
            <w:tcW w:w="100" w:type="dxa"/>
            <w:vAlign w:val="bottom"/>
          </w:tcPr>
          <w:p>
            <w:pPr>
              <w:spacing w:after="0"/>
              <w:rPr>
                <w:sz w:val="19"/>
                <w:szCs w:val="19"/>
                <w:color w:val="auto"/>
              </w:rPr>
            </w:pPr>
          </w:p>
        </w:tc>
      </w:tr>
      <w:tr>
        <w:trPr>
          <w:trHeight w:val="21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94"/>
              </w:rPr>
              <w:t>(8,586)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1"/>
              </w:rPr>
              <w:t>(9,730)</w:t>
            </w:r>
          </w:p>
        </w:tc>
      </w:tr>
      <w:tr>
        <w:trPr>
          <w:trHeight w:val="221"/>
        </w:trPr>
        <w:tc>
          <w:tcPr>
            <w:tcW w:w="62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0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626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2"/>
              <w:spacing w:after="0"/>
              <w:rPr>
                <w:sz w:val="20"/>
                <w:szCs w:val="20"/>
                <w:color w:val="auto"/>
              </w:rPr>
            </w:pPr>
            <w:r>
              <w:rPr>
                <w:rFonts w:ascii="Arial" w:cs="Arial" w:eastAsia="Arial" w:hAnsi="Arial"/>
                <w:sz w:val="18"/>
                <w:szCs w:val="18"/>
                <w:color w:val="auto"/>
              </w:rPr>
              <w:t>(381)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1"/>
              <w:spacing w:after="0"/>
              <w:rPr>
                <w:sz w:val="20"/>
                <w:szCs w:val="20"/>
                <w:color w:val="auto"/>
              </w:rPr>
            </w:pPr>
            <w:r>
              <w:rPr>
                <w:rFonts w:ascii="Arial" w:cs="Arial" w:eastAsia="Arial" w:hAnsi="Arial"/>
                <w:sz w:val="18"/>
                <w:szCs w:val="18"/>
                <w:color w:val="auto"/>
              </w:rPr>
              <w:t>(737)</w:t>
            </w:r>
          </w:p>
        </w:tc>
      </w:tr>
      <w:tr>
        <w:trPr>
          <w:trHeight w:val="21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Commissions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94"/>
              </w:rPr>
              <w:t>(1,210)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1"/>
              </w:rPr>
              <w:t>(2,796)</w:t>
            </w:r>
          </w:p>
        </w:tc>
      </w:tr>
      <w:tr>
        <w:trPr>
          <w:trHeight w:val="214"/>
        </w:trPr>
        <w:tc>
          <w:tcPr>
            <w:tcW w:w="6260" w:type="dxa"/>
            <w:vAlign w:val="bottom"/>
          </w:tcPr>
          <w:p>
            <w:pPr>
              <w:ind w:left="360"/>
              <w:spacing w:after="0"/>
              <w:rPr>
                <w:sz w:val="20"/>
                <w:szCs w:val="20"/>
                <w:color w:val="auto"/>
              </w:rPr>
            </w:pPr>
            <w:r>
              <w:rPr>
                <w:rFonts w:ascii="Arial" w:cs="Arial" w:eastAsia="Arial" w:hAnsi="Arial"/>
                <w:sz w:val="18"/>
                <w:szCs w:val="18"/>
                <w:color w:val="auto"/>
              </w:rPr>
              <w:t>Unrealized foreign exchange</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Arial" w:cs="Arial" w:eastAsia="Arial" w:hAnsi="Arial"/>
                <w:sz w:val="18"/>
                <w:szCs w:val="18"/>
                <w:color w:val="auto"/>
              </w:rPr>
              <w:t>(95)</w:t>
            </w:r>
          </w:p>
        </w:tc>
      </w:tr>
      <w:tr>
        <w:trPr>
          <w:trHeight w:val="214"/>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 481(a) adjustment</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(124)</w:t>
            </w:r>
          </w:p>
        </w:tc>
      </w:tr>
      <w:tr>
        <w:trPr>
          <w:trHeight w:val="221"/>
        </w:trPr>
        <w:tc>
          <w:tcPr>
            <w:tcW w:w="626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30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(1,840</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(3,752</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6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assets/liabilities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0"/>
        </w:trPr>
        <w:tc>
          <w:tcPr>
            <w:tcW w:w="6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right="20" w:firstLine="437"/>
        <w:spacing w:after="0" w:line="283" w:lineRule="auto"/>
        <w:rPr>
          <w:sz w:val="20"/>
          <w:szCs w:val="20"/>
          <w:color w:val="auto"/>
        </w:rPr>
      </w:pPr>
      <w:r>
        <w:rPr>
          <w:rFonts w:ascii="Arial" w:cs="Arial" w:eastAsia="Arial" w:hAnsi="Arial"/>
          <w:sz w:val="16"/>
          <w:szCs w:val="16"/>
          <w:color w:val="auto"/>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are comprised primarily of federal and state net operating loss carryforwards and basis differences for financial reporting and tax purposes of certain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recorded cumulative losses in prior fiscal periods, management does not believe as of December 31, 2017 and 2018 that it is more likely than not that the Company will realize its deferred tax assets. As a result, a valuation allowance of $8.6 million and $9.7 million has been provided at December 31, 2017 and 2018, respectively. The valuation allowance changed by ($3.8 million) and $1.2 million at December 31, 2017 and 2018, respectively. At December 31, 2017 and 2018, the Company has net operating loss carryforwards for federal tax purposes of approximately $23.2 million and $28.0 million, respectively, which is available to offset federal taxable income. The federal net operating loss carryforwards generated at December 31, 2017 and prior will begin to expire in 2031, if not utilized. Net operating losses generated in the December 31, 2018 period have an indefinite carryforward period but are subject to an 80% of taxable income limitation. The Company has approximately $21.7 million and $24.2 million of post-apportioned net operating loss carryforwards as of December 31, 2017 and 2018, respectively for various state tax purposes. The state net operating loss carryforwards will begin to expire in 2029, if not utilized.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80"/>
          </w:cols>
          <w:pgMar w:left="240" w:top="456"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jc w:val="both"/>
        <w:ind w:left="260" w:right="300" w:firstLine="437"/>
        <w:spacing w:after="0" w:line="307" w:lineRule="auto"/>
        <w:rPr>
          <w:sz w:val="20"/>
          <w:szCs w:val="20"/>
          <w:color w:val="auto"/>
        </w:rPr>
      </w:pPr>
      <w:r>
        <w:rPr>
          <w:rFonts w:ascii="Arial" w:cs="Arial" w:eastAsia="Arial" w:hAnsi="Arial"/>
          <w:sz w:val="16"/>
          <w:szCs w:val="16"/>
          <w:color w:val="auto"/>
        </w:rPr>
        <w:t>Utilization of the net operating losses may be subject to an annual limitation provided for in the Internal Revenue Code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50" w:lineRule="exact"/>
        <w:rPr>
          <w:sz w:val="20"/>
          <w:szCs w:val="20"/>
          <w:color w:val="auto"/>
        </w:rPr>
      </w:pPr>
    </w:p>
    <w:p>
      <w:pPr>
        <w:ind w:left="260" w:right="20" w:firstLine="437"/>
        <w:spacing w:after="0" w:line="254" w:lineRule="auto"/>
        <w:rPr>
          <w:sz w:val="20"/>
          <w:szCs w:val="20"/>
          <w:color w:val="auto"/>
        </w:rPr>
      </w:pPr>
      <w:r>
        <w:rPr>
          <w:rFonts w:ascii="Arial" w:cs="Arial" w:eastAsia="Arial" w:hAnsi="Arial"/>
          <w:sz w:val="18"/>
          <w:szCs w:val="18"/>
          <w:color w:val="auto"/>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 amounts would become subject to U.S. taxation upon the remittance of dividends and under certain other circumstances. The Company has not provided U.S. taxes on unremitted earnings of its foreign subsidiaries as it asserts permanent reinvestment on any accumulated earnings and profits.</w:t>
      </w:r>
    </w:p>
    <w:p>
      <w:pPr>
        <w:spacing w:after="0" w:line="189" w:lineRule="exact"/>
        <w:rPr>
          <w:sz w:val="20"/>
          <w:szCs w:val="20"/>
          <w:color w:val="auto"/>
        </w:rPr>
      </w:pPr>
    </w:p>
    <w:p>
      <w:pPr>
        <w:ind w:left="260" w:right="200" w:firstLine="437"/>
        <w:spacing w:after="0" w:line="282" w:lineRule="auto"/>
        <w:rPr>
          <w:sz w:val="20"/>
          <w:szCs w:val="20"/>
          <w:color w:val="auto"/>
        </w:rPr>
      </w:pPr>
      <w:r>
        <w:rPr>
          <w:rFonts w:ascii="Arial" w:cs="Arial" w:eastAsia="Arial" w:hAnsi="Arial"/>
          <w:sz w:val="17"/>
          <w:szCs w:val="17"/>
          <w:color w:val="auto"/>
        </w:rPr>
        <w:t xml:space="preserve">Consistent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the changes in the gross amount of unrecognized tax benefits as of December 31, 2017 and 2018 (in thousands):</w:t>
      </w: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4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41"/>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w w:val="96"/>
              </w:rPr>
              <w:t>2017</w:t>
            </w:r>
          </w:p>
        </w:tc>
        <w:tc>
          <w:tcPr>
            <w:tcW w:w="6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$563</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Increases based on tax positions during the current period</w:t>
            </w:r>
          </w:p>
        </w:tc>
        <w:tc>
          <w:tcPr>
            <w:tcW w:w="2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563</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right="260" w:firstLine="437"/>
        <w:spacing w:after="0" w:line="271" w:lineRule="auto"/>
        <w:rPr>
          <w:sz w:val="20"/>
          <w:szCs w:val="20"/>
          <w:color w:val="auto"/>
        </w:rPr>
      </w:pPr>
      <w:r>
        <w:rPr>
          <w:rFonts w:ascii="Arial" w:cs="Arial" w:eastAsia="Arial" w:hAnsi="Arial"/>
          <w:sz w:val="18"/>
          <w:szCs w:val="18"/>
          <w:color w:val="auto"/>
        </w:rPr>
        <w:t>The total amount of unrecognized tax benefits that, if recognized would impact the effective tax rate would be $0.4 million and $0.8 million for the years ended December 31, 2017 and 2018, respectively.</w:t>
      </w:r>
    </w:p>
    <w:p>
      <w:pPr>
        <w:spacing w:after="0" w:line="175" w:lineRule="exact"/>
        <w:rPr>
          <w:sz w:val="20"/>
          <w:szCs w:val="20"/>
          <w:color w:val="auto"/>
        </w:rPr>
      </w:pPr>
    </w:p>
    <w:p>
      <w:pPr>
        <w:jc w:val="both"/>
        <w:ind w:left="260" w:right="180" w:firstLine="437"/>
        <w:spacing w:after="0" w:line="259" w:lineRule="auto"/>
        <w:rPr>
          <w:sz w:val="20"/>
          <w:szCs w:val="20"/>
          <w:color w:val="auto"/>
        </w:rPr>
      </w:pPr>
      <w:r>
        <w:rPr>
          <w:rFonts w:ascii="Arial" w:cs="Arial" w:eastAsia="Arial" w:hAnsi="Arial"/>
          <w:sz w:val="18"/>
          <w:szCs w:val="18"/>
          <w:color w:val="auto"/>
        </w:rPr>
        <w:t>The Company’s policy for classifying interest and penalties associated with unrecognized income tax benefits is to include such items in income tax expense. The total amount of interest and penalties associated with unrecognized income tax benefits is $0.2 million and $0.4 million for the years ended December 31, 2017 and 2018, respectively.</w:t>
      </w:r>
    </w:p>
    <w:p>
      <w:pPr>
        <w:spacing w:after="0" w:line="186" w:lineRule="exact"/>
        <w:rPr>
          <w:sz w:val="20"/>
          <w:szCs w:val="20"/>
          <w:color w:val="auto"/>
        </w:rPr>
      </w:pPr>
    </w:p>
    <w:p>
      <w:pPr>
        <w:ind w:left="260" w:right="140" w:firstLine="437"/>
        <w:spacing w:after="0" w:line="255" w:lineRule="auto"/>
        <w:rPr>
          <w:sz w:val="20"/>
          <w:szCs w:val="20"/>
          <w:color w:val="auto"/>
        </w:rPr>
      </w:pPr>
      <w:r>
        <w:rPr>
          <w:rFonts w:ascii="Arial" w:cs="Arial" w:eastAsia="Arial" w:hAnsi="Arial"/>
          <w:sz w:val="18"/>
          <w:szCs w:val="18"/>
          <w:color w:val="auto"/>
        </w:rPr>
        <w:t>Although it is reasonably possible that certain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we do not anticipated any significant changes to unrecognized tax benefits over the next 12 months.</w:t>
      </w:r>
    </w:p>
    <w:p>
      <w:pPr>
        <w:spacing w:after="0" w:line="191" w:lineRule="exact"/>
        <w:rPr>
          <w:sz w:val="20"/>
          <w:szCs w:val="20"/>
          <w:color w:val="auto"/>
        </w:rPr>
      </w:pPr>
    </w:p>
    <w:p>
      <w:pPr>
        <w:ind w:left="260" w:right="180" w:firstLine="437"/>
        <w:spacing w:after="0" w:line="307"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 various international jurisdictions. Tax years 2013 and forward generally remain open for examination for federal and state tax purposes. To the extent utilized in future years’ tax returns, net operating loss carryforwards at December 31, 2017 and 2018 will remain subject to examination until the respective tax year is closed.</w:t>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80"/>
          </w:cols>
          <w:pgMar w:left="240" w:top="456"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 the Six Months Ended June 30, 2018 and 2019</w:t>
      </w:r>
    </w:p>
    <w:p>
      <w:pPr>
        <w:spacing w:after="0" w:line="221" w:lineRule="exact"/>
        <w:rPr>
          <w:sz w:val="20"/>
          <w:szCs w:val="20"/>
          <w:color w:val="auto"/>
        </w:rPr>
      </w:pPr>
    </w:p>
    <w:p>
      <w:pPr>
        <w:ind w:left="260" w:right="480" w:firstLine="437"/>
        <w:spacing w:after="0" w:line="271" w:lineRule="auto"/>
        <w:rPr>
          <w:sz w:val="20"/>
          <w:szCs w:val="20"/>
          <w:color w:val="auto"/>
        </w:rPr>
      </w:pPr>
      <w:r>
        <w:rPr>
          <w:rFonts w:ascii="Arial" w:cs="Arial" w:eastAsia="Arial" w:hAnsi="Arial"/>
          <w:sz w:val="18"/>
          <w:szCs w:val="18"/>
          <w:color w:val="auto"/>
        </w:rPr>
        <w:t>The Company has an effective tax rate of 13.7% and (2.6)% for the six months ended June 30, 2018 and 2019 (unaudited), respectively. The Company has incurred U.S. operating losses and has minimal profits in its foreign jurisdictions.</w:t>
      </w:r>
    </w:p>
    <w:p>
      <w:pPr>
        <w:spacing w:after="0" w:line="175" w:lineRule="exact"/>
        <w:rPr>
          <w:sz w:val="20"/>
          <w:szCs w:val="20"/>
          <w:color w:val="auto"/>
        </w:rPr>
      </w:pPr>
    </w:p>
    <w:p>
      <w:pPr>
        <w:ind w:left="260" w:firstLine="437"/>
        <w:spacing w:after="0" w:line="293" w:lineRule="auto"/>
        <w:rPr>
          <w:sz w:val="20"/>
          <w:szCs w:val="20"/>
          <w:color w:val="auto"/>
        </w:rPr>
      </w:pPr>
      <w:r>
        <w:rPr>
          <w:rFonts w:ascii="Arial" w:cs="Arial" w:eastAsia="Arial" w:hAnsi="Arial"/>
          <w:sz w:val="16"/>
          <w:szCs w:val="16"/>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61" w:lineRule="exact"/>
        <w:rPr>
          <w:sz w:val="20"/>
          <w:szCs w:val="20"/>
          <w:color w:val="auto"/>
        </w:rPr>
      </w:pPr>
    </w:p>
    <w:p>
      <w:pPr>
        <w:ind w:left="260" w:right="280" w:firstLine="437"/>
        <w:spacing w:after="0" w:line="255" w:lineRule="auto"/>
        <w:rPr>
          <w:sz w:val="20"/>
          <w:szCs w:val="20"/>
          <w:color w:val="auto"/>
        </w:rPr>
      </w:pPr>
      <w:r>
        <w:rPr>
          <w:rFonts w:ascii="Arial" w:cs="Arial" w:eastAsia="Arial" w:hAnsi="Arial"/>
          <w:sz w:val="18"/>
          <w:szCs w:val="18"/>
          <w:color w:val="auto"/>
        </w:rPr>
        <w:t xml:space="preserve">The Company has applied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has determined that it has uncertain positions that would result in a tax reserve deemed immaterial for the six months ended June 30, 2018 and 2019 (unaudited). The Company’s policy is to recognize interest and penalties related to uncertain tax positions in income tax expense. The Company is subject to U.S. federal tax authority, U.S. state tax authority and foreign tax authority examinations.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12. Net (Loss) Income Per Share</w:t>
      </w:r>
    </w:p>
    <w:p>
      <w:pPr>
        <w:spacing w:after="0" w:line="225" w:lineRule="exact"/>
        <w:rPr>
          <w:sz w:val="20"/>
          <w:szCs w:val="20"/>
          <w:color w:val="auto"/>
        </w:rPr>
      </w:pPr>
    </w:p>
    <w:p>
      <w:pPr>
        <w:jc w:val="both"/>
        <w:ind w:left="260" w:right="160" w:firstLine="437"/>
        <w:spacing w:after="0" w:line="297" w:lineRule="auto"/>
        <w:rPr>
          <w:sz w:val="20"/>
          <w:szCs w:val="20"/>
          <w:color w:val="auto"/>
        </w:rPr>
      </w:pPr>
      <w:r>
        <w:rPr>
          <w:rFonts w:ascii="Arial" w:cs="Arial" w:eastAsia="Arial" w:hAnsi="Arial"/>
          <w:sz w:val="16"/>
          <w:szCs w:val="16"/>
          <w:color w:val="auto"/>
        </w:rPr>
        <w:t>Basic and diluted net income (loss) per common share is presented in conformity with the two-class method required for participating securities. Prior to the conversion of the Preferred Stock upon the IPO, holders of Series Seed, Series A, Series B, Series C and Series D Preferred Stock are each entitled to receive non-cumulative dividends at a rate of $0.00345 per share, $0.00753 per share, $0.0191 per share, $0.0530 per share and $0.1376 per share, respectively, payable prior and in preference to any dividends on any shares of the Company’s common stock.</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80"/>
          </w:cols>
          <w:pgMar w:left="240" w:top="456"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calculation of basic and diluted net (loss) income per share (in thousands, except per share data):</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522"/>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462"/>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161"/>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1"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center"/>
              <w:ind w:right="32"/>
              <w:spacing w:after="0" w:line="141"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per share: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Allocation of net (loss)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4"/>
              </w:rPr>
              <w:t>(2,570)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9"/>
              </w:rPr>
              <w:t>(10,762)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(13,440)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ind w:left="680"/>
              <w:spacing w:after="0"/>
              <w:rPr>
                <w:sz w:val="20"/>
                <w:szCs w:val="20"/>
                <w:color w:val="auto"/>
              </w:rPr>
            </w:pPr>
            <w:r>
              <w:rPr>
                <w:rFonts w:ascii="Arial" w:cs="Arial" w:eastAsia="Arial" w:hAnsi="Arial"/>
                <w:sz w:val="18"/>
                <w:szCs w:val="18"/>
                <w:color w:val="auto"/>
              </w:rPr>
              <w:t>Less: net income allocated to preferred stockholders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Allocation of net (loss) income attributable to common stockholders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4"/>
              </w:rPr>
              <w:t>(2,570)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9"/>
              </w:rPr>
              <w:t>(10,762)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(13,440)</w:t>
            </w:r>
          </w:p>
        </w:tc>
        <w:tc>
          <w:tcPr>
            <w:tcW w:w="0" w:type="dxa"/>
            <w:vAlign w:val="bottom"/>
          </w:tcPr>
          <w:p>
            <w:pPr>
              <w:spacing w:after="0"/>
              <w:rPr>
                <w:sz w:val="1"/>
                <w:szCs w:val="1"/>
                <w:color w:val="auto"/>
              </w:rPr>
            </w:pPr>
          </w:p>
        </w:tc>
      </w:tr>
      <w:tr>
        <w:trPr>
          <w:trHeight w:val="220"/>
        </w:trPr>
        <w:tc>
          <w:tcPr>
            <w:tcW w:w="66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common shares outstanding</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61,321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67,856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40" w:type="dxa"/>
            <w:vAlign w:val="bottom"/>
            <w:gridSpan w:val="2"/>
          </w:tcPr>
          <w:p>
            <w:pPr>
              <w:spacing w:after="0"/>
              <w:rPr>
                <w:sz w:val="20"/>
                <w:szCs w:val="20"/>
                <w:color w:val="auto"/>
              </w:rPr>
            </w:pPr>
            <w:r>
              <w:rPr>
                <w:rFonts w:ascii="Arial" w:cs="Arial" w:eastAsia="Arial" w:hAnsi="Arial"/>
                <w:sz w:val="18"/>
                <w:szCs w:val="18"/>
                <w:color w:val="auto"/>
              </w:rPr>
              <w:t>Basic net (loss) income per share</w:t>
            </w:r>
          </w:p>
        </w:tc>
        <w:tc>
          <w:tcPr>
            <w:tcW w:w="7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Allocation of net (loss) income for basic computation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4"/>
              </w:rPr>
              <w:t>(2,570)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9"/>
              </w:rPr>
              <w:t>(10,762)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(13,440)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ind w:left="680"/>
              <w:spacing w:after="0"/>
              <w:rPr>
                <w:sz w:val="20"/>
                <w:szCs w:val="20"/>
                <w:color w:val="auto"/>
              </w:rPr>
            </w:pPr>
            <w:r>
              <w:rPr>
                <w:rFonts w:ascii="Arial" w:cs="Arial" w:eastAsia="Arial" w:hAnsi="Arial"/>
                <w:sz w:val="18"/>
                <w:szCs w:val="18"/>
                <w:color w:val="auto"/>
              </w:rPr>
              <w:t>Less: net income allocated to preferred stockholders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Allocation of net (loss) income attributable to common stockholders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4"/>
              </w:rPr>
              <w:t>(2,570)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9"/>
              </w:rPr>
              <w:t>(10,762)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(13,440)</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Number of shares used in basic calculation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61,321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67,856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Weighted-average effect of dilutive securities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stock options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ind w:left="680"/>
              <w:spacing w:after="0"/>
              <w:rPr>
                <w:sz w:val="20"/>
                <w:szCs w:val="20"/>
                <w:color w:val="auto"/>
              </w:rPr>
            </w:pPr>
            <w:r>
              <w:rPr>
                <w:rFonts w:ascii="Arial" w:cs="Arial" w:eastAsia="Arial" w:hAnsi="Arial"/>
                <w:sz w:val="18"/>
                <w:szCs w:val="18"/>
                <w:color w:val="auto"/>
              </w:rPr>
              <w:t>Number of shares used in diluted calculation</w:t>
            </w:r>
          </w:p>
        </w:tc>
        <w:tc>
          <w:tcPr>
            <w:tcW w:w="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61,321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70,951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81,528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60" w:right="220" w:firstLine="437"/>
        <w:spacing w:after="0" w:line="271"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56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r>
      <w:tr>
        <w:trPr>
          <w:trHeight w:val="170"/>
        </w:trPr>
        <w:tc>
          <w:tcPr>
            <w:tcW w:w="7520" w:type="dxa"/>
            <w:vAlign w:val="bottom"/>
          </w:tcPr>
          <w:p>
            <w:pPr>
              <w:spacing w:after="0"/>
              <w:rPr>
                <w:sz w:val="14"/>
                <w:szCs w:val="14"/>
                <w:color w:val="auto"/>
              </w:rPr>
            </w:pPr>
          </w:p>
        </w:tc>
        <w:tc>
          <w:tcPr>
            <w:tcW w:w="156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41"/>
        </w:trPr>
        <w:tc>
          <w:tcPr>
            <w:tcW w:w="752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1"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tcBorders>
            <w:gridSpan w:val="2"/>
          </w:tcPr>
          <w:p>
            <w:pPr>
              <w:jc w:val="right"/>
              <w:ind w:right="131"/>
              <w:spacing w:after="0" w:line="141"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ind w:right="145"/>
              <w:spacing w:after="0" w:line="141"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151"/>
              <w:spacing w:after="0" w:line="141"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1"/>
        </w:trPr>
        <w:tc>
          <w:tcPr>
            <w:tcW w:w="75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Borders>
              <w:top w:val="single" w:sz="8" w:color="auto"/>
            </w:tcBorders>
            <w:gridSpan w:val="3"/>
          </w:tcPr>
          <w:p>
            <w:pPr>
              <w:jc w:val="center"/>
              <w:spacing w:after="0" w:line="141"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4"/>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179,011</w:t>
            </w:r>
          </w:p>
        </w:tc>
        <w:tc>
          <w:tcPr>
            <w:tcW w:w="60" w:type="dxa"/>
            <w:vAlign w:val="bottom"/>
            <w:shd w:val="clear" w:color="auto" w:fill="CCEEFF"/>
          </w:tcPr>
          <w:p>
            <w:pPr>
              <w:spacing w:after="0"/>
              <w:rPr>
                <w:sz w:val="18"/>
                <w:szCs w:val="18"/>
                <w:color w:val="auto"/>
              </w:rPr>
            </w:pPr>
          </w:p>
        </w:tc>
      </w:tr>
      <w:tr>
        <w:trPr>
          <w:trHeight w:val="214"/>
        </w:trPr>
        <w:tc>
          <w:tcPr>
            <w:tcW w:w="7520" w:type="dxa"/>
            <w:vAlign w:val="bottom"/>
          </w:tcPr>
          <w:p>
            <w:pPr>
              <w:spacing w:after="0"/>
              <w:rPr>
                <w:sz w:val="20"/>
                <w:szCs w:val="20"/>
                <w:color w:val="auto"/>
              </w:rPr>
            </w:pPr>
            <w:r>
              <w:rPr>
                <w:rFonts w:ascii="Arial" w:cs="Arial" w:eastAsia="Arial" w:hAnsi="Arial"/>
                <w:sz w:val="18"/>
                <w:szCs w:val="18"/>
                <w:color w:val="auto"/>
              </w:rPr>
              <w:t>Shares subject to outstanding stock options</w:t>
            </w:r>
          </w:p>
        </w:tc>
        <w:tc>
          <w:tcPr>
            <w:tcW w:w="700" w:type="dxa"/>
            <w:vAlign w:val="bottom"/>
          </w:tcPr>
          <w:p>
            <w:pPr>
              <w:jc w:val="right"/>
              <w:spacing w:after="0"/>
              <w:rPr>
                <w:sz w:val="20"/>
                <w:szCs w:val="20"/>
                <w:color w:val="auto"/>
              </w:rPr>
            </w:pPr>
            <w:r>
              <w:rPr>
                <w:rFonts w:ascii="Arial" w:cs="Arial" w:eastAsia="Arial" w:hAnsi="Arial"/>
                <w:sz w:val="18"/>
                <w:szCs w:val="18"/>
                <w:color w:val="auto"/>
              </w:rPr>
              <w:t>44,877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38,865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23,274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34,620</w:t>
            </w:r>
          </w:p>
        </w:tc>
        <w:tc>
          <w:tcPr>
            <w:tcW w:w="60" w:type="dxa"/>
            <w:vAlign w:val="bottom"/>
          </w:tcPr>
          <w:p>
            <w:pPr>
              <w:spacing w:after="0"/>
              <w:rPr>
                <w:sz w:val="18"/>
                <w:szCs w:val="18"/>
                <w:color w:val="auto"/>
              </w:rPr>
            </w:pPr>
          </w:p>
        </w:tc>
      </w:tr>
      <w:tr>
        <w:trPr>
          <w:trHeight w:val="214"/>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Unvested early exercised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60" w:type="dxa"/>
            <w:vAlign w:val="bottom"/>
            <w:shd w:val="clear" w:color="auto" w:fill="CCEEFF"/>
          </w:tcPr>
          <w:p>
            <w:pPr>
              <w:spacing w:after="0"/>
              <w:rPr>
                <w:sz w:val="18"/>
                <w:szCs w:val="18"/>
                <w:color w:val="auto"/>
              </w:rPr>
            </w:pPr>
          </w:p>
        </w:tc>
      </w:tr>
      <w:tr>
        <w:trPr>
          <w:trHeight w:val="221"/>
        </w:trPr>
        <w:tc>
          <w:tcPr>
            <w:tcW w:w="75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224,955</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220,776</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203,938</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215,994</w:t>
            </w:r>
          </w:p>
        </w:tc>
        <w:tc>
          <w:tcPr>
            <w:tcW w:w="6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21" w:lineRule="exact"/>
        <w:rPr>
          <w:sz w:val="20"/>
          <w:szCs w:val="20"/>
          <w:color w:val="auto"/>
        </w:rPr>
      </w:pPr>
    </w:p>
    <w:p>
      <w:pPr>
        <w:ind w:left="260" w:right="160" w:firstLine="437"/>
        <w:spacing w:after="0" w:line="271" w:lineRule="auto"/>
        <w:rPr>
          <w:sz w:val="20"/>
          <w:szCs w:val="20"/>
          <w:color w:val="auto"/>
        </w:rPr>
      </w:pPr>
      <w:r>
        <w:rPr>
          <w:rFonts w:ascii="Arial" w:cs="Arial" w:eastAsia="Arial" w:hAnsi="Arial"/>
          <w:sz w:val="18"/>
          <w:szCs w:val="18"/>
          <w:color w:val="auto"/>
        </w:rPr>
        <w:t>Immediately prior to the completion of the IPO, all outstanding shares of convertible preferred stock will convert into Class B shares of common stock, based on the shares of the convertible preferred stock outstanding</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56"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right="160"/>
        <w:spacing w:after="0" w:line="301" w:lineRule="auto"/>
        <w:rPr>
          <w:sz w:val="20"/>
          <w:szCs w:val="20"/>
          <w:color w:val="auto"/>
        </w:rPr>
      </w:pPr>
      <w:r>
        <w:rPr>
          <w:rFonts w:ascii="Arial" w:cs="Arial" w:eastAsia="Arial" w:hAnsi="Arial"/>
          <w:sz w:val="17"/>
          <w:szCs w:val="17"/>
          <w:color w:val="auto"/>
        </w:rPr>
        <w:t>as of June 30, 2019. Unaudited pro forma net loss per share for the fiscal year ended December 31, 2018 and six months ended June 30, 2019 has been computed to give effect to the automatic conversion of the convertible preferred stock (using the as converted method).</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calculation of pro forma basic and diluted net loss per share (in thousands, except per share data):</w:t>
      </w:r>
    </w:p>
    <w:p>
      <w:pPr>
        <w:spacing w:after="0" w:line="22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70"/>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ind w:left="260"/>
              <w:spacing w:after="0"/>
              <w:rPr>
                <w:sz w:val="20"/>
                <w:szCs w:val="20"/>
                <w:color w:val="auto"/>
              </w:rPr>
            </w:pPr>
            <w:r>
              <w:rPr>
                <w:rFonts w:ascii="Arial" w:cs="Arial" w:eastAsia="Arial" w:hAnsi="Arial"/>
                <w:sz w:val="14"/>
                <w:szCs w:val="14"/>
                <w:b w:val="1"/>
                <w:bCs w:val="1"/>
                <w:color w:val="auto"/>
              </w:rPr>
              <w:t>June 30, 2019</w:t>
            </w:r>
          </w:p>
        </w:tc>
      </w:tr>
      <w:tr>
        <w:trPr>
          <w:trHeight w:val="141"/>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ind w:left="60"/>
              <w:spacing w:after="0" w:line="141" w:lineRule="exact"/>
              <w:rPr>
                <w:sz w:val="20"/>
                <w:szCs w:val="20"/>
                <w:color w:val="auto"/>
              </w:rPr>
            </w:pPr>
            <w:r>
              <w:rPr>
                <w:rFonts w:ascii="Arial" w:cs="Arial" w:eastAsia="Arial" w:hAnsi="Arial"/>
                <w:sz w:val="14"/>
                <w:szCs w:val="14"/>
                <w:b w:val="1"/>
                <w:bCs w:val="1"/>
                <w:color w:val="auto"/>
                <w:w w:val="97"/>
              </w:rPr>
              <w:t>Class A</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4"/>
              <w:spacing w:after="0" w:line="141" w:lineRule="exact"/>
              <w:rPr>
                <w:sz w:val="20"/>
                <w:szCs w:val="20"/>
                <w:color w:val="auto"/>
              </w:rPr>
            </w:pPr>
            <w:r>
              <w:rPr>
                <w:rFonts w:ascii="Arial" w:cs="Arial" w:eastAsia="Arial" w:hAnsi="Arial"/>
                <w:sz w:val="14"/>
                <w:szCs w:val="14"/>
                <w:b w:val="1"/>
                <w:bCs w:val="1"/>
                <w:color w:val="auto"/>
                <w:w w:val="85"/>
              </w:rPr>
              <w:t>Class B</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ind w:left="60"/>
              <w:spacing w:after="0" w:line="141" w:lineRule="exact"/>
              <w:rPr>
                <w:sz w:val="20"/>
                <w:szCs w:val="20"/>
                <w:color w:val="auto"/>
              </w:rPr>
            </w:pPr>
            <w:r>
              <w:rPr>
                <w:rFonts w:ascii="Arial" w:cs="Arial" w:eastAsia="Arial" w:hAnsi="Arial"/>
                <w:sz w:val="14"/>
                <w:szCs w:val="14"/>
                <w:b w:val="1"/>
                <w:bCs w:val="1"/>
                <w:color w:val="auto"/>
              </w:rPr>
              <w:t>Class A</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4"/>
              <w:spacing w:after="0" w:line="141" w:lineRule="exact"/>
              <w:rPr>
                <w:sz w:val="20"/>
                <w:szCs w:val="20"/>
                <w:color w:val="auto"/>
              </w:rPr>
            </w:pPr>
            <w:r>
              <w:rPr>
                <w:rFonts w:ascii="Arial" w:cs="Arial" w:eastAsia="Arial" w:hAnsi="Arial"/>
                <w:sz w:val="14"/>
                <w:szCs w:val="14"/>
                <w:b w:val="1"/>
                <w:bCs w:val="1"/>
                <w:color w:val="auto"/>
                <w:w w:val="89"/>
              </w:rPr>
              <w:t>Class B</w:t>
            </w:r>
          </w:p>
        </w:tc>
        <w:tc>
          <w:tcPr>
            <w:tcW w:w="100" w:type="dxa"/>
            <w:vAlign w:val="bottom"/>
            <w:tcBorders>
              <w:bottom w:val="single" w:sz="8" w:color="CCEEFF"/>
            </w:tcBorders>
          </w:tcPr>
          <w:p>
            <w:pPr>
              <w:spacing w:after="0"/>
              <w:rPr>
                <w:sz w:val="12"/>
                <w:szCs w:val="12"/>
                <w:color w:val="auto"/>
              </w:rPr>
            </w:pPr>
          </w:p>
        </w:tc>
      </w:tr>
      <w:tr>
        <w:trPr>
          <w:trHeight w:val="207"/>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pro forma net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(13,440)</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basic net loss per share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79,566</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179,815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179,575</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pro forma net loss per share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250,766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259,141</w:t>
            </w:r>
          </w:p>
        </w:tc>
        <w:tc>
          <w:tcPr>
            <w:tcW w:w="100" w:type="dxa"/>
            <w:vAlign w:val="bottom"/>
            <w:shd w:val="clear" w:color="auto" w:fill="CCEEFF"/>
          </w:tcPr>
          <w:p>
            <w:pPr>
              <w:spacing w:after="0"/>
              <w:rPr>
                <w:sz w:val="18"/>
                <w:szCs w:val="18"/>
                <w:color w:val="auto"/>
              </w:rPr>
            </w:pPr>
          </w:p>
        </w:tc>
      </w:tr>
      <w:tr>
        <w:trPr>
          <w:trHeight w:val="221"/>
        </w:trPr>
        <w:tc>
          <w:tcPr>
            <w:tcW w:w="6820" w:type="dxa"/>
            <w:vAlign w:val="bottom"/>
            <w:gridSpan w:val="2"/>
          </w:tcPr>
          <w:p>
            <w:pPr>
              <w:spacing w:after="0"/>
              <w:rPr>
                <w:sz w:val="20"/>
                <w:szCs w:val="20"/>
                <w:color w:val="auto"/>
              </w:rPr>
            </w:pPr>
            <w:r>
              <w:rPr>
                <w:rFonts w:ascii="Arial" w:cs="Arial" w:eastAsia="Arial" w:hAnsi="Arial"/>
                <w:sz w:val="18"/>
                <w:szCs w:val="18"/>
                <w:color w:val="auto"/>
              </w:rPr>
              <w:t>Pro forma basic and diluted net loss per share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Pr>
          <w:p>
            <w:pPr>
              <w:jc w:val="right"/>
              <w:ind w:right="142"/>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13. Subsequent Events</w:t>
      </w:r>
    </w:p>
    <w:p>
      <w:pPr>
        <w:spacing w:after="0" w:line="225" w:lineRule="exact"/>
        <w:rPr>
          <w:sz w:val="20"/>
          <w:szCs w:val="20"/>
          <w:color w:val="auto"/>
        </w:rPr>
      </w:pPr>
    </w:p>
    <w:p>
      <w:pPr>
        <w:ind w:left="260" w:right="20" w:firstLine="437"/>
        <w:spacing w:after="0" w:line="255" w:lineRule="auto"/>
        <w:rPr>
          <w:sz w:val="20"/>
          <w:szCs w:val="20"/>
          <w:color w:val="auto"/>
        </w:rPr>
      </w:pPr>
      <w:r>
        <w:rPr>
          <w:rFonts w:ascii="Arial" w:cs="Arial" w:eastAsia="Arial" w:hAnsi="Arial"/>
          <w:sz w:val="18"/>
          <w:szCs w:val="18"/>
          <w:color w:val="auto"/>
        </w:rPr>
        <w:t>For its consolidated financial statements as of December 31, 2018, the Company evaluated subsequent events through June 13, 2019, the date on which the consolidated financial statements were issued, for events requiring recording or disclosure in the consolidated financial statements for the year ended December 31, 2018, except for the 3-for-1 stock split described in Note 2 for which the date is September 9, 2019. The Company has identified the following subsequent events:</w:t>
      </w:r>
    </w:p>
    <w:p>
      <w:pPr>
        <w:spacing w:after="0" w:line="191" w:lineRule="exact"/>
        <w:rPr>
          <w:sz w:val="20"/>
          <w:szCs w:val="20"/>
          <w:color w:val="auto"/>
        </w:rPr>
      </w:pPr>
    </w:p>
    <w:p>
      <w:pPr>
        <w:ind w:left="260" w:right="320" w:firstLine="437"/>
        <w:spacing w:after="0" w:line="271" w:lineRule="auto"/>
        <w:rPr>
          <w:sz w:val="20"/>
          <w:szCs w:val="20"/>
          <w:color w:val="auto"/>
        </w:rPr>
      </w:pPr>
      <w:r>
        <w:rPr>
          <w:rFonts w:ascii="Arial" w:cs="Arial" w:eastAsia="Arial" w:hAnsi="Arial"/>
          <w:sz w:val="18"/>
          <w:szCs w:val="18"/>
          <w:color w:val="auto"/>
        </w:rPr>
        <w:t>In April 2019, the Company entered into a hosting agreement, effective May 2019, for a total purchase commitment of $225.0 million payable over the next three years.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April 22, 2019, the Company completed an offer to certain stockholders to sell shares to certain new and existing investors totaling</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$228.7 million. Approximately 15,000,000 common shares were sold at a price of $15.92 per share. The funds for this transaction settled on May 8,</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2019.</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14. Subsequent Events (Unaudited)</w:t>
      </w:r>
    </w:p>
    <w:p>
      <w:pPr>
        <w:spacing w:after="0" w:line="225" w:lineRule="exact"/>
        <w:rPr>
          <w:sz w:val="20"/>
          <w:szCs w:val="20"/>
          <w:color w:val="auto"/>
        </w:rPr>
      </w:pPr>
    </w:p>
    <w:p>
      <w:pPr>
        <w:ind w:left="260" w:right="40" w:firstLine="437"/>
        <w:spacing w:after="0" w:line="255" w:lineRule="auto"/>
        <w:rPr>
          <w:sz w:val="20"/>
          <w:szCs w:val="20"/>
          <w:color w:val="auto"/>
        </w:rPr>
      </w:pPr>
      <w:r>
        <w:rPr>
          <w:rFonts w:ascii="Arial" w:cs="Arial" w:eastAsia="Arial" w:hAnsi="Arial"/>
          <w:sz w:val="18"/>
          <w:szCs w:val="18"/>
          <w:color w:val="auto"/>
        </w:rPr>
        <w:t>For its consolidated interim financial statements as of June 30, 2019, the Company evaluated subsequent events through August 14, 2019, the date on which the consolidated interim financial statements were originally issued and through the re-issuance dates of September 9 and September 17, 2019, for events requiring recording or disclosure in the consolidated interim financial statements for the interim period ended June 30, 2019. The Company has identified the following subsequent events: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July 2019, the Board of Directors approved an increase of 6,000,000 shares of common stock under the Plan.</w:t>
      </w:r>
    </w:p>
    <w:p>
      <w:pPr>
        <w:spacing w:after="0" w:line="221" w:lineRule="exact"/>
        <w:rPr>
          <w:sz w:val="20"/>
          <w:szCs w:val="20"/>
          <w:color w:val="auto"/>
        </w:rPr>
      </w:pPr>
    </w:p>
    <w:p>
      <w:pPr>
        <w:ind w:left="260" w:right="460" w:firstLine="437"/>
        <w:spacing w:after="0" w:line="271" w:lineRule="auto"/>
        <w:rPr>
          <w:sz w:val="20"/>
          <w:szCs w:val="20"/>
          <w:color w:val="auto"/>
        </w:rPr>
      </w:pPr>
      <w:r>
        <w:rPr>
          <w:rFonts w:ascii="Arial" w:cs="Arial" w:eastAsia="Arial" w:hAnsi="Arial"/>
          <w:sz w:val="18"/>
          <w:szCs w:val="18"/>
          <w:color w:val="auto"/>
        </w:rPr>
        <w:t>In July 2019, the Board of Directors approved the Equity Incentive Plan (the “2019 Plan”) and an Employee Stock Purchase Plan (the “2019 ESPP”) each of which will become effective in connection with the IPO, subject</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80"/>
          </w:cols>
          <w:pgMar w:left="240" w:top="456"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DATADOG, INC.</w:t>
      </w: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260"/>
        <w:spacing w:after="0" w:line="271" w:lineRule="auto"/>
        <w:rPr>
          <w:sz w:val="20"/>
          <w:szCs w:val="20"/>
          <w:color w:val="auto"/>
        </w:rPr>
      </w:pPr>
      <w:r>
        <w:rPr>
          <w:rFonts w:ascii="Arial" w:cs="Arial" w:eastAsia="Arial" w:hAnsi="Arial"/>
          <w:sz w:val="18"/>
          <w:szCs w:val="18"/>
          <w:color w:val="auto"/>
        </w:rPr>
        <w:t>to approval by the stockholders. The maximum amount of shares that may be issued under the 2019 Plan and 2019 ESPP are approximately 9% and 2%, respectively, of the fully diluted shares of the Company immediately following the IPO.</w:t>
      </w:r>
    </w:p>
    <w:p>
      <w:pPr>
        <w:spacing w:after="0" w:line="175" w:lineRule="exact"/>
        <w:rPr>
          <w:sz w:val="20"/>
          <w:szCs w:val="20"/>
          <w:color w:val="auto"/>
        </w:rPr>
      </w:pPr>
    </w:p>
    <w:p>
      <w:pPr>
        <w:ind w:left="260" w:right="280" w:firstLine="437"/>
        <w:spacing w:after="0" w:line="282" w:lineRule="auto"/>
        <w:rPr>
          <w:sz w:val="20"/>
          <w:szCs w:val="20"/>
          <w:color w:val="auto"/>
        </w:rPr>
      </w:pPr>
      <w:r>
        <w:rPr>
          <w:rFonts w:ascii="Arial" w:cs="Arial" w:eastAsia="Arial" w:hAnsi="Arial"/>
          <w:sz w:val="17"/>
          <w:szCs w:val="17"/>
          <w:color w:val="auto"/>
        </w:rPr>
        <w:t>In July and August 2019, the Company granted stock options to purchase 4,484,700 shares and 550,950 shares of common stock, respectively, with an exercise price of $10.74 per share. The Company expects to recognize aggregate stock-based compensation expense related to these stock options of approximately $64.4 million over a weighted-average requisite service period of approximately four years.</w:t>
      </w:r>
    </w:p>
    <w:p>
      <w:pPr>
        <w:spacing w:after="0" w:line="1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240" w:top="456" w:right="51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699135</wp:posOffset>
            </wp:positionV>
            <wp:extent cx="6967220" cy="90747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67220" cy="907478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231775</wp:posOffset>
            </wp:positionV>
            <wp:extent cx="6967220" cy="90747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67220" cy="907478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8" w:lineRule="exact"/>
        <w:rPr>
          <w:sz w:val="20"/>
          <w:szCs w:val="20"/>
          <w:color w:val="auto"/>
        </w:rPr>
      </w:pPr>
    </w:p>
    <w:p>
      <w:pPr>
        <w:ind w:left="260" w:right="780" w:firstLine="437"/>
        <w:spacing w:after="0" w:line="271" w:lineRule="auto"/>
        <w:rPr>
          <w:sz w:val="20"/>
          <w:szCs w:val="20"/>
          <w:color w:val="auto"/>
        </w:rPr>
      </w:pPr>
      <w:r>
        <w:rPr>
          <w:rFonts w:ascii="Arial" w:cs="Arial" w:eastAsia="Arial" w:hAnsi="Arial"/>
          <w:sz w:val="18"/>
          <w:szCs w:val="18"/>
          <w:color w:val="auto"/>
        </w:rPr>
        <w:t>Unless otherwise indicated, all references to “Datadog,” the “company,” “we,” “our,” “us” or similar terms refer to Datadog, Inc. and its subsidiaries.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amounts shown are estimates except for the SEC registration fee, the FINRA filing fee and the exchange listing fee.</w:t>
      </w: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86,974</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FINRA filing fee</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108,140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1,500,000</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800,000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Custodian transfer agent and registrar fees</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Miscellaneous</w:t>
            </w:r>
          </w:p>
        </w:tc>
        <w:tc>
          <w:tcPr>
            <w:tcW w:w="3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579,886</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4,000,000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5" w:lineRule="exact"/>
        <w:rPr>
          <w:sz w:val="20"/>
          <w:szCs w:val="20"/>
          <w:color w:val="auto"/>
        </w:rPr>
      </w:pPr>
    </w:p>
    <w:p>
      <w:pPr>
        <w:ind w:left="260" w:right="80" w:firstLine="437"/>
        <w:spacing w:after="0" w:line="252"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191" w:lineRule="exact"/>
        <w:rPr>
          <w:sz w:val="20"/>
          <w:szCs w:val="20"/>
          <w:color w:val="auto"/>
        </w:rPr>
      </w:pPr>
    </w:p>
    <w:p>
      <w:pPr>
        <w:ind w:left="260" w:right="100" w:firstLine="437"/>
        <w:spacing w:after="0" w:line="290" w:lineRule="auto"/>
        <w:rPr>
          <w:sz w:val="20"/>
          <w:szCs w:val="20"/>
          <w:color w:val="auto"/>
        </w:rPr>
      </w:pPr>
      <w:r>
        <w:rPr>
          <w:rFonts w:ascii="Arial" w:cs="Arial" w:eastAsia="Arial" w:hAnsi="Arial"/>
          <w:sz w:val="16"/>
          <w:szCs w:val="16"/>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Datadog, Inc., provided that such director or officer acted in good faith and in a manner that the director or officer reasonably believed to be in, or not opposed to, the best interest of Datadog, Inc. At present, there is no pending litigation or proceeding involving a director or officer of Datadog, Inc. regarding which indemnification is sought, nor is the registrant aware of any threatened litigation that may result in claims for indemnification.</w:t>
      </w:r>
    </w:p>
    <w:p>
      <w:pPr>
        <w:spacing w:after="0" w:line="165" w:lineRule="exact"/>
        <w:rPr>
          <w:sz w:val="20"/>
          <w:szCs w:val="20"/>
          <w:color w:val="auto"/>
        </w:rPr>
      </w:pPr>
    </w:p>
    <w:p>
      <w:pPr>
        <w:ind w:left="260" w:right="640" w:firstLine="437"/>
        <w:spacing w:after="0" w:line="301" w:lineRule="auto"/>
        <w:rPr>
          <w:sz w:val="20"/>
          <w:szCs w:val="20"/>
          <w:color w:val="auto"/>
        </w:rPr>
      </w:pPr>
      <w:r>
        <w:rPr>
          <w:rFonts w:ascii="Arial" w:cs="Arial" w:eastAsia="Arial" w:hAnsi="Arial"/>
          <w:sz w:val="17"/>
          <w:szCs w:val="17"/>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52" w:lineRule="exact"/>
        <w:rPr>
          <w:sz w:val="20"/>
          <w:szCs w:val="20"/>
          <w:color w:val="auto"/>
        </w:rPr>
      </w:pPr>
    </w:p>
    <w:p>
      <w:pPr>
        <w:ind w:left="260" w:right="200" w:firstLine="437"/>
        <w:spacing w:after="0" w:line="271" w:lineRule="auto"/>
        <w:rPr>
          <w:sz w:val="20"/>
          <w:szCs w:val="20"/>
          <w:color w:val="auto"/>
        </w:rPr>
      </w:pPr>
      <w:r>
        <w:rPr>
          <w:rFonts w:ascii="Arial" w:cs="Arial" w:eastAsia="Arial" w:hAnsi="Arial"/>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56"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2016:</w:t>
      </w:r>
    </w:p>
    <w:p>
      <w:pPr>
        <w:spacing w:after="0" w:line="128" w:lineRule="exact"/>
        <w:rPr>
          <w:sz w:val="20"/>
          <w:szCs w:val="20"/>
          <w:color w:val="auto"/>
        </w:rPr>
      </w:pPr>
    </w:p>
    <w:p>
      <w:pPr>
        <w:ind w:left="1220" w:right="40" w:hanging="424"/>
        <w:spacing w:after="0" w:line="255" w:lineRule="auto"/>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Issuances of Options to Purchase Common Stock</w:t>
      </w:r>
      <w:r>
        <w:rPr>
          <w:rFonts w:ascii="Arial" w:cs="Arial" w:eastAsia="Arial" w:hAnsi="Arial"/>
          <w:sz w:val="18"/>
          <w:szCs w:val="18"/>
          <w:color w:val="auto"/>
        </w:rPr>
        <w:t>—From January 1, 2016 through the date of this registration statement, we granted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2012 Plan options to purchase an aggregate of 41,142,645 shares of our common stock to a total of 1,584 employees, consultants and directors, having exercise prices ranging from $0.80 to $10.74 per share. 10,363,560 of the options granted under the 2012 Plan have been exercised.</w:t>
      </w:r>
    </w:p>
    <w:p>
      <w:pPr>
        <w:spacing w:after="0" w:line="191" w:lineRule="exact"/>
        <w:rPr>
          <w:sz w:val="20"/>
          <w:szCs w:val="20"/>
          <w:color w:val="auto"/>
        </w:rPr>
      </w:pPr>
    </w:p>
    <w:p>
      <w:pPr>
        <w:ind w:left="260" w:right="40" w:firstLine="437"/>
        <w:spacing w:after="0" w:line="251"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p>
      <w:pPr>
        <w:ind w:left="260" w:right="360" w:firstLine="437"/>
        <w:spacing w:after="0" w:line="271" w:lineRule="auto"/>
        <w:rPr>
          <w:sz w:val="20"/>
          <w:szCs w:val="20"/>
          <w:color w:val="auto"/>
        </w:rPr>
      </w:pPr>
      <w:r>
        <w:rPr>
          <w:rFonts w:ascii="Arial" w:cs="Arial" w:eastAsia="Arial" w:hAnsi="Arial"/>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 Financial Statement Schedules.</w:t>
      </w:r>
    </w:p>
    <w:p>
      <w:pPr>
        <w:spacing w:after="0" w:line="221" w:lineRule="exact"/>
        <w:rPr>
          <w:sz w:val="20"/>
          <w:szCs w:val="20"/>
          <w:color w:val="auto"/>
        </w:rPr>
      </w:pPr>
    </w:p>
    <w:p>
      <w:pPr>
        <w:ind w:left="260" w:right="720" w:firstLine="437"/>
        <w:spacing w:after="0" w:line="271"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17. Undertakings.</w:t>
      </w:r>
    </w:p>
    <w:p>
      <w:pPr>
        <w:spacing w:after="0" w:line="225" w:lineRule="exact"/>
        <w:rPr>
          <w:sz w:val="20"/>
          <w:szCs w:val="20"/>
          <w:color w:val="auto"/>
        </w:rPr>
      </w:pPr>
    </w:p>
    <w:p>
      <w:pPr>
        <w:ind w:left="260" w:right="120" w:firstLine="437"/>
        <w:spacing w:after="0" w:line="301"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2" w:lineRule="exact"/>
        <w:rPr>
          <w:sz w:val="20"/>
          <w:szCs w:val="20"/>
          <w:color w:val="auto"/>
        </w:rPr>
      </w:pPr>
    </w:p>
    <w:p>
      <w:pPr>
        <w:ind w:left="260" w:firstLine="437"/>
        <w:spacing w:after="0" w:line="251"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undersigned registrant hereby undertakes that:</w:t>
      </w:r>
    </w:p>
    <w:p>
      <w:pPr>
        <w:spacing w:after="0" w:line="128" w:lineRule="exact"/>
        <w:rPr>
          <w:sz w:val="20"/>
          <w:szCs w:val="20"/>
          <w:color w:val="auto"/>
        </w:rPr>
      </w:pPr>
    </w:p>
    <w:p>
      <w:pPr>
        <w:ind w:left="1220" w:hanging="424"/>
        <w:spacing w:after="0" w:line="271" w:lineRule="auto"/>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on Rule 430A and contained in</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240" w:top="456" w:right="5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40"/>
        <w:spacing w:after="0" w:line="271" w:lineRule="auto"/>
        <w:rPr>
          <w:sz w:val="20"/>
          <w:szCs w:val="20"/>
          <w:color w:val="auto"/>
        </w:rPr>
      </w:pPr>
      <w:r>
        <w:rPr>
          <w:rFonts w:ascii="Arial" w:cs="Arial" w:eastAsia="Arial" w:hAnsi="Arial"/>
          <w:sz w:val="18"/>
          <w:szCs w:val="18"/>
          <w:color w:val="auto"/>
        </w:rPr>
        <w:t>a form of prospectus filed by the registrant under Rule 424(b)(1) or (4) or 497(h) under the Securities Act will be deemed to be part of this registration statement as of the time it was declared effective.</w:t>
      </w:r>
    </w:p>
    <w:p>
      <w:pPr>
        <w:spacing w:after="0" w:line="81" w:lineRule="exact"/>
        <w:rPr>
          <w:sz w:val="20"/>
          <w:szCs w:val="20"/>
          <w:color w:val="auto"/>
        </w:rPr>
      </w:pPr>
    </w:p>
    <w:p>
      <w:pPr>
        <w:ind w:left="1220" w:hanging="424"/>
        <w:spacing w:after="0" w:line="259" w:lineRule="auto"/>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240" w:top="456" w:right="5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231"/>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16"/>
          </w:tcPr>
          <w:p>
            <w:pPr>
              <w:ind w:left="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8280" w:type="dxa"/>
            <w:vAlign w:val="bottom"/>
            <w:gridSpan w:val="2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28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3"/>
                <w:szCs w:val="23"/>
                <w:color w:val="auto"/>
              </w:rPr>
            </w:pPr>
          </w:p>
        </w:tc>
        <w:tc>
          <w:tcPr>
            <w:tcW w:w="9000" w:type="dxa"/>
            <w:vAlign w:val="bottom"/>
            <w:gridSpan w:val="24"/>
          </w:tcPr>
          <w:p>
            <w:pPr>
              <w:spacing w:after="0"/>
              <w:rPr>
                <w:rFonts w:ascii="Arial" w:cs="Arial" w:eastAsia="Arial" w:hAnsi="Arial"/>
                <w:sz w:val="18"/>
                <w:szCs w:val="18"/>
                <w:color w:val="0000EE"/>
              </w:rPr>
            </w:pPr>
            <w:hyperlink r:id="rId257">
              <w:r>
                <w:rPr>
                  <w:rFonts w:ascii="Arial" w:cs="Arial" w:eastAsia="Arial" w:hAnsi="Arial"/>
                  <w:sz w:val="18"/>
                  <w:szCs w:val="18"/>
                  <w:color w:val="0000EE"/>
                </w:rPr>
                <w:t>Form of Underwriting Agreement.</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58">
              <w:r>
                <w:rPr>
                  <w:rFonts w:ascii="Arial" w:cs="Arial" w:eastAsia="Arial" w:hAnsi="Arial"/>
                  <w:sz w:val="18"/>
                  <w:szCs w:val="18"/>
                  <w:color w:val="0000EE"/>
                </w:rPr>
                <w:t>Eighth Amended and Restated Certificate of Incorporation of Datadog, Inc., as currently in effect.</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9000" w:type="dxa"/>
            <w:vAlign w:val="bottom"/>
            <w:tcBorders>
              <w:bottom w:val="single" w:sz="8" w:color="0000EE"/>
            </w:tcBorders>
            <w:gridSpan w:val="24"/>
          </w:tcPr>
          <w:p>
            <w:pPr>
              <w:spacing w:after="0"/>
              <w:rPr>
                <w:rFonts w:ascii="Arial" w:cs="Arial" w:eastAsia="Arial" w:hAnsi="Arial"/>
                <w:sz w:val="18"/>
                <w:szCs w:val="18"/>
                <w:color w:val="0000EE"/>
                <w:w w:val="90"/>
              </w:rPr>
            </w:pPr>
            <w:hyperlink r:id="rId259">
              <w:r>
                <w:rPr>
                  <w:rFonts w:ascii="Arial" w:cs="Arial" w:eastAsia="Arial" w:hAnsi="Arial"/>
                  <w:sz w:val="18"/>
                  <w:szCs w:val="18"/>
                  <w:color w:val="0000EE"/>
                  <w:w w:val="90"/>
                </w:rPr>
                <w:t>Form of Amended and Restated Certificate of Incorporation of Datadog, Inc., to be in effect on the completion of the offering.</w:t>
              </w:r>
            </w:hyperlink>
          </w:p>
        </w:tc>
        <w:tc>
          <w:tcPr>
            <w:tcW w:w="0" w:type="dxa"/>
            <w:vAlign w:val="bottom"/>
          </w:tcPr>
          <w:p>
            <w:pPr>
              <w:spacing w:after="0"/>
              <w:rPr>
                <w:sz w:val="1"/>
                <w:szCs w:val="1"/>
                <w:color w:val="auto"/>
              </w:rPr>
            </w:pPr>
          </w:p>
        </w:tc>
      </w:tr>
      <w:tr>
        <w:trPr>
          <w:trHeight w:val="301"/>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60">
              <w:r>
                <w:rPr>
                  <w:rFonts w:ascii="Arial" w:cs="Arial" w:eastAsia="Arial" w:hAnsi="Arial"/>
                  <w:sz w:val="18"/>
                  <w:szCs w:val="18"/>
                  <w:color w:val="0000EE"/>
                </w:rPr>
                <w:t>Amended and Restated Bylaws of Datadog, Inc., as currently in effect</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7580" w:type="dxa"/>
            <w:vAlign w:val="bottom"/>
            <w:tcBorders>
              <w:bottom w:val="single" w:sz="8" w:color="0000EE"/>
            </w:tcBorders>
            <w:gridSpan w:val="21"/>
          </w:tcPr>
          <w:p>
            <w:pPr>
              <w:spacing w:after="0"/>
              <w:rPr>
                <w:rFonts w:ascii="Arial" w:cs="Arial" w:eastAsia="Arial" w:hAnsi="Arial"/>
                <w:sz w:val="18"/>
                <w:szCs w:val="18"/>
                <w:color w:val="0000EE"/>
                <w:w w:val="90"/>
              </w:rPr>
            </w:pPr>
            <w:hyperlink r:id="rId261">
              <w:r>
                <w:rPr>
                  <w:rFonts w:ascii="Arial" w:cs="Arial" w:eastAsia="Arial" w:hAnsi="Arial"/>
                  <w:sz w:val="18"/>
                  <w:szCs w:val="18"/>
                  <w:color w:val="0000EE"/>
                  <w:w w:val="90"/>
                </w:rPr>
                <w:t>Form of Amended and Restated Bylaws of Datadog, Inc., to be in effect on the completion of the offering.</w:t>
              </w:r>
            </w:hyperlink>
          </w:p>
        </w:tc>
        <w:tc>
          <w:tcPr>
            <w:tcW w:w="1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3180" w:type="dxa"/>
            <w:vAlign w:val="bottom"/>
            <w:tcBorders>
              <w:bottom w:val="single" w:sz="8" w:color="0000EE"/>
            </w:tcBorders>
            <w:gridSpan w:val="6"/>
          </w:tcPr>
          <w:p>
            <w:pPr>
              <w:spacing w:after="0"/>
              <w:rPr>
                <w:rFonts w:ascii="Arial" w:cs="Arial" w:eastAsia="Arial" w:hAnsi="Arial"/>
                <w:sz w:val="18"/>
                <w:szCs w:val="18"/>
                <w:color w:val="0000EE"/>
                <w:w w:val="90"/>
              </w:rPr>
            </w:pPr>
            <w:hyperlink r:id="rId262">
              <w:r>
                <w:rPr>
                  <w:rFonts w:ascii="Arial" w:cs="Arial" w:eastAsia="Arial" w:hAnsi="Arial"/>
                  <w:sz w:val="18"/>
                  <w:szCs w:val="18"/>
                  <w:color w:val="0000EE"/>
                  <w:w w:val="90"/>
                </w:rPr>
                <w:t>Form of Class A Common Stock Certificate.</w:t>
              </w:r>
            </w:hyperlink>
          </w:p>
        </w:tc>
        <w:tc>
          <w:tcPr>
            <w:tcW w:w="58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63">
              <w:r>
                <w:rPr>
                  <w:rFonts w:ascii="Arial" w:cs="Arial" w:eastAsia="Arial" w:hAnsi="Arial"/>
                  <w:sz w:val="18"/>
                  <w:szCs w:val="18"/>
                  <w:color w:val="0000EE"/>
                </w:rPr>
                <w:t>Opinion of Cooley LLP.</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64">
              <w:r>
                <w:rPr>
                  <w:rFonts w:ascii="Arial" w:cs="Arial" w:eastAsia="Arial" w:hAnsi="Arial"/>
                  <w:sz w:val="18"/>
                  <w:szCs w:val="18"/>
                  <w:color w:val="0000EE"/>
                </w:rPr>
                <w:t>Fourth Amended and Restated Investor Rights Agreement, dated December 28, 2015</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6080" w:type="dxa"/>
            <w:vAlign w:val="bottom"/>
            <w:tcBorders>
              <w:top w:val="single" w:sz="8" w:color="0000EE"/>
            </w:tcBorders>
            <w:gridSpan w:val="15"/>
          </w:tcPr>
          <w:p>
            <w:pPr>
              <w:spacing w:after="0"/>
              <w:rPr>
                <w:rFonts w:ascii="Arial" w:cs="Arial" w:eastAsia="Arial" w:hAnsi="Arial"/>
                <w:sz w:val="18"/>
                <w:szCs w:val="18"/>
                <w:color w:val="0000EE"/>
                <w:w w:val="96"/>
              </w:rPr>
            </w:pPr>
            <w:hyperlink r:id="rId265">
              <w:r>
                <w:rPr>
                  <w:rFonts w:ascii="Arial" w:cs="Arial" w:eastAsia="Arial" w:hAnsi="Arial"/>
                  <w:sz w:val="18"/>
                  <w:szCs w:val="18"/>
                  <w:color w:val="0000EE"/>
                  <w:w w:val="96"/>
                </w:rPr>
                <w:t>Datadog, Inc. 2012 Equity Incentive Plan and terms of agreements thereunder</w:t>
              </w:r>
            </w:hyperlink>
            <w:r>
              <w:rPr>
                <w:rFonts w:ascii="Arial" w:cs="Arial" w:eastAsia="Arial" w:hAnsi="Arial"/>
                <w:sz w:val="18"/>
                <w:szCs w:val="18"/>
                <w:color w:val="000000"/>
                <w:w w:val="96"/>
              </w:rPr>
              <w:t>.</w:t>
            </w:r>
          </w:p>
        </w:tc>
        <w:tc>
          <w:tcPr>
            <w:tcW w:w="29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66">
              <w:r>
                <w:rPr>
                  <w:rFonts w:ascii="Arial" w:cs="Arial" w:eastAsia="Arial" w:hAnsi="Arial"/>
                  <w:sz w:val="18"/>
                  <w:szCs w:val="18"/>
                  <w:color w:val="0000EE"/>
                </w:rPr>
                <w:t>Datadog, Inc. 2019 Equity Incentive Plan and terms of agreements thereunder.</w:t>
              </w:r>
            </w:hyperlink>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36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r:id="rId267">
              <w:r>
                <w:rPr>
                  <w:rFonts w:ascii="Arial" w:cs="Arial" w:eastAsia="Arial" w:hAnsi="Arial"/>
                  <w:sz w:val="18"/>
                  <w:szCs w:val="18"/>
                  <w:color w:val="0000EE"/>
                  <w:w w:val="88"/>
                </w:rPr>
                <w:t>Datadog, Inc. 2019 Employee Stock Purchase Plan.</w:t>
              </w:r>
            </w:hyperlink>
          </w:p>
        </w:tc>
        <w:tc>
          <w:tcPr>
            <w:tcW w:w="1900" w:type="dxa"/>
            <w:vAlign w:val="bottom"/>
            <w:tcBorders>
              <w:top w:val="single" w:sz="8" w:color="0000EE"/>
            </w:tcBorders>
            <w:gridSpan w:val="4"/>
          </w:tcPr>
          <w:p>
            <w:pPr>
              <w:spacing w:after="0"/>
              <w:rPr>
                <w:sz w:val="24"/>
                <w:szCs w:val="24"/>
                <w:color w:val="auto"/>
              </w:rPr>
            </w:pPr>
          </w:p>
        </w:tc>
        <w:tc>
          <w:tcPr>
            <w:tcW w:w="3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8120" w:type="dxa"/>
            <w:vAlign w:val="bottom"/>
            <w:tcBorders>
              <w:bottom w:val="single" w:sz="8" w:color="0000EE"/>
            </w:tcBorders>
            <w:gridSpan w:val="23"/>
          </w:tcPr>
          <w:p>
            <w:pPr>
              <w:spacing w:after="0"/>
              <w:rPr>
                <w:rFonts w:ascii="Arial" w:cs="Arial" w:eastAsia="Arial" w:hAnsi="Arial"/>
                <w:sz w:val="18"/>
                <w:szCs w:val="18"/>
                <w:color w:val="0000EE"/>
                <w:w w:val="89"/>
              </w:rPr>
            </w:pPr>
            <w:hyperlink r:id="rId268">
              <w:r>
                <w:rPr>
                  <w:rFonts w:ascii="Arial" w:cs="Arial" w:eastAsia="Arial" w:hAnsi="Arial"/>
                  <w:sz w:val="18"/>
                  <w:szCs w:val="18"/>
                  <w:color w:val="0000EE"/>
                  <w:w w:val="89"/>
                </w:rPr>
                <w:t>Form of Indemnity Agreement entered into by and between Datadog, Inc. and each director and executive officer.</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69">
              <w:r>
                <w:rPr>
                  <w:rFonts w:ascii="Arial" w:cs="Arial" w:eastAsia="Arial" w:hAnsi="Arial"/>
                  <w:sz w:val="18"/>
                  <w:szCs w:val="18"/>
                  <w:color w:val="0000EE"/>
                </w:rPr>
                <w:t>Offer Letter, by and between Datadog, Inc. and Olivier Pomel, dated May 20, 2011.</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70">
              <w:r>
                <w:rPr>
                  <w:rFonts w:ascii="Arial" w:cs="Arial" w:eastAsia="Arial" w:hAnsi="Arial"/>
                  <w:sz w:val="18"/>
                  <w:szCs w:val="18"/>
                  <w:color w:val="0000EE"/>
                </w:rPr>
                <w:t>Offer Letter, by and between Datadog, Inc. and David Obstler, dated August 28, 2018.</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71">
              <w:r>
                <w:rPr>
                  <w:rFonts w:ascii="Arial" w:cs="Arial" w:eastAsia="Arial" w:hAnsi="Arial"/>
                  <w:sz w:val="18"/>
                  <w:szCs w:val="18"/>
                  <w:color w:val="0000EE"/>
                </w:rPr>
                <w:t>Offer Letter, by and between Datadog, Inc. and Laszlo Kopits, dated February 27, 2017.</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72">
              <w:r>
                <w:rPr>
                  <w:rFonts w:ascii="Arial" w:cs="Arial" w:eastAsia="Arial" w:hAnsi="Arial"/>
                  <w:sz w:val="18"/>
                  <w:szCs w:val="18"/>
                  <w:color w:val="0000EE"/>
                </w:rPr>
                <w:t>Agreement of Sub-Sub-Sublease, by and between Datadog, Inc. and Ideeli Inc., dated April 14, 2016</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0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73">
              <w:r>
                <w:rPr>
                  <w:rFonts w:ascii="Arial" w:cs="Arial" w:eastAsia="Arial" w:hAnsi="Arial"/>
                  <w:sz w:val="18"/>
                  <w:szCs w:val="18"/>
                  <w:color w:val="0000EE"/>
                </w:rPr>
                <w:t>Agreement of Sub-Sublease, by and between Datadog, Inc. and BT Americas Inc., dated September 18, 2017</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7780" w:type="dxa"/>
            <w:vAlign w:val="bottom"/>
            <w:tcBorders>
              <w:top w:val="single" w:sz="8" w:color="0000EE"/>
            </w:tcBorders>
            <w:gridSpan w:val="22"/>
          </w:tcPr>
          <w:p>
            <w:pPr>
              <w:spacing w:after="0"/>
              <w:rPr>
                <w:rFonts w:ascii="Arial" w:cs="Arial" w:eastAsia="Arial" w:hAnsi="Arial"/>
                <w:sz w:val="18"/>
                <w:szCs w:val="18"/>
                <w:color w:val="0000EE"/>
              </w:rPr>
            </w:pPr>
            <w:hyperlink r:id="rId274">
              <w:r>
                <w:rPr>
                  <w:rFonts w:ascii="Arial" w:cs="Arial" w:eastAsia="Arial" w:hAnsi="Arial"/>
                  <w:sz w:val="18"/>
                  <w:szCs w:val="18"/>
                  <w:color w:val="0000EE"/>
                </w:rPr>
                <w:t>Sublease, by and between Datadog, Inc. and Covington &amp; Burling LLP, dated July 19, 2018</w:t>
              </w:r>
            </w:hyperlink>
            <w:r>
              <w:rPr>
                <w:rFonts w:ascii="Arial" w:cs="Arial" w:eastAsia="Arial" w:hAnsi="Arial"/>
                <w:sz w:val="18"/>
                <w:szCs w:val="18"/>
                <w:color w:val="000000"/>
              </w:rPr>
              <w:t>.</w:t>
            </w:r>
          </w:p>
        </w:tc>
        <w:tc>
          <w:tcPr>
            <w:tcW w:w="1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10.12+†</w:t>
            </w:r>
          </w:p>
        </w:tc>
        <w:tc>
          <w:tcPr>
            <w:tcW w:w="560" w:type="dxa"/>
            <w:vAlign w:val="bottom"/>
          </w:tcPr>
          <w:p>
            <w:pPr>
              <w:spacing w:after="0"/>
              <w:rPr>
                <w:sz w:val="24"/>
                <w:szCs w:val="24"/>
                <w:color w:val="auto"/>
              </w:rPr>
            </w:pPr>
          </w:p>
        </w:tc>
        <w:tc>
          <w:tcPr>
            <w:tcW w:w="6560" w:type="dxa"/>
            <w:vAlign w:val="bottom"/>
            <w:tcBorders>
              <w:top w:val="single" w:sz="8" w:color="0000EE"/>
            </w:tcBorders>
            <w:gridSpan w:val="18"/>
          </w:tcPr>
          <w:p>
            <w:pPr>
              <w:spacing w:after="0"/>
              <w:rPr>
                <w:rFonts w:ascii="Arial" w:cs="Arial" w:eastAsia="Arial" w:hAnsi="Arial"/>
                <w:sz w:val="18"/>
                <w:szCs w:val="18"/>
                <w:color w:val="0000EE"/>
              </w:rPr>
            </w:pPr>
            <w:hyperlink r:id="rId275">
              <w:r>
                <w:rPr>
                  <w:rFonts w:ascii="Arial" w:cs="Arial" w:eastAsia="Arial" w:hAnsi="Arial"/>
                  <w:sz w:val="18"/>
                  <w:szCs w:val="18"/>
                  <w:color w:val="0000EE"/>
                </w:rPr>
                <w:t>Non-Employee Director Compensation Policy</w:t>
              </w:r>
            </w:hyperlink>
          </w:p>
        </w:tc>
        <w:tc>
          <w:tcPr>
            <w:tcW w:w="2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10.13+†</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r:id="rId276">
              <w:r>
                <w:rPr>
                  <w:rFonts w:ascii="Arial" w:cs="Arial" w:eastAsia="Arial" w:hAnsi="Arial"/>
                  <w:sz w:val="18"/>
                  <w:szCs w:val="18"/>
                  <w:color w:val="0000EE"/>
                </w:rPr>
                <w:t>Form of Change of Control and Severance Agreement</w:t>
              </w:r>
            </w:hyperlink>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3860" w:type="dxa"/>
            <w:vAlign w:val="bottom"/>
            <w:tcBorders>
              <w:top w:val="single" w:sz="8" w:color="0000EE"/>
            </w:tcBorders>
            <w:gridSpan w:val="10"/>
          </w:tcPr>
          <w:p>
            <w:pPr>
              <w:spacing w:after="0"/>
              <w:rPr>
                <w:rFonts w:ascii="Arial" w:cs="Arial" w:eastAsia="Arial" w:hAnsi="Arial"/>
                <w:sz w:val="18"/>
                <w:szCs w:val="18"/>
                <w:color w:val="0000EE"/>
              </w:rPr>
            </w:pPr>
            <w:hyperlink r:id="rId277">
              <w:r>
                <w:rPr>
                  <w:rFonts w:ascii="Arial" w:cs="Arial" w:eastAsia="Arial" w:hAnsi="Arial"/>
                  <w:sz w:val="18"/>
                  <w:szCs w:val="18"/>
                  <w:color w:val="0000EE"/>
                </w:rPr>
                <w:t>List of Subsidiaries of Datadog, Inc</w:t>
              </w:r>
            </w:hyperlink>
            <w:r>
              <w:rPr>
                <w:rFonts w:ascii="Arial" w:cs="Arial" w:eastAsia="Arial" w:hAnsi="Arial"/>
                <w:sz w:val="18"/>
                <w:szCs w:val="18"/>
                <w:color w:val="000000"/>
              </w:rPr>
              <w:t>.</w:t>
            </w:r>
          </w:p>
        </w:tc>
        <w:tc>
          <w:tcPr>
            <w:tcW w:w="5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9000" w:type="dxa"/>
            <w:vAlign w:val="bottom"/>
            <w:gridSpan w:val="24"/>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Consent of Deloitte &amp; Touche LLP, independent registered public accounting firm.</w:t>
              </w:r>
            </w:hyperlink>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960" w:type="dxa"/>
            <w:vAlign w:val="bottom"/>
            <w:tcBorders>
              <w:top w:val="single" w:sz="8" w:color="0000EE"/>
            </w:tcBorders>
            <w:gridSpan w:val="14"/>
          </w:tcPr>
          <w:p>
            <w:pPr>
              <w:spacing w:after="0"/>
              <w:rPr>
                <w:rFonts w:ascii="Arial" w:cs="Arial" w:eastAsia="Arial" w:hAnsi="Arial"/>
                <w:sz w:val="18"/>
                <w:szCs w:val="18"/>
                <w:color w:val="0000EE"/>
              </w:rPr>
            </w:pPr>
            <w:hyperlink r:id="rId263">
              <w:r>
                <w:rPr>
                  <w:rFonts w:ascii="Arial" w:cs="Arial" w:eastAsia="Arial" w:hAnsi="Arial"/>
                  <w:sz w:val="18"/>
                  <w:szCs w:val="18"/>
                  <w:color w:val="0000EE"/>
                </w:rPr>
                <w:t>Consent of Cooley LLP (included in Exhibit 5.1).</w:t>
              </w:r>
            </w:hyperlink>
          </w:p>
        </w:tc>
        <w:tc>
          <w:tcPr>
            <w:tcW w:w="30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3540" w:type="dxa"/>
            <w:vAlign w:val="bottom"/>
            <w:tcBorders>
              <w:top w:val="single" w:sz="8" w:color="0000EE"/>
            </w:tcBorders>
            <w:gridSpan w:val="8"/>
          </w:tcPr>
          <w:p>
            <w:pPr>
              <w:spacing w:after="0"/>
              <w:rPr>
                <w:rFonts w:ascii="Arial" w:cs="Arial" w:eastAsia="Arial" w:hAnsi="Arial"/>
                <w:sz w:val="18"/>
                <w:szCs w:val="18"/>
                <w:color w:val="0000EE"/>
              </w:rPr>
            </w:pPr>
            <w:hyperlink r:id="rId278">
              <w:r>
                <w:rPr>
                  <w:rFonts w:ascii="Arial" w:cs="Arial" w:eastAsia="Arial" w:hAnsi="Arial"/>
                  <w:sz w:val="18"/>
                  <w:szCs w:val="18"/>
                  <w:color w:val="0000EE"/>
                </w:rPr>
                <w:t>Power of Attorney (included on page II-5).</w:t>
              </w:r>
            </w:hyperlink>
          </w:p>
        </w:tc>
        <w:tc>
          <w:tcPr>
            <w:tcW w:w="5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102235</wp:posOffset>
            </wp:positionV>
            <wp:extent cx="7562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Previously submitted.</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Indicates management contract or compensatory plan.</w:t>
      </w:r>
    </w:p>
    <w:p>
      <w:pPr>
        <w:spacing w:after="0" w:line="1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460"/>
          </w:cols>
          <w:pgMar w:left="240" w:top="456" w:right="11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260" w:right="180" w:firstLine="437"/>
        <w:spacing w:after="0" w:line="301"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No. 2 to the Registration Statement to be signed on its behalf by the undersigned, thereunto duly authorized, in New York, New York, on September 17, 2019.</w:t>
      </w:r>
    </w:p>
    <w:p>
      <w:pPr>
        <w:spacing w:after="0" w:line="17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Pomel</w:t>
            </w:r>
          </w:p>
        </w:tc>
      </w:tr>
      <w:tr>
        <w:trPr>
          <w:trHeight w:val="208"/>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Olivier Pomel</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pacing w:after="0" w:line="201" w:lineRule="exact"/>
        <w:rPr>
          <w:sz w:val="20"/>
          <w:szCs w:val="20"/>
          <w:color w:val="auto"/>
        </w:rPr>
      </w:pPr>
    </w:p>
    <w:p>
      <w:pPr>
        <w:ind w:left="260" w:right="120" w:firstLine="437"/>
        <w:spacing w:after="0" w:line="271"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has been signed by the following persons in the capacities and on the dates indicated.</w:t>
      </w:r>
    </w:p>
    <w:p>
      <w:pPr>
        <w:spacing w:after="0" w:line="193"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2040" w:type="dxa"/>
            <w:vAlign w:val="bottom"/>
          </w:tcPr>
          <w:p>
            <w:pPr>
              <w:spacing w:after="0"/>
              <w:rPr>
                <w:sz w:val="14"/>
                <w:szCs w:val="14"/>
                <w:color w:val="auto"/>
              </w:rPr>
            </w:pPr>
          </w:p>
        </w:tc>
        <w:tc>
          <w:tcPr>
            <w:tcW w:w="4060" w:type="dxa"/>
            <w:vAlign w:val="bottom"/>
            <w:gridSpan w:val="3"/>
          </w:tcPr>
          <w:p>
            <w:pPr>
              <w:ind w:left="2000"/>
              <w:spacing w:after="0"/>
              <w:rPr>
                <w:sz w:val="20"/>
                <w:szCs w:val="20"/>
                <w:color w:val="auto"/>
              </w:rPr>
            </w:pPr>
            <w:r>
              <w:rPr>
                <w:rFonts w:ascii="Arial" w:cs="Arial" w:eastAsia="Arial" w:hAnsi="Arial"/>
                <w:sz w:val="14"/>
                <w:szCs w:val="14"/>
                <w:b w:val="1"/>
                <w:bCs w:val="1"/>
                <w:color w:val="auto"/>
              </w:rPr>
              <w:t>Title</w:t>
            </w:r>
          </w:p>
        </w:tc>
        <w:tc>
          <w:tcPr>
            <w:tcW w:w="194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0"/>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Olivier Pomel</w:t>
            </w:r>
          </w:p>
        </w:tc>
        <w:tc>
          <w:tcPr>
            <w:tcW w:w="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 (</w:t>
            </w:r>
            <w:r>
              <w:rPr>
                <w:rFonts w:ascii="Arial" w:cs="Arial" w:eastAsia="Arial" w:hAnsi="Arial"/>
                <w:sz w:val="18"/>
                <w:szCs w:val="18"/>
                <w:i w:val="1"/>
                <w:iCs w:val="1"/>
                <w:color w:val="auto"/>
              </w:rPr>
              <w:t>Principal</w:t>
            </w:r>
          </w:p>
        </w:tc>
        <w:tc>
          <w:tcPr>
            <w:tcW w:w="1940" w:type="dxa"/>
            <w:vAlign w:val="bottom"/>
            <w:gridSpan w:val="3"/>
          </w:tcPr>
          <w:p>
            <w:pPr>
              <w:jc w:val="center"/>
              <w:ind w:left="433"/>
              <w:spacing w:after="0"/>
              <w:rPr>
                <w:sz w:val="20"/>
                <w:szCs w:val="20"/>
                <w:color w:val="auto"/>
              </w:rPr>
            </w:pPr>
            <w:r>
              <w:rPr>
                <w:rFonts w:ascii="Arial" w:cs="Arial" w:eastAsia="Arial" w:hAnsi="Arial"/>
                <w:sz w:val="18"/>
                <w:szCs w:val="18"/>
                <w:color w:val="auto"/>
                <w:w w:val="87"/>
              </w:rPr>
              <w:t>September 17, 2019</w:t>
            </w:r>
          </w:p>
        </w:tc>
      </w:tr>
      <w:tr>
        <w:trPr>
          <w:trHeight w:val="222"/>
        </w:trPr>
        <w:tc>
          <w:tcPr>
            <w:tcW w:w="2660" w:type="dxa"/>
            <w:vAlign w:val="bottom"/>
            <w:gridSpan w:val="3"/>
          </w:tcPr>
          <w:p>
            <w:pPr>
              <w:spacing w:after="0"/>
              <w:rPr>
                <w:sz w:val="20"/>
                <w:szCs w:val="20"/>
                <w:color w:val="auto"/>
              </w:rPr>
            </w:pPr>
            <w:r>
              <w:rPr>
                <w:rFonts w:ascii="Arial" w:cs="Arial" w:eastAsia="Arial" w:hAnsi="Arial"/>
                <w:sz w:val="18"/>
                <w:szCs w:val="18"/>
                <w:color w:val="auto"/>
              </w:rPr>
              <w:t>Olivier Pomel</w:t>
            </w:r>
          </w:p>
        </w:tc>
        <w:tc>
          <w:tcPr>
            <w:tcW w:w="2040" w:type="dxa"/>
            <w:vAlign w:val="bottom"/>
          </w:tcPr>
          <w:p>
            <w:pPr>
              <w:spacing w:after="0"/>
              <w:rPr>
                <w:sz w:val="19"/>
                <w:szCs w:val="19"/>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Obstler</w:t>
            </w:r>
          </w:p>
        </w:tc>
        <w:tc>
          <w:tcPr>
            <w:tcW w:w="204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940" w:type="dxa"/>
            <w:vAlign w:val="bottom"/>
            <w:gridSpan w:val="3"/>
          </w:tcPr>
          <w:p>
            <w:pPr>
              <w:jc w:val="center"/>
              <w:ind w:left="433"/>
              <w:spacing w:after="0"/>
              <w:rPr>
                <w:sz w:val="20"/>
                <w:szCs w:val="20"/>
                <w:color w:val="auto"/>
              </w:rPr>
            </w:pPr>
            <w:r>
              <w:rPr>
                <w:rFonts w:ascii="Arial" w:cs="Arial" w:eastAsia="Arial" w:hAnsi="Arial"/>
                <w:sz w:val="18"/>
                <w:szCs w:val="18"/>
                <w:color w:val="auto"/>
                <w:w w:val="87"/>
              </w:rPr>
              <w:t>September 17, 2019</w:t>
            </w:r>
          </w:p>
        </w:tc>
      </w:tr>
      <w:tr>
        <w:trPr>
          <w:trHeight w:val="222"/>
        </w:trPr>
        <w:tc>
          <w:tcPr>
            <w:tcW w:w="2660" w:type="dxa"/>
            <w:vAlign w:val="bottom"/>
            <w:gridSpan w:val="3"/>
          </w:tcPr>
          <w:p>
            <w:pPr>
              <w:spacing w:after="0"/>
              <w:rPr>
                <w:sz w:val="20"/>
                <w:szCs w:val="20"/>
                <w:color w:val="auto"/>
              </w:rPr>
            </w:pPr>
            <w:r>
              <w:rPr>
                <w:rFonts w:ascii="Arial" w:cs="Arial" w:eastAsia="Arial" w:hAnsi="Arial"/>
                <w:sz w:val="18"/>
                <w:szCs w:val="18"/>
                <w:color w:val="auto"/>
              </w:rPr>
              <w:t>David Obstler</w:t>
            </w:r>
          </w:p>
        </w:tc>
        <w:tc>
          <w:tcPr>
            <w:tcW w:w="2040" w:type="dxa"/>
            <w:vAlign w:val="bottom"/>
          </w:tcPr>
          <w:p>
            <w:pPr>
              <w:spacing w:after="0"/>
              <w:rPr>
                <w:sz w:val="19"/>
                <w:szCs w:val="19"/>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Alexis Lê-Quôc</w:t>
            </w:r>
          </w:p>
        </w:tc>
        <w:tc>
          <w:tcPr>
            <w:tcW w:w="2040" w:type="dxa"/>
            <w:vAlign w:val="bottom"/>
            <w:tcBorders>
              <w:bottom w:val="single" w:sz="8" w:color="auto"/>
            </w:tcBorders>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President, Chief Technology Officer</w:t>
            </w:r>
          </w:p>
        </w:tc>
        <w:tc>
          <w:tcPr>
            <w:tcW w:w="1940" w:type="dxa"/>
            <w:vAlign w:val="bottom"/>
            <w:gridSpan w:val="3"/>
          </w:tcPr>
          <w:p>
            <w:pPr>
              <w:jc w:val="center"/>
              <w:ind w:left="433"/>
              <w:spacing w:after="0"/>
              <w:rPr>
                <w:sz w:val="20"/>
                <w:szCs w:val="20"/>
                <w:color w:val="auto"/>
              </w:rPr>
            </w:pPr>
            <w:r>
              <w:rPr>
                <w:rFonts w:ascii="Arial" w:cs="Arial" w:eastAsia="Arial" w:hAnsi="Arial"/>
                <w:sz w:val="18"/>
                <w:szCs w:val="18"/>
                <w:color w:val="auto"/>
                <w:w w:val="87"/>
              </w:rPr>
              <w:t>September 17, 2019</w:t>
            </w:r>
          </w:p>
        </w:tc>
      </w:tr>
      <w:tr>
        <w:trPr>
          <w:trHeight w:val="222"/>
        </w:trPr>
        <w:tc>
          <w:tcPr>
            <w:tcW w:w="2660" w:type="dxa"/>
            <w:vAlign w:val="bottom"/>
            <w:gridSpan w:val="3"/>
          </w:tcPr>
          <w:p>
            <w:pPr>
              <w:spacing w:after="0"/>
              <w:rPr>
                <w:sz w:val="20"/>
                <w:szCs w:val="20"/>
                <w:color w:val="auto"/>
              </w:rPr>
            </w:pPr>
            <w:r>
              <w:rPr>
                <w:rFonts w:ascii="Arial" w:cs="Arial" w:eastAsia="Arial" w:hAnsi="Arial"/>
                <w:sz w:val="18"/>
                <w:szCs w:val="18"/>
                <w:color w:val="auto"/>
              </w:rPr>
              <w:t>Alexis Lê-Quôc</w:t>
            </w:r>
          </w:p>
        </w:tc>
        <w:tc>
          <w:tcPr>
            <w:tcW w:w="2040" w:type="dxa"/>
            <w:vAlign w:val="bottom"/>
          </w:tcPr>
          <w:p>
            <w:pPr>
              <w:spacing w:after="0"/>
              <w:rPr>
                <w:sz w:val="19"/>
                <w:szCs w:val="19"/>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and Director</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66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33"/>
              <w:spacing w:after="0"/>
              <w:rPr>
                <w:sz w:val="20"/>
                <w:szCs w:val="20"/>
                <w:color w:val="auto"/>
              </w:rPr>
            </w:pPr>
            <w:r>
              <w:rPr>
                <w:rFonts w:ascii="Arial" w:cs="Arial" w:eastAsia="Arial" w:hAnsi="Arial"/>
                <w:sz w:val="18"/>
                <w:szCs w:val="18"/>
                <w:color w:val="auto"/>
                <w:w w:val="87"/>
              </w:rPr>
              <w:t>September 17, 2019</w:t>
            </w:r>
          </w:p>
        </w:tc>
      </w:tr>
      <w:tr>
        <w:trPr>
          <w:trHeight w:val="222"/>
        </w:trPr>
        <w:tc>
          <w:tcPr>
            <w:tcW w:w="20" w:type="dxa"/>
            <w:vAlign w:val="bottom"/>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Callahan</w:t>
            </w:r>
          </w:p>
        </w:tc>
        <w:tc>
          <w:tcPr>
            <w:tcW w:w="2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66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33"/>
              <w:spacing w:after="0"/>
              <w:rPr>
                <w:sz w:val="20"/>
                <w:szCs w:val="20"/>
                <w:color w:val="auto"/>
              </w:rPr>
            </w:pPr>
            <w:r>
              <w:rPr>
                <w:rFonts w:ascii="Arial" w:cs="Arial" w:eastAsia="Arial" w:hAnsi="Arial"/>
                <w:sz w:val="18"/>
                <w:szCs w:val="18"/>
                <w:color w:val="auto"/>
                <w:w w:val="87"/>
              </w:rPr>
              <w:t>September 17, 2019</w:t>
            </w:r>
          </w:p>
        </w:tc>
      </w:tr>
      <w:tr>
        <w:trPr>
          <w:trHeight w:val="222"/>
        </w:trPr>
        <w:tc>
          <w:tcPr>
            <w:tcW w:w="20" w:type="dxa"/>
            <w:vAlign w:val="bottom"/>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Jacobson</w:t>
            </w:r>
          </w:p>
        </w:tc>
        <w:tc>
          <w:tcPr>
            <w:tcW w:w="2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660" w:type="dxa"/>
            <w:vAlign w:val="bottom"/>
            <w:gridSpan w:val="3"/>
          </w:tcPr>
          <w:p>
            <w:pPr>
              <w:ind w:left="230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433"/>
              <w:spacing w:after="0"/>
              <w:rPr>
                <w:sz w:val="20"/>
                <w:szCs w:val="20"/>
                <w:color w:val="auto"/>
              </w:rPr>
            </w:pPr>
            <w:r>
              <w:rPr>
                <w:rFonts w:ascii="Arial" w:cs="Arial" w:eastAsia="Arial" w:hAnsi="Arial"/>
                <w:sz w:val="18"/>
                <w:szCs w:val="18"/>
                <w:color w:val="auto"/>
                <w:w w:val="87"/>
              </w:rPr>
              <w:t>September 17, 2019</w:t>
            </w:r>
          </w:p>
        </w:tc>
      </w:tr>
      <w:tr>
        <w:trPr>
          <w:trHeight w:val="222"/>
        </w:trPr>
        <w:tc>
          <w:tcPr>
            <w:tcW w:w="20" w:type="dxa"/>
            <w:vAlign w:val="bottom"/>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Dev Ittycheria</w:t>
            </w:r>
          </w:p>
        </w:tc>
        <w:tc>
          <w:tcPr>
            <w:tcW w:w="204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0"/>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60" w:type="dxa"/>
            <w:vAlign w:val="bottom"/>
            <w:gridSpan w:val="3"/>
          </w:tcPr>
          <w:p>
            <w:pPr>
              <w:ind w:left="620"/>
              <w:spacing w:after="0"/>
              <w:rPr>
                <w:sz w:val="20"/>
                <w:szCs w:val="20"/>
                <w:color w:val="auto"/>
              </w:rPr>
            </w:pPr>
            <w:r>
              <w:rPr>
                <w:rFonts w:ascii="Arial" w:cs="Arial" w:eastAsia="Arial" w:hAnsi="Arial"/>
                <w:sz w:val="18"/>
                <w:szCs w:val="18"/>
                <w:color w:val="auto"/>
              </w:rPr>
              <w:t>II-5</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180"/>
          </w:cols>
          <w:pgMar w:left="240" w:top="456"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2"/>
          </w:tcPr>
          <w:p>
            <w:pPr>
              <w:ind w:left="2000"/>
              <w:spacing w:after="0"/>
              <w:rPr>
                <w:sz w:val="20"/>
                <w:szCs w:val="20"/>
                <w:color w:val="auto"/>
              </w:rPr>
            </w:pPr>
            <w:r>
              <w:rPr>
                <w:rFonts w:ascii="Arial" w:cs="Arial" w:eastAsia="Arial" w:hAnsi="Arial"/>
                <w:sz w:val="14"/>
                <w:szCs w:val="14"/>
                <w:b w:val="1"/>
                <w:bCs w:val="1"/>
                <w:color w:val="auto"/>
                <w:w w:val="90"/>
              </w:rPr>
              <w:t>Title</w:t>
            </w:r>
          </w:p>
        </w:tc>
        <w:tc>
          <w:tcPr>
            <w:tcW w:w="3720" w:type="dxa"/>
            <w:vAlign w:val="bottom"/>
            <w:gridSpan w:val="3"/>
          </w:tcPr>
          <w:p>
            <w:pPr>
              <w:jc w:val="center"/>
              <w:ind w:left="2217"/>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0"/>
        </w:trPr>
        <w:tc>
          <w:tcPr>
            <w:tcW w:w="2040" w:type="dxa"/>
            <w:vAlign w:val="bottom"/>
            <w:gridSpan w:val="3"/>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720" w:type="dxa"/>
            <w:vAlign w:val="bottom"/>
            <w:gridSpan w:val="3"/>
          </w:tcPr>
          <w:p>
            <w:pPr>
              <w:jc w:val="center"/>
              <w:ind w:left="2217"/>
              <w:spacing w:after="0"/>
              <w:rPr>
                <w:sz w:val="20"/>
                <w:szCs w:val="20"/>
                <w:color w:val="auto"/>
              </w:rPr>
            </w:pPr>
            <w:r>
              <w:rPr>
                <w:rFonts w:ascii="Arial" w:cs="Arial" w:eastAsia="Arial" w:hAnsi="Arial"/>
                <w:sz w:val="18"/>
                <w:szCs w:val="18"/>
                <w:color w:val="auto"/>
                <w:w w:val="87"/>
              </w:rPr>
              <w:t>September 17, 2019</w:t>
            </w:r>
          </w:p>
        </w:tc>
      </w:tr>
      <w:tr>
        <w:trPr>
          <w:trHeight w:val="222"/>
        </w:trPr>
        <w:tc>
          <w:tcPr>
            <w:tcW w:w="20" w:type="dxa"/>
            <w:vAlign w:val="bottom"/>
          </w:tcPr>
          <w:p>
            <w:pPr>
              <w:spacing w:after="0"/>
              <w:rPr>
                <w:sz w:val="19"/>
                <w:szCs w:val="19"/>
                <w:color w:val="auto"/>
              </w:rPr>
            </w:pPr>
          </w:p>
        </w:tc>
        <w:tc>
          <w:tcPr>
            <w:tcW w:w="2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Julie Richardson</w:t>
            </w:r>
          </w:p>
        </w:tc>
        <w:tc>
          <w:tcPr>
            <w:tcW w:w="18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2660" w:type="dxa"/>
            <w:vAlign w:val="bottom"/>
            <w:gridSpan w:val="4"/>
          </w:tcPr>
          <w:p>
            <w:pPr>
              <w:jc w:val="center"/>
              <w:ind w:left="1931"/>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jc w:val="center"/>
              <w:ind w:left="2217"/>
              <w:spacing w:after="0"/>
              <w:rPr>
                <w:sz w:val="20"/>
                <w:szCs w:val="20"/>
                <w:color w:val="auto"/>
              </w:rPr>
            </w:pPr>
            <w:r>
              <w:rPr>
                <w:rFonts w:ascii="Arial" w:cs="Arial" w:eastAsia="Arial" w:hAnsi="Arial"/>
                <w:sz w:val="18"/>
                <w:szCs w:val="18"/>
                <w:color w:val="auto"/>
                <w:w w:val="87"/>
              </w:rPr>
              <w:t>September 17, 2019</w:t>
            </w:r>
          </w:p>
        </w:tc>
      </w:tr>
      <w:tr>
        <w:trPr>
          <w:trHeight w:val="222"/>
        </w:trPr>
        <w:tc>
          <w:tcPr>
            <w:tcW w:w="20" w:type="dxa"/>
            <w:vAlign w:val="bottom"/>
          </w:tcPr>
          <w:p>
            <w:pPr>
              <w:spacing w:after="0"/>
              <w:rPr>
                <w:sz w:val="19"/>
                <w:szCs w:val="19"/>
                <w:color w:val="auto"/>
              </w:rPr>
            </w:pPr>
          </w:p>
        </w:tc>
        <w:tc>
          <w:tcPr>
            <w:tcW w:w="2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Shardul Shah</w:t>
            </w:r>
          </w:p>
        </w:tc>
        <w:tc>
          <w:tcPr>
            <w:tcW w:w="18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69"/>
        </w:trPr>
        <w:tc>
          <w:tcPr>
            <w:tcW w:w="2660" w:type="dxa"/>
            <w:vAlign w:val="bottom"/>
            <w:gridSpan w:val="4"/>
          </w:tcPr>
          <w:p>
            <w:pPr>
              <w:spacing w:after="0"/>
              <w:rPr>
                <w:sz w:val="20"/>
                <w:szCs w:val="20"/>
                <w:color w:val="auto"/>
              </w:rPr>
            </w:pPr>
            <w:r>
              <w:rPr>
                <w:rFonts w:ascii="Arial" w:cs="Arial" w:eastAsia="Arial" w:hAnsi="Arial"/>
                <w:sz w:val="18"/>
                <w:szCs w:val="18"/>
                <w:color w:val="auto"/>
              </w:rPr>
              <w:t>*By:   /s/ Laszlo Kopits</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Attorney-in-Fact</w:t>
            </w:r>
          </w:p>
        </w:tc>
        <w:tc>
          <w:tcPr>
            <w:tcW w:w="1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2"/>
          </w:tcPr>
          <w:p>
            <w:pPr>
              <w:ind w:left="620"/>
              <w:spacing w:after="0"/>
              <w:rPr>
                <w:sz w:val="20"/>
                <w:szCs w:val="20"/>
                <w:color w:val="auto"/>
              </w:rPr>
            </w:pPr>
            <w:r>
              <w:rPr>
                <w:rFonts w:ascii="Arial" w:cs="Arial" w:eastAsia="Arial" w:hAnsi="Arial"/>
                <w:sz w:val="18"/>
                <w:szCs w:val="18"/>
                <w:color w:val="auto"/>
              </w:rPr>
              <w:t>II-6</w:t>
            </w:r>
          </w:p>
        </w:tc>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960"/>
          </w:cols>
          <w:pgMar w:left="240" w:top="456" w:right="69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use in this Amendment No. 2 to Registration Statement No. 333-233428 of our report dated June 13, 2019 (September 9, 2019 as to the effect of the stock split described in Note 2) relating to the consolidated financial statements of Datadog, Inc. and subsidiaries (which report expresses an unqualified opinion and includes an explanatory paragraph relating to the adoption of a new revenue accounting standard) appearing in the Prospectus, which is part of this Registration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headings “Experts” in such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September 17, 2019</w:t>
      </w:r>
    </w:p>
    <w:sectPr>
      <w:pgSz w:w="11900" w:h="16838" w:orient="portrait"/>
      <w:cols w:equalWidth="0" w:num="1">
        <w:col w:w="10920"/>
      </w:cols>
      <w:pgMar w:left="50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1)"/>
      <w:numFmt w:val="decimal"/>
      <w:start w:val="1"/>
    </w:lvl>
  </w:abstractNum>
  <w:abstractNum w:abstractNumId="13">
    <w:nsid w:val="25A70BF7"/>
    <w:multiLevelType w:val="hybridMultilevel"/>
    <w:lvl w:ilvl="0">
      <w:lvlJc w:val="left"/>
      <w:lvlText w:val="(%1)"/>
      <w:numFmt w:val="decimal"/>
      <w:start w:val="2"/>
    </w:lvl>
  </w:abstractNum>
  <w:abstractNum w:abstractNumId="14">
    <w:nsid w:val="1DBABF00"/>
    <w:multiLevelType w:val="hybridMultilevel"/>
    <w:lvl w:ilvl="0">
      <w:lvlJc w:val="left"/>
      <w:lvlText w:val="(%1)"/>
      <w:numFmt w:val="decimal"/>
      <w:start w:val="3"/>
    </w:lvl>
  </w:abstractNum>
  <w:abstractNum w:abstractNumId="15">
    <w:nsid w:val="4AD084E9"/>
    <w:multiLevelType w:val="hybridMultilevel"/>
    <w:lvl w:ilvl="0">
      <w:lvlJc w:val="left"/>
      <w:lvlText w:val="(%1)"/>
      <w:numFmt w:val="decimal"/>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1)"/>
      <w:numFmt w:val="decimal"/>
      <w:start w:val="2"/>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1)"/>
      <w:numFmt w:val="decimal"/>
      <w:start w:val="1"/>
    </w:lvl>
  </w:abstractNum>
  <w:abstractNum w:abstractNumId="37">
    <w:nsid w:val="42963E5A"/>
    <w:multiLevelType w:val="hybridMultilevel"/>
    <w:lvl w:ilvl="0">
      <w:lvlJc w:val="left"/>
      <w:lvlText w:val="(%1)"/>
      <w:numFmt w:val="decimal"/>
      <w:start w:val="2"/>
    </w:lvl>
  </w:abstractNum>
  <w:abstractNum w:abstractNumId="38">
    <w:nsid w:val="A0382C5"/>
    <w:multiLevelType w:val="hybridMultilevel"/>
    <w:lvl w:ilvl="0">
      <w:lvlJc w:val="left"/>
      <w:lvlText w:val="(%1)"/>
      <w:numFmt w:val="decimal"/>
      <w:start w:val="3"/>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1)"/>
      <w:numFmt w:val="decimal"/>
      <w:start w:val="1"/>
    </w:lvl>
  </w:abstractNum>
  <w:abstractNum w:abstractNumId="42">
    <w:nsid w:val="68EB2F63"/>
    <w:multiLevelType w:val="hybridMultilevel"/>
    <w:lvl w:ilvl="0">
      <w:lvlJc w:val="left"/>
      <w:lvlText w:val="(%1)"/>
      <w:numFmt w:val="decimal"/>
      <w:start w:val="2"/>
    </w:lvl>
  </w:abstractNum>
  <w:abstractNum w:abstractNumId="43">
    <w:nsid w:val="4962813B"/>
    <w:multiLevelType w:val="hybridMultilevel"/>
    <w:lvl w:ilvl="0">
      <w:lvlJc w:val="left"/>
      <w:lvlText w:val="(%1)"/>
      <w:numFmt w:val="decimal"/>
      <w:start w:val="3"/>
    </w:lvl>
  </w:abstractNum>
  <w:abstractNum w:abstractNumId="44">
    <w:nsid w:val="60B6DF70"/>
    <w:multiLevelType w:val="hybridMultilevel"/>
    <w:lvl w:ilvl="0">
      <w:lvlJc w:val="left"/>
      <w:lvlText w:val="(%1)"/>
      <w:numFmt w:val="decimal"/>
      <w:start w:val="1"/>
    </w:lvl>
  </w:abstractNum>
  <w:abstractNum w:abstractNumId="45">
    <w:nsid w:val="6A5EE64"/>
    <w:multiLevelType w:val="hybridMultilevel"/>
    <w:lvl w:ilvl="0">
      <w:lvlJc w:val="left"/>
      <w:lvlText w:val="(%1)"/>
      <w:numFmt w:val="decimal"/>
      <w:start w:val="2"/>
    </w:lvl>
  </w:abstractNum>
  <w:abstractNum w:abstractNumId="46">
    <w:nsid w:val="14330624"/>
    <w:multiLevelType w:val="hybridMultilevel"/>
    <w:lvl w:ilvl="0">
      <w:lvlJc w:val="left"/>
      <w:lvlText w:val="(%1)"/>
      <w:numFmt w:val="decimal"/>
      <w:start w:val="3"/>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
      <w:numFmt w:val="bullet"/>
      <w:start w:val="1"/>
    </w:lvl>
    <w:lvl w:ilvl="1">
      <w:lvlJc w:val="left"/>
      <w:lvlText w:val="•"/>
      <w:numFmt w:val="bullet"/>
      <w:start w:val="1"/>
    </w:lvl>
  </w:abstractNum>
  <w:abstractNum w:abstractNumId="67">
    <w:nsid w:val="57FC4FBB"/>
    <w:multiLevelType w:val="hybridMultilevel"/>
    <w:lvl w:ilvl="0">
      <w:lvlJc w:val="left"/>
      <w:lvlText w:val="•"/>
      <w:numFmt w:val="bullet"/>
      <w:start w:val="1"/>
    </w:lvl>
    <w:lvl w:ilvl="1">
      <w:lvlJc w:val="left"/>
      <w:lvlText w:val="•"/>
      <w:numFmt w:val="bullet"/>
      <w:start w:val="1"/>
    </w:lvl>
  </w:abstractNum>
  <w:abstractNum w:abstractNumId="68">
    <w:nsid w:val="CC1016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
    <w:nsid w:val="43F1842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1)"/>
      <w:numFmt w:val="decimal"/>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1)"/>
      <w:numFmt w:val="decimal"/>
      <w:start w:val="1"/>
    </w:lvl>
  </w:abstractNum>
  <w:abstractNum w:abstractNumId="81">
    <w:nsid w:val="6FC75AF8"/>
    <w:multiLevelType w:val="hybridMultilevel"/>
    <w:lvl w:ilvl="0">
      <w:lvlJc w:val="left"/>
      <w:lvlText w:val="(%1)"/>
      <w:numFmt w:val="decimal"/>
      <w:start w:val="1"/>
    </w:lvl>
  </w:abstractNum>
  <w:abstractNum w:abstractNumId="82">
    <w:nsid w:val="6A5F7029"/>
    <w:multiLevelType w:val="hybridMultilevel"/>
    <w:lvl w:ilvl="0">
      <w:lvlJc w:val="left"/>
      <w:lvlText w:val="(%1)"/>
      <w:numFmt w:val="decimal"/>
      <w:start w:val="1"/>
    </w:lvl>
  </w:abstractNum>
  <w:abstractNum w:abstractNumId="83">
    <w:nsid w:val="7D5E18F8"/>
    <w:multiLevelType w:val="hybridMultilevel"/>
    <w:lvl w:ilvl="0">
      <w:lvlJc w:val="left"/>
      <w:lvlText w:val="(%1)"/>
      <w:numFmt w:val="decimal"/>
      <w:start w:val="1"/>
    </w:lvl>
  </w:abstractNum>
  <w:abstractNum w:abstractNumId="84">
    <w:nsid w:val="5F3534A4"/>
    <w:multiLevelType w:val="hybridMultilevel"/>
    <w:lvl w:ilvl="0">
      <w:lvlJc w:val="left"/>
      <w:lvlText w:val="(%1)"/>
      <w:numFmt w:val="decimal"/>
      <w:start w:val="5"/>
    </w:lvl>
  </w:abstractNum>
  <w:abstractNum w:abstractNumId="85">
    <w:nsid w:val="73A1821B"/>
    <w:multiLevelType w:val="hybridMultilevel"/>
    <w:lvl w:ilvl="0">
      <w:lvlJc w:val="left"/>
      <w:lvlText w:val="(%1)"/>
      <w:numFmt w:val="decimal"/>
      <w:start w:val="10"/>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1)"/>
      <w:numFmt w:val="decimal"/>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
      <w:numFmt w:val="bullet"/>
      <w:start w:val="1"/>
    </w:lvl>
  </w:abstractNum>
  <w:abstractNum w:abstractNumId="93">
    <w:nsid w:val="53299938"/>
    <w:multiLevelType w:val="hybridMultilevel"/>
    <w:lvl w:ilvl="0">
      <w:lvlJc w:val="left"/>
      <w:lvlText w:val="(%1)"/>
      <w:numFmt w:val="decimal"/>
      <w:start w:val="1"/>
    </w:lvl>
  </w:abstractNum>
  <w:abstractNum w:abstractNumId="94">
    <w:nsid w:val="1FBFE8E0"/>
    <w:multiLevelType w:val="hybridMultilevel"/>
    <w:lvl w:ilvl="0">
      <w:lvlJc w:val="left"/>
      <w:lvlText w:val="(%1)"/>
      <w:numFmt w:val="decimal"/>
      <w:start w:val="2"/>
    </w:lvl>
  </w:abstractNum>
  <w:abstractNum w:abstractNumId="95">
    <w:nsid w:val="5092CA79"/>
    <w:multiLevelType w:val="hybridMultilevel"/>
    <w:lvl w:ilvl="0">
      <w:lvlJc w:val="left"/>
      <w:lvlText w:val="•"/>
      <w:numFmt w:val="bullet"/>
      <w:start w:val="1"/>
    </w:lvl>
  </w:abstractNum>
  <w:abstractNum w:abstractNumId="96">
    <w:nsid w:val="1D545C4D"/>
    <w:multiLevelType w:val="hybridMultilevel"/>
    <w:lvl w:ilvl="0">
      <w:lvlJc w:val="left"/>
      <w:lvlText w:val="•"/>
      <w:numFmt w:val="bullet"/>
      <w:start w:val="1"/>
    </w:lvl>
  </w:abstractNum>
  <w:abstractNum w:abstractNumId="97">
    <w:nsid w:val="59ADEA3D"/>
    <w:multiLevelType w:val="hybridMultilevel"/>
    <w:lvl w:ilvl="0">
      <w:lvlJc w:val="left"/>
      <w:lvlText w:val="(%1)"/>
      <w:numFmt w:val="decimal"/>
      <w:start w:val="1"/>
    </w:lvl>
  </w:abstractNum>
  <w:abstractNum w:abstractNumId="98">
    <w:nsid w:val="288F1A34"/>
    <w:multiLevelType w:val="hybridMultilevel"/>
    <w:lvl w:ilvl="0">
      <w:lvlJc w:val="left"/>
      <w:lvlText w:val="(%1)"/>
      <w:numFmt w:val="decimal"/>
      <w:start w:val="5"/>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1)"/>
      <w:numFmt w:val="decimal"/>
      <w:start w:val="2"/>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1)"/>
      <w:numFmt w:val="decimal"/>
      <w:start w:val="1"/>
    </w:lvl>
  </w:abstractNum>
  <w:abstractNum w:abstractNumId="103">
    <w:nsid w:val="1CA0C5FA"/>
    <w:multiLevelType w:val="hybridMultilevel"/>
    <w:lvl w:ilvl="0">
      <w:lvlJc w:val="left"/>
      <w:lvlText w:val="•"/>
      <w:numFmt w:val="bullet"/>
      <w:start w:val="1"/>
    </w:lvl>
  </w:abstractNum>
  <w:abstractNum w:abstractNumId="104">
    <w:nsid w:val="53584BCB"/>
    <w:multiLevelType w:val="hybridMultilevel"/>
    <w:lvl w:ilvl="0">
      <w:lvlJc w:val="left"/>
      <w:lvlText w:val="%1"/>
      <w:numFmt w:val="decimal"/>
      <w:start w:val="1"/>
    </w:lvl>
    <w:lvl w:ilvl="1">
      <w:lvlJc w:val="left"/>
      <w:lvlText w:val="(%2)"/>
      <w:numFmt w:val="upperLetter"/>
      <w:start w:val="1"/>
    </w:lvl>
  </w:abstractNum>
  <w:abstractNum w:abstractNumId="105">
    <w:nsid w:val="415E286C"/>
    <w:multiLevelType w:val="hybridMultilevel"/>
    <w:lvl w:ilvl="0">
      <w:lvlJc w:val="left"/>
      <w:lvlText w:val="(%1)"/>
      <w:numFmt w:val="decimal"/>
      <w:start w:val="2"/>
    </w:lvl>
    <w:lvl w:ilvl="1">
      <w:lvlJc w:val="left"/>
      <w:lvlText w:val="%2"/>
      <w:numFmt w:val="upperLetter"/>
      <w:start w:val="1"/>
    </w:lvl>
  </w:abstractNum>
  <w:abstractNum w:abstractNumId="106">
    <w:nsid w:val="7C58FD05"/>
    <w:multiLevelType w:val="hybridMultilevel"/>
    <w:lvl w:ilvl="0">
      <w:lvlJc w:val="left"/>
      <w:lvlText w:val="(%1)"/>
      <w:numFmt w:val="upperLetter"/>
      <w:start w:val="3"/>
    </w:lvl>
  </w:abstractNum>
  <w:abstractNum w:abstractNumId="107">
    <w:nsid w:val="23D86AAC"/>
    <w:multiLevelType w:val="hybridMultilevel"/>
    <w:lvl w:ilvl="0">
      <w:lvlJc w:val="left"/>
      <w:lvlText w:val="•"/>
      <w:numFmt w:val="bullet"/>
      <w:start w:val="1"/>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lowerLetter"/>
      <w:start w:val="1"/>
    </w:lvl>
  </w:abstractNum>
  <w:abstractNum w:abstractNumId="110">
    <w:nsid w:val="E7FFA2B"/>
    <w:multiLevelType w:val="hybridMultilevel"/>
    <w:lvl w:ilvl="0">
      <w:lvlJc w:val="left"/>
      <w:lvlText w:val="(%1)"/>
      <w:numFmt w:val="decimal"/>
      <w:start w:val="1"/>
    </w:lvl>
  </w:abstractNum>
  <w:abstractNum w:abstractNumId="111">
    <w:nsid w:val="3C5991AA"/>
    <w:multiLevelType w:val="hybridMultilevel"/>
    <w:lvl w:ilvl="0">
      <w:lvlJc w:val="left"/>
      <w:lvlText w:val="%1)"/>
      <w:numFmt w:val="decimal"/>
      <w:start w:val="1"/>
    </w:lvl>
  </w:abstractNum>
  <w:abstractNum w:abstractNumId="112">
    <w:nsid w:val="4BD8591A"/>
    <w:multiLevelType w:val="hybridMultilevel"/>
    <w:lvl w:ilvl="0">
      <w:lvlJc w:val="left"/>
      <w:lvlText w:val="%1)"/>
      <w:numFmt w:val="decimal"/>
      <w:start w:val="1"/>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1)"/>
      <w:numFmt w:val="decimal"/>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57" Type="http://schemas.openxmlformats.org/officeDocument/2006/relationships/hyperlink" Target="http://www.sec.gov/Archives/edgar/data/1561550/000119312519240411/d745413dex11.htm" TargetMode="External"/><Relationship Id="rId258" Type="http://schemas.openxmlformats.org/officeDocument/2006/relationships/hyperlink" Target="http://www.sec.gov/Archives/edgar/data/1561550/000119312519240411/d745413dex31.htm" TargetMode="External"/><Relationship Id="rId259" Type="http://schemas.openxmlformats.org/officeDocument/2006/relationships/hyperlink" Target="http://www.sec.gov/Archives/edgar/data/1561550/000119312519240411/d745413dex32.htm" TargetMode="External"/><Relationship Id="rId260" Type="http://schemas.openxmlformats.org/officeDocument/2006/relationships/hyperlink" Target="http://www.sec.gov/Archives/edgar/data/0001561550/000119312519227783/d745413dex33.htm" TargetMode="External"/><Relationship Id="rId261" Type="http://schemas.openxmlformats.org/officeDocument/2006/relationships/hyperlink" Target="http://www.sec.gov/Archives/edgar/data/0001561550/000119312519227783/d745413dex34.htm" TargetMode="External"/><Relationship Id="rId262" Type="http://schemas.openxmlformats.org/officeDocument/2006/relationships/hyperlink" Target="http://www.sec.gov/Archives/edgar/data/1561550/000119312519240411/d745413dex41.htm" TargetMode="External"/><Relationship Id="rId263" Type="http://schemas.openxmlformats.org/officeDocument/2006/relationships/hyperlink" Target="http://www.sec.gov/Archives/edgar/data/1561550/000119312519240411/d745413dex51.htm" TargetMode="External"/><Relationship Id="rId264" Type="http://schemas.openxmlformats.org/officeDocument/2006/relationships/hyperlink" Target="http://www.sec.gov/Archives/edgar/data/0001561550/000119312519227783/d745413dex101.htm" TargetMode="External"/><Relationship Id="rId265" Type="http://schemas.openxmlformats.org/officeDocument/2006/relationships/hyperlink" Target="http://www.sec.gov/Archives/edgar/data/0001561550/000119312519227783/d745413dex102.htm" TargetMode="External"/><Relationship Id="rId266" Type="http://schemas.openxmlformats.org/officeDocument/2006/relationships/hyperlink" Target="http://www.sec.gov/Archives/edgar/data/1561550/000119312519240411/d745413dex103.htm" TargetMode="External"/><Relationship Id="rId267" Type="http://schemas.openxmlformats.org/officeDocument/2006/relationships/hyperlink" Target="http://www.sec.gov/Archives/edgar/data/1561550/000119312519240411/d745413dex104.htm" TargetMode="External"/><Relationship Id="rId268" Type="http://schemas.openxmlformats.org/officeDocument/2006/relationships/hyperlink" Target="http://www.sec.gov/Archives/edgar/data/1561550/000119312519240411/d745413dex105.htm" TargetMode="External"/><Relationship Id="rId269" Type="http://schemas.openxmlformats.org/officeDocument/2006/relationships/hyperlink" Target="http://www.sec.gov/Archives/edgar/data/1561550/000119312519240411/d745413dex106.htm" TargetMode="External"/><Relationship Id="rId270" Type="http://schemas.openxmlformats.org/officeDocument/2006/relationships/hyperlink" Target="http://www.sec.gov/Archives/edgar/data/1561550/000119312519240411/d745413dex107.htm" TargetMode="External"/><Relationship Id="rId271" Type="http://schemas.openxmlformats.org/officeDocument/2006/relationships/hyperlink" Target="http://www.sec.gov/Archives/edgar/data/1561550/000119312519240411/d745413dex108.htm" TargetMode="External"/><Relationship Id="rId272" Type="http://schemas.openxmlformats.org/officeDocument/2006/relationships/hyperlink" Target="http://www.sec.gov/Archives/edgar/data/0001561550/000119312519227783/d745413dex109.htm" TargetMode="External"/><Relationship Id="rId273" Type="http://schemas.openxmlformats.org/officeDocument/2006/relationships/hyperlink" Target="http://www.sec.gov/Archives/edgar/data/0001561550/000119312519227783/d745413dex1010.htm" TargetMode="External"/><Relationship Id="rId274" Type="http://schemas.openxmlformats.org/officeDocument/2006/relationships/hyperlink" Target="http://www.sec.gov/Archives/edgar/data/0001561550/000119312519227783/d745413dex1011.htm" TargetMode="External"/><Relationship Id="rId275" Type="http://schemas.openxmlformats.org/officeDocument/2006/relationships/hyperlink" Target="http://www.sec.gov/Archives/edgar/data/1561550/000119312519240411/d745413dex1012.htm" TargetMode="External"/><Relationship Id="rId276" Type="http://schemas.openxmlformats.org/officeDocument/2006/relationships/hyperlink" Target="http://www.sec.gov/Archives/edgar/data/1561550/000119312519240411/d745413dex1013.htm" TargetMode="External"/><Relationship Id="rId277" Type="http://schemas.openxmlformats.org/officeDocument/2006/relationships/hyperlink" Target="http://www.sec.gov/Archives/edgar/data/0001561550/000119312519227783/d745413dex211.htm" TargetMode="External"/><Relationship Id="rId278" Type="http://schemas.openxmlformats.org/officeDocument/2006/relationships/hyperlink" Target="http://www.sec.gov/Archives/edgar/data/1561550/000119312519227783/d745413ds1.htm#ii745413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2020-01-07T23:23:15Z</dcterms:created>
  <dcterms:modified xsi:type="dcterms:W3CDTF">2020-01-07T23:23:15Z</dcterms:modified>
</cp:coreProperties>
</file>