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868680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894715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9"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52"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9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58" w:lineRule="exact"/>
        <w:rPr>
          <w:sz w:val="24"/>
          <w:szCs w:val="24"/>
          <w:color w:val="auto"/>
        </w:rPr>
      </w:pPr>
    </w:p>
    <w:p>
      <w:pPr>
        <w:ind w:left="420" w:hanging="394"/>
        <w:spacing w:after="0"/>
        <w:tabs>
          <w:tab w:leader="none" w:pos="4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02" w:lineRule="exact"/>
        <w:rPr>
          <w:sz w:val="24"/>
          <w:szCs w:val="24"/>
          <w:color w:val="auto"/>
        </w:rPr>
      </w:pPr>
    </w:p>
    <w:tbl>
      <w:tblPr>
        <w:tblLayout w:type="fixed"/>
        <w:tblInd w:w="940" w:type="dxa"/>
        <w:tblCellMar>
          <w:top w:w="0" w:type="dxa"/>
          <w:left w:w="0" w:type="dxa"/>
          <w:bottom w:w="0" w:type="dxa"/>
          <w:right w:w="0" w:type="dxa"/>
        </w:tblCellMar>
      </w:tblPr>
      <w:tr>
        <w:trPr>
          <w:trHeight w:val="207"/>
        </w:trPr>
        <w:tc>
          <w:tcPr>
            <w:tcW w:w="1360" w:type="dxa"/>
            <w:vAlign w:val="bottom"/>
          </w:tcPr>
          <w:p>
            <w:pPr>
              <w:spacing w:after="0"/>
              <w:rPr>
                <w:sz w:val="17"/>
                <w:szCs w:val="17"/>
                <w:color w:val="auto"/>
              </w:rPr>
            </w:pPr>
          </w:p>
        </w:tc>
        <w:tc>
          <w:tcPr>
            <w:tcW w:w="3900" w:type="dxa"/>
            <w:vAlign w:val="bottom"/>
          </w:tcPr>
          <w:p>
            <w:pPr>
              <w:ind w:left="152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48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w:t>
            </w:r>
          </w:p>
        </w:tc>
        <w:tc>
          <w:tcPr>
            <w:tcW w:w="500" w:type="dxa"/>
            <w:vAlign w:val="bottom"/>
            <w:tcBorders>
              <w:bottom w:val="single" w:sz="8" w:color="auto"/>
            </w:tcBorders>
          </w:tcPr>
          <w:p>
            <w:pPr>
              <w:spacing w:after="0"/>
              <w:rPr>
                <w:sz w:val="17"/>
                <w:szCs w:val="17"/>
                <w:color w:val="auto"/>
              </w:rPr>
            </w:pPr>
          </w:p>
        </w:tc>
        <w:tc>
          <w:tcPr>
            <w:tcW w:w="2180" w:type="dxa"/>
            <w:vAlign w:val="bottom"/>
          </w:tcPr>
          <w:p>
            <w:pPr>
              <w:spacing w:after="0"/>
              <w:rPr>
                <w:sz w:val="17"/>
                <w:szCs w:val="17"/>
                <w:color w:val="auto"/>
              </w:rPr>
            </w:pPr>
          </w:p>
        </w:tc>
      </w:tr>
      <w:tr>
        <w:trPr>
          <w:trHeight w:val="309"/>
        </w:trPr>
        <w:tc>
          <w:tcPr>
            <w:tcW w:w="1360" w:type="dxa"/>
            <w:vAlign w:val="bottom"/>
          </w:tcPr>
          <w:p>
            <w:pPr>
              <w:spacing w:after="0"/>
              <w:rPr>
                <w:sz w:val="24"/>
                <w:szCs w:val="24"/>
                <w:color w:val="auto"/>
              </w:rPr>
            </w:pPr>
          </w:p>
        </w:tc>
        <w:tc>
          <w:tcPr>
            <w:tcW w:w="7300" w:type="dxa"/>
            <w:vAlign w:val="bottom"/>
            <w:gridSpan w:val="5"/>
          </w:tcPr>
          <w:p>
            <w:pPr>
              <w:jc w:val="center"/>
              <w:ind w:right="568"/>
              <w:spacing w:after="0"/>
              <w:rPr>
                <w:sz w:val="20"/>
                <w:szCs w:val="20"/>
                <w:color w:val="auto"/>
              </w:rPr>
            </w:pPr>
            <w:r>
              <w:rPr>
                <w:rFonts w:ascii="Times New Roman" w:cs="Times New Roman" w:eastAsia="Times New Roman" w:hAnsi="Times New Roman"/>
                <w:sz w:val="18"/>
                <w:szCs w:val="18"/>
                <w:b w:val="1"/>
                <w:bCs w:val="1"/>
                <w:color w:val="auto"/>
              </w:rPr>
              <w:t>Commission File Number: 001-39051</w:t>
            </w:r>
          </w:p>
        </w:tc>
      </w:tr>
      <w:tr>
        <w:trPr>
          <w:trHeight w:val="238"/>
        </w:trPr>
        <w:tc>
          <w:tcPr>
            <w:tcW w:w="1360" w:type="dxa"/>
            <w:vAlign w:val="bottom"/>
          </w:tcPr>
          <w:p>
            <w:pPr>
              <w:spacing w:after="0"/>
              <w:rPr>
                <w:sz w:val="20"/>
                <w:szCs w:val="20"/>
                <w:color w:val="auto"/>
              </w:rPr>
            </w:pPr>
          </w:p>
        </w:tc>
        <w:tc>
          <w:tcPr>
            <w:tcW w:w="7300" w:type="dxa"/>
            <w:vAlign w:val="bottom"/>
            <w:gridSpan w:val="5"/>
          </w:tcPr>
          <w:p>
            <w:pPr>
              <w:jc w:val="center"/>
              <w:ind w:right="588"/>
              <w:spacing w:after="0"/>
              <w:rPr>
                <w:sz w:val="20"/>
                <w:szCs w:val="20"/>
                <w:color w:val="auto"/>
              </w:rPr>
            </w:pPr>
            <w:r>
              <w:rPr>
                <w:rFonts w:ascii="Times New Roman" w:cs="Times New Roman" w:eastAsia="Times New Roman" w:hAnsi="Times New Roman"/>
                <w:sz w:val="18"/>
                <w:szCs w:val="18"/>
                <w:b w:val="1"/>
                <w:bCs w:val="1"/>
                <w:color w:val="auto"/>
                <w:w w:val="99"/>
              </w:rPr>
              <w:t>_________________________________________________________</w:t>
            </w:r>
          </w:p>
        </w:tc>
      </w:tr>
      <w:tr>
        <w:trPr>
          <w:trHeight w:val="475"/>
        </w:trPr>
        <w:tc>
          <w:tcPr>
            <w:tcW w:w="1360" w:type="dxa"/>
            <w:vAlign w:val="bottom"/>
          </w:tcPr>
          <w:p>
            <w:pPr>
              <w:spacing w:after="0"/>
              <w:rPr>
                <w:sz w:val="24"/>
                <w:szCs w:val="24"/>
                <w:color w:val="auto"/>
              </w:rPr>
            </w:pPr>
          </w:p>
        </w:tc>
        <w:tc>
          <w:tcPr>
            <w:tcW w:w="4380" w:type="dxa"/>
            <w:vAlign w:val="bottom"/>
            <w:gridSpan w:val="2"/>
          </w:tcPr>
          <w:p>
            <w:pPr>
              <w:jc w:val="center"/>
              <w:ind w:left="2162"/>
              <w:spacing w:after="0"/>
              <w:rPr>
                <w:sz w:val="20"/>
                <w:szCs w:val="20"/>
                <w:color w:val="auto"/>
              </w:rPr>
            </w:pPr>
            <w:r>
              <w:rPr>
                <w:rFonts w:ascii="Times New Roman" w:cs="Times New Roman" w:eastAsia="Times New Roman" w:hAnsi="Times New Roman"/>
                <w:sz w:val="36"/>
                <w:szCs w:val="36"/>
                <w:b w:val="1"/>
                <w:bCs w:val="1"/>
                <w:color w:val="auto"/>
              </w:rPr>
              <w:t>Datadog, Inc.</w:t>
            </w: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182"/>
        </w:trPr>
        <w:tc>
          <w:tcPr>
            <w:tcW w:w="1360" w:type="dxa"/>
            <w:vAlign w:val="bottom"/>
          </w:tcPr>
          <w:p>
            <w:pPr>
              <w:spacing w:after="0"/>
              <w:rPr>
                <w:sz w:val="15"/>
                <w:szCs w:val="15"/>
                <w:color w:val="auto"/>
              </w:rPr>
            </w:pPr>
          </w:p>
        </w:tc>
        <w:tc>
          <w:tcPr>
            <w:tcW w:w="7300" w:type="dxa"/>
            <w:vAlign w:val="bottom"/>
            <w:gridSpan w:val="5"/>
          </w:tcPr>
          <w:p>
            <w:pPr>
              <w:jc w:val="center"/>
              <w:ind w:right="588"/>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234"/>
        </w:trPr>
        <w:tc>
          <w:tcPr>
            <w:tcW w:w="1360" w:type="dxa"/>
            <w:vAlign w:val="bottom"/>
          </w:tcPr>
          <w:p>
            <w:pPr>
              <w:spacing w:after="0"/>
              <w:rPr>
                <w:sz w:val="20"/>
                <w:szCs w:val="20"/>
                <w:color w:val="auto"/>
              </w:rPr>
            </w:pPr>
          </w:p>
        </w:tc>
        <w:tc>
          <w:tcPr>
            <w:tcW w:w="7300" w:type="dxa"/>
            <w:vAlign w:val="bottom"/>
            <w:gridSpan w:val="5"/>
          </w:tcPr>
          <w:p>
            <w:pPr>
              <w:jc w:val="center"/>
              <w:ind w:right="588"/>
              <w:spacing w:after="0"/>
              <w:rPr>
                <w:sz w:val="20"/>
                <w:szCs w:val="20"/>
                <w:color w:val="auto"/>
              </w:rPr>
            </w:pPr>
            <w:r>
              <w:rPr>
                <w:rFonts w:ascii="Times New Roman" w:cs="Times New Roman" w:eastAsia="Times New Roman" w:hAnsi="Times New Roman"/>
                <w:sz w:val="18"/>
                <w:szCs w:val="18"/>
                <w:color w:val="auto"/>
                <w:w w:val="99"/>
              </w:rPr>
              <w:t>_________________________________________________________</w:t>
            </w:r>
          </w:p>
        </w:tc>
      </w:tr>
      <w:tr>
        <w:trPr>
          <w:trHeight w:val="365"/>
        </w:trPr>
        <w:tc>
          <w:tcPr>
            <w:tcW w:w="1360" w:type="dxa"/>
            <w:vAlign w:val="bottom"/>
          </w:tcPr>
          <w:p>
            <w:pPr>
              <w:spacing w:after="0"/>
              <w:rPr>
                <w:sz w:val="24"/>
                <w:szCs w:val="24"/>
                <w:color w:val="auto"/>
              </w:rPr>
            </w:pPr>
          </w:p>
        </w:tc>
        <w:tc>
          <w:tcPr>
            <w:tcW w:w="4380" w:type="dxa"/>
            <w:vAlign w:val="bottom"/>
            <w:gridSpan w:val="2"/>
          </w:tcPr>
          <w:p>
            <w:pPr>
              <w:jc w:val="center"/>
              <w:ind w:right="33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2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27-2825503</w:t>
            </w:r>
          </w:p>
        </w:tc>
      </w:tr>
      <w:tr>
        <w:trPr>
          <w:trHeight w:val="191"/>
        </w:trPr>
        <w:tc>
          <w:tcPr>
            <w:tcW w:w="5740" w:type="dxa"/>
            <w:vAlign w:val="bottom"/>
            <w:gridSpan w:val="3"/>
          </w:tcPr>
          <w:p>
            <w:pPr>
              <w:jc w:val="center"/>
              <w:ind w:right="202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80" w:type="dxa"/>
            <w:vAlign w:val="bottom"/>
          </w:tcPr>
          <w:p>
            <w:pPr>
              <w:jc w:val="center"/>
              <w:ind w:left="988"/>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740" w:type="dxa"/>
            <w:vAlign w:val="bottom"/>
            <w:gridSpan w:val="3"/>
          </w:tcPr>
          <w:p>
            <w:pPr>
              <w:jc w:val="center"/>
              <w:ind w:right="202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180" w:type="dxa"/>
            <w:vAlign w:val="bottom"/>
          </w:tcPr>
          <w:p>
            <w:pPr>
              <w:jc w:val="center"/>
              <w:ind w:left="98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4"/>
        </w:trPr>
        <w:tc>
          <w:tcPr>
            <w:tcW w:w="1360" w:type="dxa"/>
            <w:vAlign w:val="bottom"/>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8"/>
              </w:rPr>
              <w:t>620 8th Avenue,</w:t>
            </w:r>
          </w:p>
        </w:tc>
        <w:tc>
          <w:tcPr>
            <w:tcW w:w="4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45th Floor</w:t>
            </w: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70"/>
        </w:trPr>
        <w:tc>
          <w:tcPr>
            <w:tcW w:w="1360" w:type="dxa"/>
            <w:vAlign w:val="bottom"/>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8"/>
              </w:rPr>
              <w:t>New York,</w:t>
            </w:r>
          </w:p>
        </w:tc>
        <w:tc>
          <w:tcPr>
            <w:tcW w:w="4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NY</w:t>
            </w:r>
          </w:p>
        </w:tc>
        <w:tc>
          <w:tcPr>
            <w:tcW w:w="2920" w:type="dxa"/>
            <w:vAlign w:val="bottom"/>
            <w:gridSpan w:val="3"/>
          </w:tcPr>
          <w:p>
            <w:pPr>
              <w:jc w:val="right"/>
              <w:ind w:right="268"/>
              <w:spacing w:after="0"/>
              <w:rPr>
                <w:sz w:val="20"/>
                <w:szCs w:val="20"/>
                <w:color w:val="auto"/>
              </w:rPr>
            </w:pPr>
            <w:r>
              <w:rPr>
                <w:rFonts w:ascii="Times New Roman" w:cs="Times New Roman" w:eastAsia="Times New Roman" w:hAnsi="Times New Roman"/>
                <w:sz w:val="18"/>
                <w:szCs w:val="18"/>
                <w:b w:val="1"/>
                <w:bCs w:val="1"/>
                <w:color w:val="auto"/>
              </w:rPr>
              <w:t>10018</w:t>
            </w:r>
          </w:p>
        </w:tc>
      </w:tr>
      <w:tr>
        <w:trPr>
          <w:trHeight w:val="219"/>
        </w:trPr>
        <w:tc>
          <w:tcPr>
            <w:tcW w:w="5740" w:type="dxa"/>
            <w:vAlign w:val="bottom"/>
            <w:gridSpan w:val="3"/>
          </w:tcPr>
          <w:p>
            <w:pPr>
              <w:jc w:val="center"/>
              <w:ind w:right="20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180" w:type="dxa"/>
            <w:vAlign w:val="bottom"/>
          </w:tcPr>
          <w:p>
            <w:pPr>
              <w:jc w:val="center"/>
              <w:ind w:left="988"/>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9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(866) 329-4466</w:t>
      </w:r>
    </w:p>
    <w:p>
      <w:pPr>
        <w:spacing w:after="0" w:line="31"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15" w:lineRule="exact"/>
        <w:rPr>
          <w:sz w:val="24"/>
          <w:szCs w:val="24"/>
          <w:color w:val="auto"/>
        </w:rPr>
      </w:pPr>
    </w:p>
    <w:tbl>
      <w:tblPr>
        <w:tblLayout w:type="fixed"/>
        <w:tblInd w:w="10" w:type="dxa"/>
        <w:tblCellMar>
          <w:top w:w="0" w:type="dxa"/>
          <w:left w:w="0" w:type="dxa"/>
          <w:bottom w:w="0" w:type="dxa"/>
          <w:right w:w="0" w:type="dxa"/>
        </w:tblCellMar>
      </w:tblPr>
      <w:tr>
        <w:trPr>
          <w:trHeight w:val="206"/>
        </w:trPr>
        <w:tc>
          <w:tcPr>
            <w:tcW w:w="37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3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3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c>
          <w:tcPr>
            <w:tcW w:w="0" w:type="dxa"/>
            <w:vAlign w:val="bottom"/>
          </w:tcPr>
          <w:p>
            <w:pPr>
              <w:spacing w:after="0"/>
              <w:rPr>
                <w:sz w:val="1"/>
                <w:szCs w:val="1"/>
                <w:color w:val="auto"/>
              </w:rPr>
            </w:pPr>
          </w:p>
        </w:tc>
      </w:tr>
      <w:tr>
        <w:trPr>
          <w:trHeight w:val="37"/>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7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Class A common stock, par value $0.00001 per share</w:t>
            </w:r>
          </w:p>
        </w:tc>
        <w:tc>
          <w:tcPr>
            <w:tcW w:w="3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DDOG</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108"/>
        </w:trPr>
        <w:tc>
          <w:tcPr>
            <w:tcW w:w="3760" w:type="dxa"/>
            <w:vAlign w:val="bottom"/>
            <w:tcBorders>
              <w:left w:val="single" w:sz="8" w:color="auto"/>
              <w:right w:val="single" w:sz="8" w:color="auto"/>
            </w:tcBorders>
            <w:vMerge w:val="continue"/>
          </w:tcPr>
          <w:p>
            <w:pPr>
              <w:spacing w:after="0"/>
              <w:rPr>
                <w:sz w:val="9"/>
                <w:szCs w:val="9"/>
                <w:color w:val="auto"/>
              </w:rPr>
            </w:pPr>
          </w:p>
        </w:tc>
        <w:tc>
          <w:tcPr>
            <w:tcW w:w="3740" w:type="dxa"/>
            <w:vAlign w:val="bottom"/>
            <w:tcBorders>
              <w:right w:val="single" w:sz="8" w:color="auto"/>
            </w:tcBorders>
            <w:vMerge w:val="continue"/>
          </w:tcPr>
          <w:p>
            <w:pPr>
              <w:spacing w:after="0"/>
              <w:rPr>
                <w:sz w:val="9"/>
                <w:szCs w:val="9"/>
                <w:color w:val="auto"/>
              </w:rPr>
            </w:pPr>
          </w:p>
        </w:tc>
        <w:tc>
          <w:tcPr>
            <w:tcW w:w="3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0" w:type="dxa"/>
            <w:vAlign w:val="bottom"/>
          </w:tcPr>
          <w:p>
            <w:pPr>
              <w:spacing w:after="0"/>
              <w:rPr>
                <w:sz w:val="1"/>
                <w:szCs w:val="1"/>
                <w:color w:val="auto"/>
              </w:rPr>
            </w:pPr>
          </w:p>
        </w:tc>
      </w:tr>
      <w:tr>
        <w:trPr>
          <w:trHeight w:val="122"/>
        </w:trPr>
        <w:tc>
          <w:tcPr>
            <w:tcW w:w="3760" w:type="dxa"/>
            <w:vAlign w:val="bottom"/>
            <w:tcBorders>
              <w:left w:val="single" w:sz="8" w:color="auto"/>
              <w:right w:val="single" w:sz="8" w:color="auto"/>
            </w:tcBorders>
          </w:tcPr>
          <w:p>
            <w:pPr>
              <w:spacing w:after="0"/>
              <w:rPr>
                <w:sz w:val="10"/>
                <w:szCs w:val="10"/>
                <w:color w:val="auto"/>
              </w:rPr>
            </w:pPr>
          </w:p>
        </w:tc>
        <w:tc>
          <w:tcPr>
            <w:tcW w:w="3740" w:type="dxa"/>
            <w:vAlign w:val="bottom"/>
            <w:tcBorders>
              <w:right w:val="single" w:sz="8" w:color="auto"/>
            </w:tcBorders>
          </w:tcPr>
          <w:p>
            <w:pPr>
              <w:spacing w:after="0"/>
              <w:rPr>
                <w:sz w:val="10"/>
                <w:szCs w:val="10"/>
                <w:color w:val="auto"/>
              </w:rPr>
            </w:pPr>
          </w:p>
        </w:tc>
        <w:tc>
          <w:tcPr>
            <w:tcW w:w="37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71" w:lineRule="exact"/>
        <w:rPr>
          <w:sz w:val="24"/>
          <w:szCs w:val="24"/>
          <w:color w:val="auto"/>
        </w:rPr>
      </w:pPr>
    </w:p>
    <w:p>
      <w:pPr>
        <w:ind w:right="3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ind w:right="1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20" w:type="dxa"/>
        <w:tblCellMar>
          <w:top w:w="0" w:type="dxa"/>
          <w:left w:w="0" w:type="dxa"/>
          <w:bottom w:w="0" w:type="dxa"/>
          <w:right w:w="0" w:type="dxa"/>
        </w:tblCellMar>
      </w:tblPr>
      <w:tr>
        <w:trPr>
          <w:trHeight w:val="357"/>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5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Accelerated filer</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5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Small reporting company</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8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52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pacing w:after="0" w:line="170" w:lineRule="exact"/>
        <w:rPr>
          <w:sz w:val="24"/>
          <w:szCs w:val="24"/>
          <w:color w:val="auto"/>
        </w:rPr>
      </w:pPr>
    </w:p>
    <w:p>
      <w:pPr>
        <w:ind w:right="1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of August 1, 2025, there were 323,270,704 shares of the registrant’s Class A common stock and 25,474,422 shares of the registrant’s Class B common stock, each with a par value of $0.00001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701675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71120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97155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10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1200" w:type="dxa"/>
            <w:vAlign w:val="bottom"/>
            <w:gridSpan w:val="2"/>
            <w:vMerge w:val="continue"/>
          </w:tcPr>
          <w:p>
            <w:pPr>
              <w:spacing w:after="0"/>
              <w:rPr>
                <w:sz w:val="15"/>
                <w:szCs w:val="15"/>
                <w:color w:val="auto"/>
              </w:rPr>
            </w:pPr>
          </w:p>
        </w:tc>
        <w:tc>
          <w:tcPr>
            <w:tcW w:w="9100" w:type="dxa"/>
            <w:vAlign w:val="bottom"/>
            <w:gridSpan w:val="20"/>
            <w:vMerge w:val="continue"/>
          </w:tcPr>
          <w:p>
            <w:pPr>
              <w:spacing w:after="0"/>
              <w:rPr>
                <w:sz w:val="15"/>
                <w:szCs w:val="15"/>
                <w:color w:val="auto"/>
              </w:rPr>
            </w:pPr>
          </w:p>
        </w:tc>
        <w:tc>
          <w:tcPr>
            <w:tcW w:w="8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63"/>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5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Financial Statements</w:t>
            </w:r>
          </w:p>
        </w:tc>
        <w:tc>
          <w:tcPr>
            <w:tcW w:w="740" w:type="dxa"/>
            <w:vAlign w:val="bottom"/>
            <w:tcBorders>
              <w:top w:val="single" w:sz="8" w:color="0000FF"/>
            </w:tcBorders>
            <w:gridSpan w:val="3"/>
          </w:tcPr>
          <w:p>
            <w:pPr>
              <w:spacing w:after="0"/>
              <w:rPr>
                <w:sz w:val="22"/>
                <w:szCs w:val="22"/>
                <w:color w:val="auto"/>
              </w:rPr>
            </w:pPr>
          </w:p>
        </w:tc>
        <w:tc>
          <w:tcPr>
            <w:tcW w:w="6860" w:type="dxa"/>
            <w:vAlign w:val="bottom"/>
            <w:gridSpan w:val="11"/>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1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June 30, 2025 and December 31, 2024 (unaudited)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9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for the Three and Six Months Ended June 30, 2025 and 2024 (unaudited)</w:t>
            </w:r>
          </w:p>
        </w:tc>
        <w:tc>
          <w:tcPr>
            <w:tcW w:w="140" w:type="dxa"/>
            <w:vAlign w:val="bottom"/>
            <w:gridSpan w:val="2"/>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1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for the Three and Six Months Ended June 30, 2025 and 2024</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0" w:type="dxa"/>
            <w:vAlign w:val="bottom"/>
            <w:tcBorders>
              <w:top w:val="single" w:sz="8" w:color="0000FF"/>
            </w:tcBorders>
            <w:gridSpan w:val="19"/>
          </w:tcPr>
          <w:p>
            <w:pPr>
              <w:spacing w:after="0" w:line="156" w:lineRule="exact"/>
              <w:rPr>
                <w:sz w:val="20"/>
                <w:szCs w:val="20"/>
                <w:color w:val="auto"/>
              </w:rPr>
            </w:pPr>
            <w:r>
              <w:rPr>
                <w:rFonts w:ascii="Times New Roman" w:cs="Times New Roman" w:eastAsia="Times New Roman" w:hAnsi="Times New Roman"/>
                <w:sz w:val="18"/>
                <w:szCs w:val="18"/>
                <w:color w:val="0000FF"/>
              </w:rPr>
              <w:t>(unaudited)</w:t>
            </w:r>
          </w:p>
        </w:tc>
        <w:tc>
          <w:tcPr>
            <w:tcW w:w="10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2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 for the Three and Six Months Ended June 30, 2025 and 2024</w:t>
            </w:r>
          </w:p>
        </w:tc>
        <w:tc>
          <w:tcPr>
            <w:tcW w:w="280" w:type="dxa"/>
            <w:vAlign w:val="bottom"/>
            <w:gridSpan w:val="3"/>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10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FF"/>
              </w:rPr>
              <w:t>(unaudited)</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1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Six Months Ended June 30, 2025 and 2024 (unaudited)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4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860" w:type="dxa"/>
            <w:vAlign w:val="bottom"/>
            <w:gridSpan w:val="4"/>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40" w:type="dxa"/>
            <w:vAlign w:val="bottom"/>
            <w:gridSpan w:val="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640" w:type="dxa"/>
            <w:vAlign w:val="bottom"/>
            <w:gridSpan w:val="6"/>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740" w:type="dxa"/>
            <w:vAlign w:val="bottom"/>
            <w:gridSpan w:val="8"/>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1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80" w:type="dxa"/>
            <w:vAlign w:val="bottom"/>
            <w:gridSpan w:val="9"/>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200" w:type="dxa"/>
            <w:vAlign w:val="bottom"/>
            <w:gridSpan w:val="2"/>
            <w:vMerge w:val="continue"/>
          </w:tcPr>
          <w:p>
            <w:pPr>
              <w:spacing w:after="0"/>
              <w:rPr>
                <w:sz w:val="24"/>
                <w:szCs w:val="24"/>
                <w:color w:val="auto"/>
              </w:rPr>
            </w:pPr>
          </w:p>
        </w:tc>
        <w:tc>
          <w:tcPr>
            <w:tcW w:w="18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7220" w:type="dxa"/>
            <w:vAlign w:val="bottom"/>
            <w:gridSpan w:val="12"/>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1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2"/>
          </w:tcPr>
          <w:p>
            <w:pPr>
              <w:spacing w:after="0"/>
              <w:rPr>
                <w:sz w:val="21"/>
                <w:szCs w:val="21"/>
                <w:color w:val="auto"/>
              </w:rPr>
            </w:pPr>
          </w:p>
        </w:tc>
        <w:tc>
          <w:tcPr>
            <w:tcW w:w="7780" w:type="dxa"/>
            <w:vAlign w:val="bottom"/>
            <w:gridSpan w:val="15"/>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1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Unregistered Sales of Equity Securities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500" w:type="dxa"/>
            <w:vAlign w:val="bottom"/>
            <w:tcBorders>
              <w:top w:val="single" w:sz="8" w:color="0000FF"/>
            </w:tcBorders>
          </w:tcPr>
          <w:p>
            <w:pPr>
              <w:spacing w:after="0"/>
              <w:rPr>
                <w:sz w:val="21"/>
                <w:szCs w:val="21"/>
                <w:color w:val="auto"/>
              </w:rPr>
            </w:pPr>
          </w:p>
        </w:tc>
        <w:tc>
          <w:tcPr>
            <w:tcW w:w="6280" w:type="dxa"/>
            <w:vAlign w:val="bottom"/>
            <w:gridSpan w:val="9"/>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1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340" w:type="dxa"/>
            <w:vAlign w:val="bottom"/>
            <w:gridSpan w:val="13"/>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7800" w:type="dxa"/>
            <w:vAlign w:val="bottom"/>
            <w:gridSpan w:val="16"/>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1089"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about us and our industry that involve substantial risks and uncertainties.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79" w:lineRule="exact"/>
        <w:rPr>
          <w:sz w:val="20"/>
          <w:szCs w:val="20"/>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revenue, expenses and other operating results;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new customers and successfully retain existing customers;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usage of our platform and upsell and cross sell additional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sustain our profitability;</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investments in our business, our anticipated capital expenditures and our estimates regarding our capital requirements;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success of our sales and marketing efforts, and our ability to promote our brand;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key personnel and our ability to identify, recruit and retain skilled personnel;</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 including any international expansion;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 and any costs associated therewith;</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with existing competitors and new market entrants;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rates of the markets in which we compete; and</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general market, political, economic, and business conditions in our industry, or reductions in information technology spending, on our business, results of operations and financial condition.</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The outcome of the events described in these forward-looking statements is subject to risks, uncertainties and other factors described under the header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herein. The results, events and circumstances reflected in the forward-looking statements may not be achieved or occur, and actual results, events or circumstances could differ materially from those described in the forward-looking statements.</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on Form 10-Q relate only to events as of the date on which the statements are made, and we undertake no obligation to update them to reflect events or circumstances after the date of this Quarterly Report on Form 10-Q or to reflect new information or the occurrence of unanticipated events, except as required by law.</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Unless the context otherwise indicates, references in this report to the terms “Datadog”, “the Company,” “we,” “our” and “us” refer to Datadog, Inc. and its subsidiaries. “Datadog” and other trade names and trademarks of ours appearing in this report are our property. This report contains trade names and trademarks of other companies, which are the property of their respective owners. We do not intend our use or display of other companies’ trade names or trademarks to imply an endorsement or sponsorship of us by such companies, or any relationship with any of these companies.</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may announce material business and financial information to our investors using our investor relations website (www.investors.datadoghq.com). We therefore encourage investors and others interested in Datadog to review the information that we make available on our website, in addition to following our filings with the Securities and Exchange Commission, or the SEC, webcasts, press releases and conference calls.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5"/>
                <w:szCs w:val="15"/>
                <w:color w:val="auto"/>
              </w:rPr>
            </w:pPr>
          </w:p>
        </w:tc>
        <w:tc>
          <w:tcPr>
            <w:tcW w:w="114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84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489,030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1,246,983</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3,421,940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2,942,076</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$17,413 and $16,302 as of June 30, 2025 and</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4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December 31, 2024, respectively</w:t>
            </w: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604,174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598,919</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contract costs, current</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56,095</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67,442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67,042</w:t>
            </w:r>
          </w:p>
        </w:tc>
        <w:tc>
          <w:tcPr>
            <w:tcW w:w="0" w:type="dxa"/>
            <w:vAlign w:val="bottom"/>
          </w:tcPr>
          <w:p>
            <w:pPr>
              <w:spacing w:after="0"/>
              <w:rPr>
                <w:sz w:val="1"/>
                <w:szCs w:val="1"/>
                <w:color w:val="auto"/>
              </w:rPr>
            </w:pPr>
          </w:p>
        </w:tc>
      </w:tr>
      <w:tr>
        <w:trPr>
          <w:trHeight w:val="237"/>
        </w:trPr>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4,644,676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4,911,115</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226,970</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assets</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172,512</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530,982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360,381</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3,711</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contract costs, non-current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86,573</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24,077</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5,822,415</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5,785,339</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4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198,767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107,731</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127,136</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31,970</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Convertible senior notes, net, current</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634,023</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 current</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966,442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961,853</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1,353,192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1,862,713</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243,115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196,905</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Convertible senior notes, net, non-current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981,357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979,282</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22,693</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9,383</w:t>
            </w:r>
          </w:p>
        </w:tc>
        <w:tc>
          <w:tcPr>
            <w:tcW w:w="0" w:type="dxa"/>
            <w:vAlign w:val="bottom"/>
          </w:tcPr>
          <w:p>
            <w:pPr>
              <w:spacing w:after="0"/>
              <w:rPr>
                <w:sz w:val="1"/>
                <w:szCs w:val="1"/>
                <w:color w:val="auto"/>
              </w:rPr>
            </w:pPr>
          </w:p>
        </w:tc>
      </w:tr>
      <w:tr>
        <w:trPr>
          <w:trHeight w:val="237"/>
        </w:trPr>
        <w:tc>
          <w:tcPr>
            <w:tcW w:w="8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2,626,658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3,070,976</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A common stock, $0.00001 par value per share; 2,000,000,000 shares authorized as of June 30, 2025 and</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2024; 323,159,440 and 316,787,538 shares issued and outstanding as of June 30, 2025 and</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2024, respectively</w:t>
            </w: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5"/>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B common stock, $0.00001 par value per share; 310,000,000 shares authorized as of June 30, 2025 and</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2024; 25,449,141 and 25,331,244 shares issued and outstanding as of June 30, 2025 and</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2024, respectively</w:t>
            </w:r>
          </w:p>
        </w:tc>
        <w:tc>
          <w:tcPr>
            <w:tcW w:w="26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3,130,130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2,689,013</w:t>
            </w: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(4,701)</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57,337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30,048</w:t>
            </w:r>
          </w:p>
        </w:tc>
        <w:tc>
          <w:tcPr>
            <w:tcW w:w="0" w:type="dxa"/>
            <w:vAlign w:val="bottom"/>
          </w:tcPr>
          <w:p>
            <w:pPr>
              <w:spacing w:after="0"/>
              <w:rPr>
                <w:sz w:val="1"/>
                <w:szCs w:val="1"/>
                <w:color w:val="auto"/>
              </w:rPr>
            </w:pPr>
          </w:p>
        </w:tc>
      </w:tr>
      <w:tr>
        <w:trPr>
          <w:trHeight w:val="236"/>
        </w:trPr>
        <w:tc>
          <w:tcPr>
            <w:tcW w:w="8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3,195,757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2,714,363</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5,822,415</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5,785,339</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1089" w:right="339" w:bottom="686"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686" w:gutter="0" w:footer="0" w:header="0"/>
          <w:type w:val="continuous"/>
        </w:sectPr>
      </w:pPr>
    </w:p>
    <w:bookmarkStart w:id="4" w:name="page5"/>
    <w:bookmarkEnd w:id="4"/>
    <w:p>
      <w:pPr>
        <w:ind w:left="4940"/>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18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5"/>
                <w:szCs w:val="15"/>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6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0" w:type="dxa"/>
            <w:vAlign w:val="bottom"/>
          </w:tcPr>
          <w:p>
            <w:pPr>
              <w:spacing w:after="0"/>
              <w:rPr>
                <w:sz w:val="1"/>
                <w:szCs w:val="1"/>
                <w:color w:val="auto"/>
              </w:rPr>
            </w:pPr>
          </w:p>
        </w:tc>
      </w:tr>
      <w:tr>
        <w:trPr>
          <w:trHeight w:val="37"/>
        </w:trPr>
        <w:tc>
          <w:tcPr>
            <w:tcW w:w="56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826,760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645,279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1,588,313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1,256,532</w:t>
            </w: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165,978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323,606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233,597</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660,782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1,264,707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1,022,935</w:t>
            </w: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387,482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274,599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728,543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544,587</w:t>
            </w:r>
          </w:p>
        </w:tc>
        <w:tc>
          <w:tcPr>
            <w:tcW w:w="0" w:type="dxa"/>
            <w:vAlign w:val="bottom"/>
          </w:tcPr>
          <w:p>
            <w:pPr>
              <w:spacing w:after="0"/>
              <w:rPr>
                <w:sz w:val="1"/>
                <w:szCs w:val="1"/>
                <w:color w:val="auto"/>
              </w:rPr>
            </w:pPr>
          </w:p>
        </w:tc>
      </w:tr>
      <w:tr>
        <w:trPr>
          <w:trHeight w:val="243"/>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239,026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453,317</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360,886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69,774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47,558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130,767</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92,848</w:t>
            </w:r>
          </w:p>
        </w:tc>
        <w:tc>
          <w:tcPr>
            <w:tcW w:w="0" w:type="dxa"/>
            <w:vAlign w:val="bottom"/>
          </w:tcPr>
          <w:p>
            <w:pPr>
              <w:spacing w:after="0"/>
              <w:rPr>
                <w:sz w:val="1"/>
                <w:szCs w:val="1"/>
                <w:color w:val="auto"/>
              </w:rPr>
            </w:pPr>
          </w:p>
        </w:tc>
      </w:tr>
      <w:tr>
        <w:trPr>
          <w:trHeight w:val="237"/>
        </w:trPr>
        <w:tc>
          <w:tcPr>
            <w:tcW w:w="56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696,282</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509,162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1,312,627</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998,321</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(47,920)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24,614</w:t>
            </w: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0" w:type="dxa"/>
            <w:vAlign w:val="bottom"/>
          </w:tcPr>
          <w:p>
            <w:pPr>
              <w:spacing w:after="0"/>
              <w:rPr>
                <w:sz w:val="1"/>
                <w:szCs w:val="1"/>
                <w:color w:val="auto"/>
              </w:rPr>
            </w:pPr>
          </w:p>
        </w:tc>
      </w:tr>
      <w:tr>
        <w:trPr>
          <w:trHeight w:val="243"/>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44,663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91,842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72,215</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85,804</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69,364</w:t>
            </w:r>
          </w:p>
        </w:tc>
        <w:tc>
          <w:tcPr>
            <w:tcW w:w="0" w:type="dxa"/>
            <w:vAlign w:val="bottom"/>
          </w:tcPr>
          <w:p>
            <w:pPr>
              <w:spacing w:after="0"/>
              <w:rPr>
                <w:sz w:val="1"/>
                <w:szCs w:val="1"/>
                <w:color w:val="auto"/>
              </w:rPr>
            </w:pPr>
          </w:p>
        </w:tc>
      </w:tr>
      <w:tr>
        <w:trPr>
          <w:trHeight w:val="237"/>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6,088</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47,793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37,884</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93,978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10,595</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7,523</w:t>
            </w:r>
          </w:p>
        </w:tc>
        <w:tc>
          <w:tcPr>
            <w:tcW w:w="0" w:type="dxa"/>
            <w:vAlign w:val="bottom"/>
          </w:tcPr>
          <w:p>
            <w:pPr>
              <w:spacing w:after="0"/>
              <w:rPr>
                <w:sz w:val="1"/>
                <w:szCs w:val="1"/>
                <w:color w:val="auto"/>
              </w:rPr>
            </w:pPr>
          </w:p>
        </w:tc>
      </w:tr>
      <w:tr>
        <w:trPr>
          <w:trHeight w:val="264"/>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43,824</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27,289</w:t>
            </w:r>
          </w:p>
        </w:tc>
        <w:tc>
          <w:tcPr>
            <w:tcW w:w="12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86,455</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43,824</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27,289</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86,455</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20" w:type="dxa"/>
            <w:vAlign w:val="bottom"/>
            <w:vMerge w:val="continue"/>
          </w:tcPr>
          <w:p>
            <w:pPr>
              <w:spacing w:after="0"/>
              <w:rPr>
                <w:sz w:val="18"/>
                <w:szCs w:val="18"/>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Pr>
          <w:p>
            <w:pPr>
              <w:spacing w:after="0"/>
              <w:rPr>
                <w:sz w:val="18"/>
                <w:szCs w:val="18"/>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shares used in calculating basic net income per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2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346,185</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334,941</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344,650</w:t>
            </w:r>
          </w:p>
        </w:tc>
        <w:tc>
          <w:tcPr>
            <w:tcW w:w="1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333,373</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used in calculating diluted net income per share:</w:t>
            </w: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358,725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361,289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356,650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tcPr>
          <w:p>
            <w:pPr>
              <w:spacing w:after="0"/>
              <w:rPr>
                <w:sz w:val="14"/>
                <w:szCs w:val="14"/>
                <w:color w:val="auto"/>
              </w:rPr>
            </w:pPr>
          </w:p>
        </w:tc>
        <w:tc>
          <w:tcPr>
            <w:tcW w:w="2820" w:type="dxa"/>
            <w:vAlign w:val="bottom"/>
            <w:gridSpan w:val="6"/>
          </w:tcPr>
          <w:p>
            <w:pPr>
              <w:ind w:lef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4"/>
                <w:szCs w:val="14"/>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4"/>
                <w:szCs w:val="14"/>
                <w:color w:val="auto"/>
              </w:rPr>
            </w:pPr>
          </w:p>
        </w:tc>
      </w:tr>
      <w:tr>
        <w:trPr>
          <w:trHeight w:val="190"/>
        </w:trPr>
        <w:tc>
          <w:tcPr>
            <w:tcW w:w="5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Pr>
          <w:p>
            <w:pPr>
              <w:spacing w:after="0"/>
              <w:rPr>
                <w:sz w:val="16"/>
                <w:szCs w:val="16"/>
                <w:color w:val="auto"/>
              </w:rPr>
            </w:pPr>
          </w:p>
        </w:tc>
      </w:tr>
      <w:tr>
        <w:trPr>
          <w:trHeight w:val="50"/>
        </w:trPr>
        <w:tc>
          <w:tcPr>
            <w:tcW w:w="566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r>
      <w:tr>
        <w:trPr>
          <w:trHeight w:val="186"/>
        </w:trPr>
        <w:tc>
          <w:tcPr>
            <w:tcW w:w="56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566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43"/>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00" w:type="dxa"/>
            <w:vAlign w:val="bottom"/>
            <w:tcBorders>
              <w:bottom w:val="single" w:sz="8" w:color="CCEEFF"/>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2,647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86,455</w:t>
            </w:r>
          </w:p>
        </w:tc>
      </w:tr>
      <w:tr>
        <w:trPr>
          <w:trHeight w:val="230"/>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50"/>
        </w:trPr>
        <w:tc>
          <w:tcPr>
            <w:tcW w:w="5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8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6,791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(3,079)</w:t>
            </w:r>
          </w:p>
        </w:tc>
      </w:tr>
      <w:tr>
        <w:trPr>
          <w:trHeight w:val="243"/>
        </w:trPr>
        <w:tc>
          <w:tcPr>
            <w:tcW w:w="5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Unrealized gain (loss) on available-for-sale marketable securities</w:t>
            </w:r>
          </w:p>
        </w:tc>
        <w:tc>
          <w:tcPr>
            <w:tcW w:w="80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(4,419)</w:t>
            </w:r>
          </w:p>
        </w:tc>
      </w:tr>
      <w:tr>
        <w:trPr>
          <w:trHeight w:val="27"/>
        </w:trPr>
        <w:tc>
          <w:tcPr>
            <w:tcW w:w="56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5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8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6,949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12,988</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(7,498)</w:t>
            </w:r>
          </w:p>
        </w:tc>
      </w:tr>
      <w:tr>
        <w:trPr>
          <w:trHeight w:val="257"/>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800" w:type="dxa"/>
            <w:vAlign w:val="bottom"/>
            <w:tcBorders>
              <w:top w:val="single" w:sz="8" w:color="auto"/>
              <w:bottom w:val="single" w:sz="8" w:color="auto"/>
            </w:tcBorders>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9,596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41,808</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40,277</w:t>
            </w:r>
          </w:p>
        </w:tc>
        <w:tc>
          <w:tcPr>
            <w:tcW w:w="12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78,957</w:t>
            </w:r>
          </w:p>
        </w:tc>
      </w:tr>
      <w:tr>
        <w:trPr>
          <w:trHeight w:val="27"/>
        </w:trPr>
        <w:tc>
          <w:tcPr>
            <w:tcW w:w="56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2380" w:type="dxa"/>
            <w:vAlign w:val="bottom"/>
            <w:gridSpan w:val="3"/>
          </w:tcPr>
          <w:p>
            <w:pPr>
              <w:jc w:val="right"/>
              <w:ind w:right="405"/>
              <w:spacing w:after="0"/>
              <w:rPr>
                <w:sz w:val="20"/>
                <w:szCs w:val="20"/>
                <w:color w:val="auto"/>
              </w:rPr>
            </w:pPr>
            <w:r>
              <w:rPr>
                <w:rFonts w:ascii="Times New Roman" w:cs="Times New Roman" w:eastAsia="Times New Roman" w:hAnsi="Times New Roman"/>
                <w:sz w:val="13"/>
                <w:szCs w:val="13"/>
                <w:b w:val="1"/>
                <w:bCs w:val="1"/>
                <w:color w:val="auto"/>
              </w:rPr>
              <w:t>Class A and Class B</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restart"/>
          </w:tcPr>
          <w:p>
            <w:pPr>
              <w:jc w:val="center"/>
              <w:ind w:right="104"/>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54"/>
        </w:trPr>
        <w:tc>
          <w:tcPr>
            <w:tcW w:w="2860" w:type="dxa"/>
            <w:vAlign w:val="bottom"/>
          </w:tcPr>
          <w:p>
            <w:pPr>
              <w:spacing w:after="0"/>
              <w:rPr>
                <w:sz w:val="4"/>
                <w:szCs w:val="4"/>
                <w:color w:val="auto"/>
              </w:rPr>
            </w:pPr>
          </w:p>
        </w:tc>
        <w:tc>
          <w:tcPr>
            <w:tcW w:w="2380" w:type="dxa"/>
            <w:vAlign w:val="bottom"/>
            <w:gridSpan w:val="3"/>
            <w:vMerge w:val="restart"/>
          </w:tcPr>
          <w:p>
            <w:pPr>
              <w:jc w:val="right"/>
              <w:ind w:right="545"/>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2860" w:type="dxa"/>
            <w:vAlign w:val="bottom"/>
          </w:tcPr>
          <w:p>
            <w:pPr>
              <w:spacing w:after="0"/>
              <w:rPr>
                <w:sz w:val="11"/>
                <w:szCs w:val="11"/>
                <w:color w:val="auto"/>
              </w:rPr>
            </w:pPr>
          </w:p>
        </w:tc>
        <w:tc>
          <w:tcPr>
            <w:tcW w:w="2380" w:type="dxa"/>
            <w:vAlign w:val="bottom"/>
            <w:tcBorders>
              <w:bottom w:val="single" w:sz="8" w:color="auto"/>
            </w:tcBorders>
            <w:gridSpan w:val="3"/>
            <w:vMerge w:val="continue"/>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jc w:val="center"/>
              <w:ind w:right="360"/>
              <w:spacing w:after="0" w:line="109" w:lineRule="exact"/>
              <w:rPr>
                <w:sz w:val="20"/>
                <w:szCs w:val="20"/>
                <w:color w:val="auto"/>
              </w:rPr>
            </w:pPr>
            <w:r>
              <w:rPr>
                <w:rFonts w:ascii="Times New Roman" w:cs="Times New Roman" w:eastAsia="Times New Roman" w:hAnsi="Times New Roman"/>
                <w:sz w:val="12"/>
                <w:szCs w:val="12"/>
                <w:b w:val="1"/>
                <w:bCs w:val="1"/>
                <w:color w:val="auto"/>
              </w:rPr>
              <w:t>Paid-in</w:t>
            </w:r>
          </w:p>
        </w:tc>
        <w:tc>
          <w:tcPr>
            <w:tcW w:w="100" w:type="dxa"/>
            <w:vAlign w:val="bottom"/>
          </w:tcPr>
          <w:p>
            <w:pPr>
              <w:spacing w:after="0"/>
              <w:rPr>
                <w:sz w:val="11"/>
                <w:szCs w:val="11"/>
                <w:color w:val="auto"/>
              </w:rPr>
            </w:pPr>
          </w:p>
        </w:tc>
        <w:tc>
          <w:tcPr>
            <w:tcW w:w="1320" w:type="dxa"/>
            <w:vAlign w:val="bottom"/>
            <w:gridSpan w:val="2"/>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Accumulated Other</w:t>
            </w: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jc w:val="center"/>
              <w:ind w:right="84"/>
              <w:spacing w:after="0" w:line="109"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189"/>
        </w:trPr>
        <w:tc>
          <w:tcPr>
            <w:tcW w:w="2860" w:type="dxa"/>
            <w:vAlign w:val="bottom"/>
          </w:tcPr>
          <w:p>
            <w:pPr>
              <w:spacing w:after="0"/>
              <w:rPr>
                <w:sz w:val="16"/>
                <w:szCs w:val="16"/>
                <w:color w:val="auto"/>
              </w:rPr>
            </w:pPr>
          </w:p>
        </w:tc>
        <w:tc>
          <w:tcPr>
            <w:tcW w:w="1420" w:type="dxa"/>
            <w:vAlign w:val="bottom"/>
            <w:gridSpan w:val="2"/>
          </w:tcPr>
          <w:p>
            <w:pPr>
              <w:ind w:left="4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960" w:type="dxa"/>
            <w:vAlign w:val="bottom"/>
          </w:tcPr>
          <w:p>
            <w:pPr>
              <w:jc w:val="right"/>
              <w:ind w:right="25"/>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Comprehensive Income</w:t>
            </w:r>
          </w:p>
        </w:tc>
        <w:tc>
          <w:tcPr>
            <w:tcW w:w="120" w:type="dxa"/>
            <w:vAlign w:val="bottom"/>
          </w:tcPr>
          <w:p>
            <w:pPr>
              <w:spacing w:after="0"/>
              <w:rPr>
                <w:sz w:val="16"/>
                <w:szCs w:val="16"/>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Retained Earnings</w:t>
            </w:r>
          </w:p>
        </w:tc>
        <w:tc>
          <w:tcPr>
            <w:tcW w:w="160" w:type="dxa"/>
            <w:vAlign w:val="bottom"/>
          </w:tcPr>
          <w:p>
            <w:pPr>
              <w:spacing w:after="0"/>
              <w:rPr>
                <w:sz w:val="16"/>
                <w:szCs w:val="16"/>
                <w:color w:val="auto"/>
              </w:rPr>
            </w:pPr>
          </w:p>
        </w:tc>
        <w:tc>
          <w:tcPr>
            <w:tcW w:w="1140" w:type="dxa"/>
            <w:vAlign w:val="bottom"/>
          </w:tcPr>
          <w:p>
            <w:pPr>
              <w:jc w:val="center"/>
              <w:ind w:right="104"/>
              <w:spacing w:after="0"/>
              <w:rPr>
                <w:sz w:val="20"/>
                <w:szCs w:val="20"/>
                <w:color w:val="auto"/>
              </w:rPr>
            </w:pPr>
            <w:r>
              <w:rPr>
                <w:rFonts w:ascii="Times New Roman" w:cs="Times New Roman" w:eastAsia="Times New Roman" w:hAnsi="Times New Roman"/>
                <w:sz w:val="13"/>
                <w:szCs w:val="13"/>
                <w:b w:val="1"/>
                <w:bCs w:val="1"/>
                <w:color w:val="auto"/>
                <w:w w:val="97"/>
              </w:rPr>
              <w:t>Equity (Deficit)</w:t>
            </w:r>
          </w:p>
        </w:tc>
        <w:tc>
          <w:tcPr>
            <w:tcW w:w="0" w:type="dxa"/>
            <w:vAlign w:val="bottom"/>
          </w:tcPr>
          <w:p>
            <w:pPr>
              <w:spacing w:after="0"/>
              <w:rPr>
                <w:sz w:val="1"/>
                <w:szCs w:val="1"/>
                <w:color w:val="auto"/>
              </w:rPr>
            </w:pPr>
          </w:p>
        </w:tc>
      </w:tr>
      <w:tr>
        <w:trPr>
          <w:trHeight w:val="243"/>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BALANCE—March 31, 2025</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344,910,809</w:t>
            </w:r>
          </w:p>
        </w:tc>
        <w:tc>
          <w:tcPr>
            <w:tcW w:w="120" w:type="dxa"/>
            <w:vAlign w:val="bottom"/>
            <w:tcBorders>
              <w:top w:val="single" w:sz="8" w:color="CCEEFF"/>
            </w:tcBorders>
            <w:shd w:val="clear" w:color="auto" w:fill="CCEEFF"/>
          </w:tcPr>
          <w:p>
            <w:pPr>
              <w:spacing w:after="0"/>
              <w:rPr>
                <w:sz w:val="21"/>
                <w:szCs w:val="21"/>
                <w:color w:val="auto"/>
              </w:rPr>
            </w:pPr>
          </w:p>
        </w:tc>
        <w:tc>
          <w:tcPr>
            <w:tcW w:w="960" w:type="dxa"/>
            <w:vAlign w:val="bottom"/>
            <w:tcBorders>
              <w:top w:val="single" w:sz="8" w:color="auto"/>
            </w:tcBorders>
            <w:shd w:val="clear" w:color="auto" w:fill="CCEEFF"/>
          </w:tcPr>
          <w:p>
            <w:pPr>
              <w:jc w:val="right"/>
              <w:ind w:right="785"/>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2,860,643</w:t>
            </w:r>
          </w:p>
        </w:tc>
        <w:tc>
          <w:tcPr>
            <w:tcW w:w="1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54,690</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2,916,674</w:t>
            </w:r>
          </w:p>
        </w:tc>
        <w:tc>
          <w:tcPr>
            <w:tcW w:w="0" w:type="dxa"/>
            <w:vAlign w:val="bottom"/>
          </w:tcPr>
          <w:p>
            <w:pPr>
              <w:spacing w:after="0"/>
              <w:rPr>
                <w:sz w:val="1"/>
                <w:szCs w:val="1"/>
                <w:color w:val="auto"/>
              </w:rPr>
            </w:pPr>
          </w:p>
        </w:tc>
      </w:tr>
      <w:tr>
        <w:trPr>
          <w:trHeight w:val="216"/>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exercise</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of stock options</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1,395,407</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1,609</w:t>
            </w: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Vesting of restricted and performance</w:t>
            </w: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units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1,250,165</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restricted shares of common</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from acquisitions</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771,355</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53,038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53,038</w:t>
            </w: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the</w:t>
            </w: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287,014</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28,578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28,578</w:t>
            </w:r>
          </w:p>
        </w:tc>
        <w:tc>
          <w:tcPr>
            <w:tcW w:w="0" w:type="dxa"/>
            <w:vAlign w:val="bottom"/>
          </w:tcPr>
          <w:p>
            <w:pPr>
              <w:spacing w:after="0"/>
              <w:rPr>
                <w:sz w:val="1"/>
                <w:szCs w:val="1"/>
                <w:color w:val="auto"/>
              </w:rPr>
            </w:pPr>
          </w:p>
        </w:tc>
      </w:tr>
      <w:tr>
        <w:trPr>
          <w:trHeight w:val="213"/>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186,419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186,419</w:t>
            </w:r>
          </w:p>
        </w:tc>
        <w:tc>
          <w:tcPr>
            <w:tcW w:w="0" w:type="dxa"/>
            <w:vAlign w:val="bottom"/>
          </w:tcPr>
          <w:p>
            <w:pPr>
              <w:spacing w:after="0"/>
              <w:rPr>
                <w:sz w:val="1"/>
                <w:szCs w:val="1"/>
                <w:color w:val="auto"/>
              </w:rPr>
            </w:pPr>
          </w:p>
        </w:tc>
      </w:tr>
      <w:tr>
        <w:trPr>
          <w:trHeight w:val="218"/>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Settlement of common stock in connection</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with the 2025 Convertible Senior Notes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(6,169)</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216"/>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accumulated other</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comprehensive income</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6,949</w:t>
            </w:r>
          </w:p>
        </w:tc>
        <w:tc>
          <w:tcPr>
            <w:tcW w:w="0" w:type="dxa"/>
            <w:vAlign w:val="bottom"/>
          </w:tcPr>
          <w:p>
            <w:pPr>
              <w:spacing w:after="0"/>
              <w:rPr>
                <w:sz w:val="1"/>
                <w:szCs w:val="1"/>
                <w:color w:val="auto"/>
              </w:rPr>
            </w:pPr>
          </w:p>
        </w:tc>
      </w:tr>
      <w:tr>
        <w:trPr>
          <w:trHeight w:val="239"/>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2,647</w:t>
            </w:r>
          </w:p>
        </w:tc>
        <w:tc>
          <w:tcPr>
            <w:tcW w:w="0" w:type="dxa"/>
            <w:vAlign w:val="bottom"/>
          </w:tcPr>
          <w:p>
            <w:pPr>
              <w:spacing w:after="0"/>
              <w:rPr>
                <w:sz w:val="1"/>
                <w:szCs w:val="1"/>
                <w:color w:val="auto"/>
              </w:rPr>
            </w:pPr>
          </w:p>
        </w:tc>
      </w:tr>
      <w:tr>
        <w:trPr>
          <w:trHeight w:val="243"/>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BALANCE—June 30, 2025</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348,608,581</w:t>
            </w:r>
          </w:p>
        </w:tc>
        <w:tc>
          <w:tcPr>
            <w:tcW w:w="120" w:type="dxa"/>
            <w:vAlign w:val="bottom"/>
          </w:tcPr>
          <w:p>
            <w:pPr>
              <w:spacing w:after="0"/>
              <w:rPr>
                <w:sz w:val="21"/>
                <w:szCs w:val="21"/>
                <w:color w:val="auto"/>
              </w:rPr>
            </w:pPr>
          </w:p>
        </w:tc>
        <w:tc>
          <w:tcPr>
            <w:tcW w:w="960" w:type="dxa"/>
            <w:vAlign w:val="bottom"/>
            <w:tcBorders>
              <w:top w:val="single" w:sz="8" w:color="auto"/>
              <w:bottom w:val="single" w:sz="8" w:color="auto"/>
            </w:tcBorders>
          </w:tcPr>
          <w:p>
            <w:pPr>
              <w:jc w:val="right"/>
              <w:ind w:right="785"/>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3,130,130</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8,287</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57,337</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3,195,757</w:t>
            </w:r>
          </w:p>
        </w:tc>
        <w:tc>
          <w:tcPr>
            <w:tcW w:w="0" w:type="dxa"/>
            <w:vAlign w:val="bottom"/>
          </w:tcPr>
          <w:p>
            <w:pPr>
              <w:spacing w:after="0"/>
              <w:rPr>
                <w:sz w:val="1"/>
                <w:szCs w:val="1"/>
                <w:color w:val="auto"/>
              </w:rPr>
            </w:pPr>
          </w:p>
        </w:tc>
      </w:tr>
      <w:tr>
        <w:trPr>
          <w:trHeight w:val="21"/>
        </w:trPr>
        <w:tc>
          <w:tcPr>
            <w:tcW w:w="28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60" w:type="dxa"/>
            <w:vAlign w:val="bottom"/>
          </w:tcPr>
          <w:p>
            <w:pPr>
              <w:spacing w:after="0"/>
              <w:rPr>
                <w:sz w:val="12"/>
                <w:szCs w:val="12"/>
                <w:color w:val="auto"/>
              </w:rPr>
            </w:pPr>
          </w:p>
        </w:tc>
        <w:tc>
          <w:tcPr>
            <w:tcW w:w="2380" w:type="dxa"/>
            <w:vAlign w:val="bottom"/>
            <w:gridSpan w:val="3"/>
          </w:tcPr>
          <w:p>
            <w:pPr>
              <w:jc w:val="right"/>
              <w:ind w:right="405"/>
              <w:spacing w:after="0"/>
              <w:rPr>
                <w:sz w:val="20"/>
                <w:szCs w:val="20"/>
                <w:color w:val="auto"/>
              </w:rPr>
            </w:pPr>
            <w:r>
              <w:rPr>
                <w:rFonts w:ascii="Times New Roman" w:cs="Times New Roman" w:eastAsia="Times New Roman" w:hAnsi="Times New Roman"/>
                <w:sz w:val="13"/>
                <w:szCs w:val="13"/>
                <w:b w:val="1"/>
                <w:bCs w:val="1"/>
                <w:color w:val="auto"/>
              </w:rPr>
              <w:t>Class A and Class B</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260" w:type="dxa"/>
            <w:vAlign w:val="bottom"/>
          </w:tcPr>
          <w:p>
            <w:pPr>
              <w:spacing w:after="0"/>
              <w:rPr>
                <w:sz w:val="12"/>
                <w:szCs w:val="12"/>
                <w:color w:val="auto"/>
              </w:rPr>
            </w:pPr>
          </w:p>
        </w:tc>
        <w:tc>
          <w:tcPr>
            <w:tcW w:w="1040" w:type="dxa"/>
            <w:vAlign w:val="bottom"/>
            <w:vMerge w:val="restart"/>
          </w:tcPr>
          <w:p>
            <w:pPr>
              <w:jc w:val="center"/>
              <w:ind w:right="202"/>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54"/>
        </w:trPr>
        <w:tc>
          <w:tcPr>
            <w:tcW w:w="2860" w:type="dxa"/>
            <w:vAlign w:val="bottom"/>
          </w:tcPr>
          <w:p>
            <w:pPr>
              <w:spacing w:after="0"/>
              <w:rPr>
                <w:sz w:val="4"/>
                <w:szCs w:val="4"/>
                <w:color w:val="auto"/>
              </w:rPr>
            </w:pPr>
          </w:p>
        </w:tc>
        <w:tc>
          <w:tcPr>
            <w:tcW w:w="2380" w:type="dxa"/>
            <w:vAlign w:val="bottom"/>
            <w:gridSpan w:val="3"/>
            <w:vMerge w:val="restart"/>
          </w:tcPr>
          <w:p>
            <w:pPr>
              <w:jc w:val="right"/>
              <w:ind w:right="545"/>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2"/>
        </w:trPr>
        <w:tc>
          <w:tcPr>
            <w:tcW w:w="2860" w:type="dxa"/>
            <w:vAlign w:val="bottom"/>
          </w:tcPr>
          <w:p>
            <w:pPr>
              <w:spacing w:after="0"/>
              <w:rPr>
                <w:sz w:val="9"/>
                <w:szCs w:val="9"/>
                <w:color w:val="auto"/>
              </w:rPr>
            </w:pPr>
          </w:p>
        </w:tc>
        <w:tc>
          <w:tcPr>
            <w:tcW w:w="238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gridSpan w:val="2"/>
            <w:vMerge w:val="restart"/>
          </w:tcPr>
          <w:p>
            <w:pPr>
              <w:jc w:val="center"/>
              <w:ind w:right="360"/>
              <w:spacing w:after="0" w:line="122" w:lineRule="exact"/>
              <w:rPr>
                <w:sz w:val="20"/>
                <w:szCs w:val="20"/>
                <w:color w:val="auto"/>
              </w:rPr>
            </w:pPr>
            <w:r>
              <w:rPr>
                <w:rFonts w:ascii="Times New Roman" w:cs="Times New Roman" w:eastAsia="Times New Roman" w:hAnsi="Times New Roman"/>
                <w:sz w:val="13"/>
                <w:szCs w:val="13"/>
                <w:b w:val="1"/>
                <w:bCs w:val="1"/>
                <w:color w:val="auto"/>
                <w:w w:val="93"/>
              </w:rPr>
              <w:t>Paid-in</w:t>
            </w:r>
          </w:p>
        </w:tc>
        <w:tc>
          <w:tcPr>
            <w:tcW w:w="100" w:type="dxa"/>
            <w:vAlign w:val="bottom"/>
          </w:tcPr>
          <w:p>
            <w:pPr>
              <w:spacing w:after="0"/>
              <w:rPr>
                <w:sz w:val="9"/>
                <w:szCs w:val="9"/>
                <w:color w:val="auto"/>
              </w:rPr>
            </w:pPr>
          </w:p>
        </w:tc>
        <w:tc>
          <w:tcPr>
            <w:tcW w:w="1320" w:type="dxa"/>
            <w:vAlign w:val="bottom"/>
            <w:gridSpan w:val="2"/>
            <w:vMerge w:val="restart"/>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Accumulated Other</w:t>
            </w:r>
          </w:p>
        </w:tc>
        <w:tc>
          <w:tcPr>
            <w:tcW w:w="140" w:type="dxa"/>
            <w:vAlign w:val="bottom"/>
          </w:tcPr>
          <w:p>
            <w:pPr>
              <w:spacing w:after="0"/>
              <w:rPr>
                <w:sz w:val="9"/>
                <w:szCs w:val="9"/>
                <w:color w:val="auto"/>
              </w:rPr>
            </w:pPr>
          </w:p>
        </w:tc>
        <w:tc>
          <w:tcPr>
            <w:tcW w:w="1280" w:type="dxa"/>
            <w:vAlign w:val="bottom"/>
            <w:gridSpan w:val="2"/>
            <w:vMerge w:val="restart"/>
          </w:tcPr>
          <w:p>
            <w:pPr>
              <w:jc w:val="center"/>
              <w:ind w:right="260"/>
              <w:spacing w:after="0" w:line="122" w:lineRule="exact"/>
              <w:rPr>
                <w:sz w:val="20"/>
                <w:szCs w:val="20"/>
                <w:color w:val="auto"/>
              </w:rPr>
            </w:pPr>
            <w:r>
              <w:rPr>
                <w:rFonts w:ascii="Times New Roman" w:cs="Times New Roman" w:eastAsia="Times New Roman" w:hAnsi="Times New Roman"/>
                <w:sz w:val="13"/>
                <w:szCs w:val="13"/>
                <w:b w:val="1"/>
                <w:bCs w:val="1"/>
                <w:color w:val="auto"/>
                <w:w w:val="95"/>
              </w:rPr>
              <w:t>Deficit) Retained</w:t>
            </w:r>
          </w:p>
        </w:tc>
        <w:tc>
          <w:tcPr>
            <w:tcW w:w="1300" w:type="dxa"/>
            <w:vAlign w:val="bottom"/>
            <w:gridSpan w:val="2"/>
            <w:vMerge w:val="restart"/>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7"/>
              </w:rPr>
              <w:t>Stockholders' Equity</w:t>
            </w:r>
          </w:p>
        </w:tc>
        <w:tc>
          <w:tcPr>
            <w:tcW w:w="0" w:type="dxa"/>
            <w:vAlign w:val="bottom"/>
          </w:tcPr>
          <w:p>
            <w:pPr>
              <w:spacing w:after="0"/>
              <w:rPr>
                <w:sz w:val="1"/>
                <w:szCs w:val="1"/>
                <w:color w:val="auto"/>
              </w:rPr>
            </w:pPr>
          </w:p>
        </w:tc>
      </w:tr>
      <w:tr>
        <w:trPr>
          <w:trHeight w:val="30"/>
        </w:trPr>
        <w:tc>
          <w:tcPr>
            <w:tcW w:w="28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860" w:type="dxa"/>
            <w:vAlign w:val="bottom"/>
          </w:tcPr>
          <w:p>
            <w:pPr>
              <w:spacing w:after="0"/>
              <w:rPr>
                <w:sz w:val="14"/>
                <w:szCs w:val="14"/>
                <w:color w:val="auto"/>
              </w:rPr>
            </w:pPr>
          </w:p>
        </w:tc>
        <w:tc>
          <w:tcPr>
            <w:tcW w:w="1420" w:type="dxa"/>
            <w:vAlign w:val="bottom"/>
            <w:gridSpan w:val="2"/>
          </w:tcPr>
          <w:p>
            <w:pPr>
              <w:ind w:left="4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960" w:type="dxa"/>
            <w:vAlign w:val="bottom"/>
          </w:tcPr>
          <w:p>
            <w:pPr>
              <w:jc w:val="right"/>
              <w:ind w:right="25"/>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Pr>
          <w:p>
            <w:pPr>
              <w:spacing w:after="0"/>
              <w:rPr>
                <w:sz w:val="14"/>
                <w:szCs w:val="1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Comprehensive Loss</w:t>
            </w:r>
          </w:p>
        </w:tc>
        <w:tc>
          <w:tcPr>
            <w:tcW w:w="14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8"/>
              </w:rPr>
              <w:t>Earnings</w:t>
            </w:r>
          </w:p>
        </w:tc>
        <w:tc>
          <w:tcPr>
            <w:tcW w:w="260" w:type="dxa"/>
            <w:vAlign w:val="bottom"/>
          </w:tcPr>
          <w:p>
            <w:pPr>
              <w:spacing w:after="0"/>
              <w:rPr>
                <w:sz w:val="14"/>
                <w:szCs w:val="14"/>
                <w:color w:val="auto"/>
              </w:rPr>
            </w:pPr>
          </w:p>
        </w:tc>
        <w:tc>
          <w:tcPr>
            <w:tcW w:w="1040" w:type="dxa"/>
            <w:vAlign w:val="bottom"/>
          </w:tcPr>
          <w:p>
            <w:pPr>
              <w:jc w:val="center"/>
              <w:ind w:right="202"/>
              <w:spacing w:after="0"/>
              <w:rPr>
                <w:sz w:val="20"/>
                <w:szCs w:val="20"/>
                <w:color w:val="auto"/>
              </w:rPr>
            </w:pPr>
            <w:r>
              <w:rPr>
                <w:rFonts w:ascii="Times New Roman" w:cs="Times New Roman" w:eastAsia="Times New Roman" w:hAnsi="Times New Roman"/>
                <w:sz w:val="13"/>
                <w:szCs w:val="13"/>
                <w:b w:val="1"/>
                <w:bCs w:val="1"/>
                <w:color w:val="auto"/>
                <w:w w:val="96"/>
              </w:rPr>
              <w:t>(Deficit)</w:t>
            </w:r>
          </w:p>
        </w:tc>
        <w:tc>
          <w:tcPr>
            <w:tcW w:w="0" w:type="dxa"/>
            <w:vAlign w:val="bottom"/>
          </w:tcPr>
          <w:p>
            <w:pPr>
              <w:spacing w:after="0"/>
              <w:rPr>
                <w:sz w:val="1"/>
                <w:szCs w:val="1"/>
                <w:color w:val="auto"/>
              </w:rPr>
            </w:pPr>
          </w:p>
        </w:tc>
      </w:tr>
      <w:tr>
        <w:trPr>
          <w:trHeight w:val="30"/>
        </w:trPr>
        <w:tc>
          <w:tcPr>
            <w:tcW w:w="28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BALANCE—March 31, 2024</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333,965,590</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85"/>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2,321,119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(7,700)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(111,067)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2,202,355</w:t>
            </w:r>
          </w:p>
        </w:tc>
        <w:tc>
          <w:tcPr>
            <w:tcW w:w="0" w:type="dxa"/>
            <w:vAlign w:val="bottom"/>
          </w:tcPr>
          <w:p>
            <w:pPr>
              <w:spacing w:after="0"/>
              <w:rPr>
                <w:sz w:val="1"/>
                <w:szCs w:val="1"/>
                <w:color w:val="auto"/>
              </w:rPr>
            </w:pPr>
          </w:p>
        </w:tc>
      </w:tr>
      <w:tr>
        <w:trPr>
          <w:trHeight w:val="202"/>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exercise</w:t>
            </w: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of stock options</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1,247,195</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1,726</w:t>
            </w:r>
          </w:p>
        </w:tc>
        <w:tc>
          <w:tcPr>
            <w:tcW w:w="0" w:type="dxa"/>
            <w:vAlign w:val="bottom"/>
          </w:tcPr>
          <w:p>
            <w:pPr>
              <w:spacing w:after="0"/>
              <w:rPr>
                <w:sz w:val="1"/>
                <w:szCs w:val="1"/>
                <w:color w:val="auto"/>
              </w:rPr>
            </w:pPr>
          </w:p>
        </w:tc>
      </w:tr>
      <w:tr>
        <w:trPr>
          <w:trHeight w:val="205"/>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Vesting of restricted and performance</w:t>
            </w: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units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1,178,139</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restricted shares of common</w:t>
            </w: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from acquisitions</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136,079</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the</w:t>
            </w: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242,656</w:t>
            </w: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22,507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22,507</w:t>
            </w:r>
          </w:p>
        </w:tc>
        <w:tc>
          <w:tcPr>
            <w:tcW w:w="0" w:type="dxa"/>
            <w:vAlign w:val="bottom"/>
          </w:tcPr>
          <w:p>
            <w:pPr>
              <w:spacing w:after="0"/>
              <w:rPr>
                <w:sz w:val="1"/>
                <w:szCs w:val="1"/>
                <w:color w:val="auto"/>
              </w:rPr>
            </w:pPr>
          </w:p>
        </w:tc>
      </w:tr>
      <w:tr>
        <w:trPr>
          <w:trHeight w:val="240"/>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138,912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138,912</w:t>
            </w:r>
          </w:p>
        </w:tc>
        <w:tc>
          <w:tcPr>
            <w:tcW w:w="0" w:type="dxa"/>
            <w:vAlign w:val="bottom"/>
          </w:tcPr>
          <w:p>
            <w:pPr>
              <w:spacing w:after="0"/>
              <w:rPr>
                <w:sz w:val="1"/>
                <w:szCs w:val="1"/>
                <w:color w:val="auto"/>
              </w:rPr>
            </w:pPr>
          </w:p>
        </w:tc>
      </w:tr>
      <w:tr>
        <w:trPr>
          <w:trHeight w:val="205"/>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accumulated other</w:t>
            </w: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comprehensive loss</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(2,016)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(2,016)</w:t>
            </w:r>
          </w:p>
        </w:tc>
        <w:tc>
          <w:tcPr>
            <w:tcW w:w="0" w:type="dxa"/>
            <w:vAlign w:val="bottom"/>
          </w:tcPr>
          <w:p>
            <w:pPr>
              <w:spacing w:after="0"/>
              <w:rPr>
                <w:sz w:val="1"/>
                <w:szCs w:val="1"/>
                <w:color w:val="auto"/>
              </w:rPr>
            </w:pPr>
          </w:p>
        </w:tc>
      </w:tr>
      <w:tr>
        <w:trPr>
          <w:trHeight w:val="240"/>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43,824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43,824</w:t>
            </w:r>
          </w:p>
        </w:tc>
        <w:tc>
          <w:tcPr>
            <w:tcW w:w="0" w:type="dxa"/>
            <w:vAlign w:val="bottom"/>
          </w:tcPr>
          <w:p>
            <w:pPr>
              <w:spacing w:after="0"/>
              <w:rPr>
                <w:sz w:val="1"/>
                <w:szCs w:val="1"/>
                <w:color w:val="auto"/>
              </w:rPr>
            </w:pPr>
          </w:p>
        </w:tc>
      </w:tr>
      <w:tr>
        <w:trPr>
          <w:trHeight w:val="235"/>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BALANCE—June 30, 2024</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336,769,659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ind w:right="785"/>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2,484,264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(9,716)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(67,243)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2,407,308</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2380" w:type="dxa"/>
            <w:vAlign w:val="bottom"/>
            <w:gridSpan w:val="3"/>
          </w:tcPr>
          <w:p>
            <w:pPr>
              <w:jc w:val="right"/>
              <w:ind w:right="405"/>
              <w:spacing w:after="0"/>
              <w:rPr>
                <w:sz w:val="20"/>
                <w:szCs w:val="20"/>
                <w:color w:val="auto"/>
              </w:rPr>
            </w:pPr>
            <w:r>
              <w:rPr>
                <w:rFonts w:ascii="Times New Roman" w:cs="Times New Roman" w:eastAsia="Times New Roman" w:hAnsi="Times New Roman"/>
                <w:sz w:val="13"/>
                <w:szCs w:val="13"/>
                <w:b w:val="1"/>
                <w:bCs w:val="1"/>
                <w:color w:val="auto"/>
              </w:rPr>
              <w:t>Class A and Class B</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00" w:type="dxa"/>
            <w:vAlign w:val="bottom"/>
          </w:tcPr>
          <w:p>
            <w:pPr>
              <w:spacing w:after="0"/>
              <w:rPr>
                <w:sz w:val="14"/>
                <w:szCs w:val="14"/>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Accumulated Other</w:t>
            </w: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vMerge w:val="restart"/>
          </w:tcPr>
          <w:p>
            <w:pPr>
              <w:jc w:val="center"/>
              <w:ind w:right="104"/>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54"/>
        </w:trPr>
        <w:tc>
          <w:tcPr>
            <w:tcW w:w="2860" w:type="dxa"/>
            <w:vAlign w:val="bottom"/>
          </w:tcPr>
          <w:p>
            <w:pPr>
              <w:spacing w:after="0"/>
              <w:rPr>
                <w:sz w:val="4"/>
                <w:szCs w:val="4"/>
                <w:color w:val="auto"/>
              </w:rPr>
            </w:pPr>
          </w:p>
        </w:tc>
        <w:tc>
          <w:tcPr>
            <w:tcW w:w="2380" w:type="dxa"/>
            <w:vAlign w:val="bottom"/>
            <w:gridSpan w:val="3"/>
            <w:vMerge w:val="restart"/>
          </w:tcPr>
          <w:p>
            <w:pPr>
              <w:jc w:val="right"/>
              <w:ind w:right="545"/>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2860" w:type="dxa"/>
            <w:vAlign w:val="bottom"/>
          </w:tcPr>
          <w:p>
            <w:pPr>
              <w:spacing w:after="0"/>
              <w:rPr>
                <w:sz w:val="11"/>
                <w:szCs w:val="11"/>
                <w:color w:val="auto"/>
              </w:rPr>
            </w:pPr>
          </w:p>
        </w:tc>
        <w:tc>
          <w:tcPr>
            <w:tcW w:w="2380" w:type="dxa"/>
            <w:vAlign w:val="bottom"/>
            <w:tcBorders>
              <w:bottom w:val="single" w:sz="8" w:color="auto"/>
            </w:tcBorders>
            <w:gridSpan w:val="3"/>
            <w:vMerge w:val="continue"/>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jc w:val="center"/>
              <w:ind w:right="360"/>
              <w:spacing w:after="0" w:line="109" w:lineRule="exact"/>
              <w:rPr>
                <w:sz w:val="20"/>
                <w:szCs w:val="20"/>
                <w:color w:val="auto"/>
              </w:rPr>
            </w:pPr>
            <w:r>
              <w:rPr>
                <w:rFonts w:ascii="Times New Roman" w:cs="Times New Roman" w:eastAsia="Times New Roman" w:hAnsi="Times New Roman"/>
                <w:sz w:val="12"/>
                <w:szCs w:val="12"/>
                <w:b w:val="1"/>
                <w:bCs w:val="1"/>
                <w:color w:val="auto"/>
              </w:rPr>
              <w:t>Paid-in</w:t>
            </w:r>
          </w:p>
        </w:tc>
        <w:tc>
          <w:tcPr>
            <w:tcW w:w="1420" w:type="dxa"/>
            <w:vAlign w:val="bottom"/>
            <w:gridSpan w:val="3"/>
          </w:tcPr>
          <w:p>
            <w:pPr>
              <w:jc w:val="center"/>
              <w:ind w:right="120"/>
              <w:spacing w:after="0" w:line="109" w:lineRule="exact"/>
              <w:rPr>
                <w:sz w:val="20"/>
                <w:szCs w:val="20"/>
                <w:color w:val="auto"/>
              </w:rPr>
            </w:pPr>
            <w:r>
              <w:rPr>
                <w:rFonts w:ascii="Times New Roman" w:cs="Times New Roman" w:eastAsia="Times New Roman" w:hAnsi="Times New Roman"/>
                <w:sz w:val="12"/>
                <w:szCs w:val="12"/>
                <w:b w:val="1"/>
                <w:bCs w:val="1"/>
                <w:color w:val="auto"/>
              </w:rPr>
              <w:t>Comprehensive (Loss)</w:t>
            </w: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jc w:val="center"/>
              <w:ind w:right="84"/>
              <w:spacing w:after="0" w:line="109"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167"/>
        </w:trPr>
        <w:tc>
          <w:tcPr>
            <w:tcW w:w="2860" w:type="dxa"/>
            <w:vAlign w:val="bottom"/>
          </w:tcPr>
          <w:p>
            <w:pPr>
              <w:spacing w:after="0"/>
              <w:rPr>
                <w:sz w:val="14"/>
                <w:szCs w:val="14"/>
                <w:color w:val="auto"/>
              </w:rPr>
            </w:pPr>
          </w:p>
        </w:tc>
        <w:tc>
          <w:tcPr>
            <w:tcW w:w="1420" w:type="dxa"/>
            <w:vAlign w:val="bottom"/>
            <w:gridSpan w:val="2"/>
          </w:tcPr>
          <w:p>
            <w:pPr>
              <w:ind w:left="4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960" w:type="dxa"/>
            <w:vAlign w:val="bottom"/>
          </w:tcPr>
          <w:p>
            <w:pPr>
              <w:jc w:val="right"/>
              <w:ind w:right="25"/>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2"/>
              </w:rPr>
              <w:t>Income</w:t>
            </w:r>
          </w:p>
        </w:tc>
        <w:tc>
          <w:tcPr>
            <w:tcW w:w="120" w:type="dxa"/>
            <w:vAlign w:val="bottom"/>
          </w:tcPr>
          <w:p>
            <w:pPr>
              <w:spacing w:after="0"/>
              <w:rPr>
                <w:sz w:val="14"/>
                <w:szCs w:val="14"/>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Retained Earnings</w:t>
            </w:r>
          </w:p>
        </w:tc>
        <w:tc>
          <w:tcPr>
            <w:tcW w:w="160" w:type="dxa"/>
            <w:vAlign w:val="bottom"/>
          </w:tcPr>
          <w:p>
            <w:pPr>
              <w:spacing w:after="0"/>
              <w:rPr>
                <w:sz w:val="14"/>
                <w:szCs w:val="14"/>
                <w:color w:val="auto"/>
              </w:rPr>
            </w:pPr>
          </w:p>
        </w:tc>
        <w:tc>
          <w:tcPr>
            <w:tcW w:w="1140" w:type="dxa"/>
            <w:vAlign w:val="bottom"/>
          </w:tcPr>
          <w:p>
            <w:pPr>
              <w:jc w:val="center"/>
              <w:ind w:right="104"/>
              <w:spacing w:after="0"/>
              <w:rPr>
                <w:sz w:val="20"/>
                <w:szCs w:val="20"/>
                <w:color w:val="auto"/>
              </w:rPr>
            </w:pPr>
            <w:r>
              <w:rPr>
                <w:rFonts w:ascii="Times New Roman" w:cs="Times New Roman" w:eastAsia="Times New Roman" w:hAnsi="Times New Roman"/>
                <w:sz w:val="13"/>
                <w:szCs w:val="13"/>
                <w:b w:val="1"/>
                <w:bCs w:val="1"/>
                <w:color w:val="auto"/>
                <w:w w:val="97"/>
              </w:rPr>
              <w:t>Equity (Deficit)</w:t>
            </w:r>
          </w:p>
        </w:tc>
        <w:tc>
          <w:tcPr>
            <w:tcW w:w="0" w:type="dxa"/>
            <w:vAlign w:val="bottom"/>
          </w:tcPr>
          <w:p>
            <w:pPr>
              <w:spacing w:after="0"/>
              <w:rPr>
                <w:sz w:val="1"/>
                <w:szCs w:val="1"/>
                <w:color w:val="auto"/>
              </w:rPr>
            </w:pPr>
          </w:p>
        </w:tc>
      </w:tr>
      <w:tr>
        <w:trPr>
          <w:trHeight w:val="29"/>
        </w:trPr>
        <w:tc>
          <w:tcPr>
            <w:tcW w:w="28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BALANCE—December 31, 2024</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342,118,782</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85"/>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2,689,013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30,048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2,714,363</w:t>
            </w:r>
          </w:p>
        </w:tc>
        <w:tc>
          <w:tcPr>
            <w:tcW w:w="0" w:type="dxa"/>
            <w:vAlign w:val="bottom"/>
          </w:tcPr>
          <w:p>
            <w:pPr>
              <w:spacing w:after="0"/>
              <w:rPr>
                <w:sz w:val="1"/>
                <w:szCs w:val="1"/>
                <w:color w:val="auto"/>
              </w:rPr>
            </w:pPr>
          </w:p>
        </w:tc>
      </w:tr>
      <w:tr>
        <w:trPr>
          <w:trHeight w:val="216"/>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exercise</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of stock options</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2,711,540</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3,312</w:t>
            </w:r>
          </w:p>
        </w:tc>
        <w:tc>
          <w:tcPr>
            <w:tcW w:w="0" w:type="dxa"/>
            <w:vAlign w:val="bottom"/>
          </w:tcPr>
          <w:p>
            <w:pPr>
              <w:spacing w:after="0"/>
              <w:rPr>
                <w:sz w:val="1"/>
                <w:szCs w:val="1"/>
                <w:color w:val="auto"/>
              </w:rPr>
            </w:pPr>
          </w:p>
        </w:tc>
      </w:tr>
      <w:tr>
        <w:trPr>
          <w:trHeight w:val="225"/>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Vesting of restricted and performance</w:t>
            </w: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units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2,726,059</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shares of common stock from</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acquisitions</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771,355</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53,038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53,038</w:t>
            </w:r>
          </w:p>
        </w:tc>
        <w:tc>
          <w:tcPr>
            <w:tcW w:w="0" w:type="dxa"/>
            <w:vAlign w:val="bottom"/>
          </w:tcPr>
          <w:p>
            <w:pPr>
              <w:spacing w:after="0"/>
              <w:rPr>
                <w:sz w:val="1"/>
                <w:szCs w:val="1"/>
                <w:color w:val="auto"/>
              </w:rPr>
            </w:pPr>
          </w:p>
        </w:tc>
      </w:tr>
      <w:tr>
        <w:trPr>
          <w:trHeight w:val="219"/>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the</w:t>
            </w: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287,014</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28,578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28,578</w:t>
            </w:r>
          </w:p>
        </w:tc>
        <w:tc>
          <w:tcPr>
            <w:tcW w:w="0" w:type="dxa"/>
            <w:vAlign w:val="bottom"/>
          </w:tcPr>
          <w:p>
            <w:pPr>
              <w:spacing w:after="0"/>
              <w:rPr>
                <w:sz w:val="1"/>
                <w:szCs w:val="1"/>
                <w:color w:val="auto"/>
              </w:rPr>
            </w:pPr>
          </w:p>
        </w:tc>
      </w:tr>
      <w:tr>
        <w:trPr>
          <w:trHeight w:val="233"/>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356,346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356,346</w:t>
            </w:r>
          </w:p>
        </w:tc>
        <w:tc>
          <w:tcPr>
            <w:tcW w:w="0" w:type="dxa"/>
            <w:vAlign w:val="bottom"/>
          </w:tcPr>
          <w:p>
            <w:pPr>
              <w:spacing w:after="0"/>
              <w:rPr>
                <w:sz w:val="1"/>
                <w:szCs w:val="1"/>
                <w:color w:val="auto"/>
              </w:rPr>
            </w:pPr>
          </w:p>
        </w:tc>
      </w:tr>
      <w:tr>
        <w:trPr>
          <w:trHeight w:val="225"/>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Settlement of common stock in connection</w:t>
            </w: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with the 2025 Convertible Senior Notes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(6,169)</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216"/>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accumulated other</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comprehensive (loss) income</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12,988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12,988</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27,289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27,289</w:t>
            </w:r>
          </w:p>
        </w:tc>
        <w:tc>
          <w:tcPr>
            <w:tcW w:w="0" w:type="dxa"/>
            <w:vAlign w:val="bottom"/>
          </w:tcPr>
          <w:p>
            <w:pPr>
              <w:spacing w:after="0"/>
              <w:rPr>
                <w:sz w:val="1"/>
                <w:szCs w:val="1"/>
                <w:color w:val="auto"/>
              </w:rPr>
            </w:pPr>
          </w:p>
        </w:tc>
      </w:tr>
      <w:tr>
        <w:trPr>
          <w:trHeight w:val="239"/>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BALANCE—June 30, 2025</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348,608,581</w:t>
            </w:r>
          </w:p>
        </w:tc>
        <w:tc>
          <w:tcPr>
            <w:tcW w:w="12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ind w:right="785"/>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3,130,130</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8,287</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57,337</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3,195,757</w:t>
            </w:r>
          </w:p>
        </w:tc>
        <w:tc>
          <w:tcPr>
            <w:tcW w:w="0" w:type="dxa"/>
            <w:vAlign w:val="bottom"/>
          </w:tcPr>
          <w:p>
            <w:pPr>
              <w:spacing w:after="0"/>
              <w:rPr>
                <w:sz w:val="1"/>
                <w:szCs w:val="1"/>
                <w:color w:val="auto"/>
              </w:rPr>
            </w:pPr>
          </w:p>
        </w:tc>
      </w:tr>
      <w:tr>
        <w:trPr>
          <w:trHeight w:val="21"/>
        </w:trPr>
        <w:tc>
          <w:tcPr>
            <w:tcW w:w="28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60" w:type="dxa"/>
            <w:vAlign w:val="bottom"/>
            <w:gridSpan w:val="3"/>
          </w:tcPr>
          <w:p>
            <w:pPr>
              <w:jc w:val="right"/>
              <w:ind w:right="405"/>
              <w:spacing w:after="0"/>
              <w:rPr>
                <w:sz w:val="20"/>
                <w:szCs w:val="20"/>
                <w:color w:val="auto"/>
              </w:rPr>
            </w:pPr>
            <w:r>
              <w:rPr>
                <w:rFonts w:ascii="Times New Roman" w:cs="Times New Roman" w:eastAsia="Times New Roman" w:hAnsi="Times New Roman"/>
                <w:sz w:val="13"/>
                <w:szCs w:val="13"/>
                <w:b w:val="1"/>
                <w:bCs w:val="1"/>
                <w:color w:val="auto"/>
              </w:rPr>
              <w:t>Class A and Class B</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60" w:type="dxa"/>
            <w:vAlign w:val="bottom"/>
          </w:tcPr>
          <w:p>
            <w:pPr>
              <w:spacing w:after="0"/>
              <w:rPr>
                <w:sz w:val="12"/>
                <w:szCs w:val="12"/>
                <w:color w:val="auto"/>
              </w:rPr>
            </w:pPr>
          </w:p>
        </w:tc>
        <w:tc>
          <w:tcPr>
            <w:tcW w:w="1140" w:type="dxa"/>
            <w:vAlign w:val="bottom"/>
            <w:vMerge w:val="restart"/>
          </w:tcPr>
          <w:p>
            <w:pPr>
              <w:jc w:val="center"/>
              <w:ind w:right="104"/>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54"/>
        </w:trPr>
        <w:tc>
          <w:tcPr>
            <w:tcW w:w="2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360" w:type="dxa"/>
            <w:vAlign w:val="bottom"/>
            <w:gridSpan w:val="3"/>
            <w:vMerge w:val="restart"/>
          </w:tcPr>
          <w:p>
            <w:pPr>
              <w:jc w:val="right"/>
              <w:ind w:right="525"/>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2"/>
        </w:trPr>
        <w:tc>
          <w:tcPr>
            <w:tcW w:w="2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6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80" w:type="dxa"/>
            <w:vAlign w:val="bottom"/>
            <w:gridSpan w:val="2"/>
            <w:vMerge w:val="restart"/>
          </w:tcPr>
          <w:p>
            <w:pPr>
              <w:jc w:val="center"/>
              <w:ind w:right="360"/>
              <w:spacing w:after="0" w:line="122" w:lineRule="exact"/>
              <w:rPr>
                <w:sz w:val="20"/>
                <w:szCs w:val="20"/>
                <w:color w:val="auto"/>
              </w:rPr>
            </w:pPr>
            <w:r>
              <w:rPr>
                <w:rFonts w:ascii="Times New Roman" w:cs="Times New Roman" w:eastAsia="Times New Roman" w:hAnsi="Times New Roman"/>
                <w:sz w:val="13"/>
                <w:szCs w:val="13"/>
                <w:b w:val="1"/>
                <w:bCs w:val="1"/>
                <w:color w:val="auto"/>
                <w:w w:val="93"/>
              </w:rPr>
              <w:t>Paid-in</w:t>
            </w:r>
          </w:p>
        </w:tc>
        <w:tc>
          <w:tcPr>
            <w:tcW w:w="100" w:type="dxa"/>
            <w:vAlign w:val="bottom"/>
          </w:tcPr>
          <w:p>
            <w:pPr>
              <w:spacing w:after="0"/>
              <w:rPr>
                <w:sz w:val="9"/>
                <w:szCs w:val="9"/>
                <w:color w:val="auto"/>
              </w:rPr>
            </w:pPr>
          </w:p>
        </w:tc>
        <w:tc>
          <w:tcPr>
            <w:tcW w:w="1320" w:type="dxa"/>
            <w:vAlign w:val="bottom"/>
            <w:gridSpan w:val="2"/>
            <w:vMerge w:val="restart"/>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Accumulated Other</w:t>
            </w:r>
          </w:p>
        </w:tc>
        <w:tc>
          <w:tcPr>
            <w:tcW w:w="120" w:type="dxa"/>
            <w:vAlign w:val="bottom"/>
          </w:tcPr>
          <w:p>
            <w:pPr>
              <w:spacing w:after="0"/>
              <w:rPr>
                <w:sz w:val="9"/>
                <w:szCs w:val="9"/>
                <w:color w:val="auto"/>
              </w:rPr>
            </w:pPr>
          </w:p>
        </w:tc>
        <w:tc>
          <w:tcPr>
            <w:tcW w:w="122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5"/>
              </w:rPr>
              <w:t>Deficit) Retained</w:t>
            </w:r>
          </w:p>
        </w:tc>
        <w:tc>
          <w:tcPr>
            <w:tcW w:w="160" w:type="dxa"/>
            <w:vAlign w:val="bottom"/>
          </w:tcPr>
          <w:p>
            <w:pPr>
              <w:spacing w:after="0"/>
              <w:rPr>
                <w:sz w:val="9"/>
                <w:szCs w:val="9"/>
                <w:color w:val="auto"/>
              </w:rPr>
            </w:pPr>
          </w:p>
        </w:tc>
        <w:tc>
          <w:tcPr>
            <w:tcW w:w="1140" w:type="dxa"/>
            <w:vAlign w:val="bottom"/>
            <w:vMerge w:val="restart"/>
          </w:tcPr>
          <w:p>
            <w:pPr>
              <w:jc w:val="center"/>
              <w:ind w:right="84"/>
              <w:spacing w:after="0" w:line="122" w:lineRule="exact"/>
              <w:rPr>
                <w:sz w:val="20"/>
                <w:szCs w:val="20"/>
                <w:color w:val="auto"/>
              </w:rPr>
            </w:pPr>
            <w:r>
              <w:rPr>
                <w:rFonts w:ascii="Times New Roman" w:cs="Times New Roman" w:eastAsia="Times New Roman" w:hAnsi="Times New Roman"/>
                <w:sz w:val="13"/>
                <w:szCs w:val="13"/>
                <w:b w:val="1"/>
                <w:bCs w:val="1"/>
                <w:color w:val="auto"/>
                <w:w w:val="97"/>
              </w:rPr>
              <w:t>Stockholders'</w:t>
            </w: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ind w:left="4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960" w:type="dxa"/>
            <w:vAlign w:val="bottom"/>
          </w:tcPr>
          <w:p>
            <w:pPr>
              <w:jc w:val="right"/>
              <w:ind w:right="5"/>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00" w:type="dxa"/>
            <w:vAlign w:val="bottom"/>
          </w:tcPr>
          <w:p>
            <w:pPr>
              <w:spacing w:after="0"/>
              <w:rPr>
                <w:sz w:val="14"/>
                <w:szCs w:val="14"/>
                <w:color w:val="auto"/>
              </w:rPr>
            </w:pPr>
          </w:p>
        </w:tc>
        <w:tc>
          <w:tcPr>
            <w:tcW w:w="13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Comprehensive Loss</w:t>
            </w:r>
          </w:p>
        </w:tc>
        <w:tc>
          <w:tcPr>
            <w:tcW w:w="12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8"/>
              </w:rPr>
              <w:t>Earnings</w:t>
            </w:r>
          </w:p>
        </w:tc>
        <w:tc>
          <w:tcPr>
            <w:tcW w:w="160" w:type="dxa"/>
            <w:vAlign w:val="bottom"/>
          </w:tcPr>
          <w:p>
            <w:pPr>
              <w:spacing w:after="0"/>
              <w:rPr>
                <w:sz w:val="14"/>
                <w:szCs w:val="14"/>
                <w:color w:val="auto"/>
              </w:rPr>
            </w:pPr>
          </w:p>
        </w:tc>
        <w:tc>
          <w:tcPr>
            <w:tcW w:w="1140" w:type="dxa"/>
            <w:vAlign w:val="bottom"/>
          </w:tcPr>
          <w:p>
            <w:pPr>
              <w:jc w:val="center"/>
              <w:ind w:right="104"/>
              <w:spacing w:after="0"/>
              <w:rPr>
                <w:sz w:val="20"/>
                <w:szCs w:val="20"/>
                <w:color w:val="auto"/>
              </w:rPr>
            </w:pPr>
            <w:r>
              <w:rPr>
                <w:rFonts w:ascii="Times New Roman" w:cs="Times New Roman" w:eastAsia="Times New Roman" w:hAnsi="Times New Roman"/>
                <w:sz w:val="13"/>
                <w:szCs w:val="13"/>
                <w:b w:val="1"/>
                <w:bCs w:val="1"/>
                <w:color w:val="auto"/>
                <w:w w:val="97"/>
              </w:rPr>
              <w:t>Equity (Deficit)</w:t>
            </w:r>
          </w:p>
        </w:tc>
        <w:tc>
          <w:tcPr>
            <w:tcW w:w="0" w:type="dxa"/>
            <w:vAlign w:val="bottom"/>
          </w:tcPr>
          <w:p>
            <w:pPr>
              <w:spacing w:after="0"/>
              <w:rPr>
                <w:sz w:val="1"/>
                <w:szCs w:val="1"/>
                <w:color w:val="auto"/>
              </w:rPr>
            </w:pPr>
          </w:p>
        </w:tc>
      </w:tr>
      <w:tr>
        <w:trPr>
          <w:trHeight w:val="30"/>
        </w:trPr>
        <w:tc>
          <w:tcPr>
            <w:tcW w:w="2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BALANCE—December 31, 2023</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331,079,746</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85"/>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2,181,267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(2,218)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(153,698)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2,025,354</w:t>
            </w:r>
          </w:p>
        </w:tc>
        <w:tc>
          <w:tcPr>
            <w:tcW w:w="0" w:type="dxa"/>
            <w:vAlign w:val="bottom"/>
          </w:tcPr>
          <w:p>
            <w:pPr>
              <w:spacing w:after="0"/>
              <w:rPr>
                <w:sz w:val="1"/>
                <w:szCs w:val="1"/>
                <w:color w:val="auto"/>
              </w:rPr>
            </w:pPr>
          </w:p>
        </w:tc>
      </w:tr>
      <w:tr>
        <w:trPr>
          <w:trHeight w:val="202"/>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exercise</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of stock options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2,587,839</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3,899</w:t>
            </w:r>
          </w:p>
        </w:tc>
        <w:tc>
          <w:tcPr>
            <w:tcW w:w="0" w:type="dxa"/>
            <w:vAlign w:val="bottom"/>
          </w:tcPr>
          <w:p>
            <w:pPr>
              <w:spacing w:after="0"/>
              <w:rPr>
                <w:sz w:val="1"/>
                <w:szCs w:val="1"/>
                <w:color w:val="auto"/>
              </w:rPr>
            </w:pPr>
          </w:p>
        </w:tc>
      </w:tr>
      <w:tr>
        <w:trPr>
          <w:trHeight w:val="205"/>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Vesting of restricted and performance</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units</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2,723,339</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restricted shares of common</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from acquisitions</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136,079</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the</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242,656</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22,507</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22,507</w:t>
            </w:r>
          </w:p>
        </w:tc>
        <w:tc>
          <w:tcPr>
            <w:tcW w:w="0" w:type="dxa"/>
            <w:vAlign w:val="bottom"/>
          </w:tcPr>
          <w:p>
            <w:pPr>
              <w:spacing w:after="0"/>
              <w:rPr>
                <w:sz w:val="1"/>
                <w:szCs w:val="1"/>
                <w:color w:val="auto"/>
              </w:rPr>
            </w:pPr>
          </w:p>
        </w:tc>
      </w:tr>
      <w:tr>
        <w:trPr>
          <w:trHeight w:val="240"/>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276,591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276,591</w:t>
            </w:r>
          </w:p>
        </w:tc>
        <w:tc>
          <w:tcPr>
            <w:tcW w:w="0" w:type="dxa"/>
            <w:vAlign w:val="bottom"/>
          </w:tcPr>
          <w:p>
            <w:pPr>
              <w:spacing w:after="0"/>
              <w:rPr>
                <w:sz w:val="1"/>
                <w:szCs w:val="1"/>
                <w:color w:val="auto"/>
              </w:rPr>
            </w:pPr>
          </w:p>
        </w:tc>
      </w:tr>
      <w:tr>
        <w:trPr>
          <w:trHeight w:val="205"/>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accumulated other</w:t>
            </w: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comprehensive loss</w:t>
            </w:r>
          </w:p>
        </w:tc>
        <w:tc>
          <w:tcPr>
            <w:tcW w:w="1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(7,498)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(7,498)</w:t>
            </w:r>
          </w:p>
        </w:tc>
        <w:tc>
          <w:tcPr>
            <w:tcW w:w="0" w:type="dxa"/>
            <w:vAlign w:val="bottom"/>
          </w:tcPr>
          <w:p>
            <w:pPr>
              <w:spacing w:after="0"/>
              <w:rPr>
                <w:sz w:val="1"/>
                <w:szCs w:val="1"/>
                <w:color w:val="auto"/>
              </w:rPr>
            </w:pPr>
          </w:p>
        </w:tc>
      </w:tr>
      <w:tr>
        <w:trPr>
          <w:trHeight w:val="240"/>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spacing w:after="0"/>
              <w:rPr>
                <w:sz w:val="20"/>
                <w:szCs w:val="20"/>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86,455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86,455</w:t>
            </w:r>
          </w:p>
        </w:tc>
        <w:tc>
          <w:tcPr>
            <w:tcW w:w="0" w:type="dxa"/>
            <w:vAlign w:val="bottom"/>
          </w:tcPr>
          <w:p>
            <w:pPr>
              <w:spacing w:after="0"/>
              <w:rPr>
                <w:sz w:val="1"/>
                <w:szCs w:val="1"/>
                <w:color w:val="auto"/>
              </w:rPr>
            </w:pPr>
          </w:p>
        </w:tc>
      </w:tr>
      <w:tr>
        <w:trPr>
          <w:trHeight w:val="265"/>
        </w:trPr>
        <w:tc>
          <w:tcPr>
            <w:tcW w:w="2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BALANCE—June 30, 2024</w:t>
            </w:r>
          </w:p>
        </w:tc>
        <w:tc>
          <w:tcPr>
            <w:tcW w:w="14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336,769,659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ind w:right="785"/>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2,484,264</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(9,716)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(67,243)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2,407,308</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13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8" w:right="339" w:bottom="1440" w:gutter="0" w:footer="0" w:header="0"/>
          <w:type w:val="continuous"/>
        </w:sectPr>
      </w:pPr>
    </w:p>
    <w:bookmarkStart w:id="8" w:name="page9"/>
    <w:bookmarkEnd w:id="8"/>
    <w:p>
      <w:pPr>
        <w:ind w:left="5260"/>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3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1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39370</wp:posOffset>
            </wp:positionV>
            <wp:extent cx="17316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31645" cy="889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3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03"/>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r>
      <w:tr>
        <w:trPr>
          <w:trHeight w:val="193"/>
        </w:trPr>
        <w:tc>
          <w:tcPr>
            <w:tcW w:w="8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27,289</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86,455</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09"/>
        </w:trPr>
        <w:tc>
          <w:tcPr>
            <w:tcW w:w="8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193"/>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24,077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25,335</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09"/>
        </w:trPr>
        <w:tc>
          <w:tcPr>
            <w:tcW w:w="83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Accretion of discounts on marketable securities</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(21,297)</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(26,695)</w:t>
            </w:r>
          </w:p>
        </w:tc>
      </w:tr>
      <w:tr>
        <w:trPr>
          <w:trHeight w:val="193"/>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Amortization of issuance costs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1,760</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0"/>
        </w:trPr>
        <w:tc>
          <w:tcPr>
            <w:tcW w:w="83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Amortization of deferred contract costs</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30,830</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24,294</w:t>
            </w:r>
          </w:p>
        </w:tc>
      </w:tr>
      <w:tr>
        <w:trPr>
          <w:trHeight w:val="193"/>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Stock-based compensation, net of amounts capitalized</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344,727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269,685</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0"/>
        </w:trPr>
        <w:tc>
          <w:tcPr>
            <w:tcW w:w="83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Non-cash lease expense</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17,390</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13,591</w:t>
            </w:r>
          </w:p>
        </w:tc>
      </w:tr>
      <w:tr>
        <w:trPr>
          <w:trHeight w:val="193"/>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Allowance for credit losses on accounts receivable</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8,415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6,574</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09"/>
        </w:trPr>
        <w:tc>
          <w:tcPr>
            <w:tcW w:w="83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Loss on disposal of property and equipment</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w:t>
            </w:r>
          </w:p>
        </w:tc>
      </w:tr>
      <w:tr>
        <w:trPr>
          <w:trHeight w:val="193"/>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09"/>
        </w:trPr>
        <w:tc>
          <w:tcPr>
            <w:tcW w:w="83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Accounts receivable, net</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(11,672)</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(30,586)</w:t>
            </w:r>
          </w:p>
        </w:tc>
      </w:tr>
      <w:tr>
        <w:trPr>
          <w:trHeight w:val="193"/>
        </w:trPr>
        <w:tc>
          <w:tcPr>
            <w:tcW w:w="836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Deferred contract costs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(45,820)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(32,170)</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0"/>
        </w:trPr>
        <w:tc>
          <w:tcPr>
            <w:tcW w:w="83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(8,443)</w:t>
            </w:r>
          </w:p>
        </w:tc>
      </w:tr>
      <w:tr>
        <w:trPr>
          <w:trHeight w:val="193"/>
        </w:trPr>
        <w:tc>
          <w:tcPr>
            <w:tcW w:w="836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Other assets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2,171</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0"/>
        </w:trPr>
        <w:tc>
          <w:tcPr>
            <w:tcW w:w="83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Accounts payable</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85,640</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31,570</w:t>
            </w:r>
          </w:p>
        </w:tc>
      </w:tr>
      <w:tr>
        <w:trPr>
          <w:trHeight w:val="193"/>
        </w:trPr>
        <w:tc>
          <w:tcPr>
            <w:tcW w:w="836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(15,856)</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30"/>
        </w:trPr>
        <w:tc>
          <w:tcPr>
            <w:tcW w:w="83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Deferred revenue</w:t>
            </w:r>
          </w:p>
        </w:tc>
        <w:tc>
          <w:tcPr>
            <w:tcW w:w="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28,666</w:t>
            </w:r>
          </w:p>
        </w:tc>
      </w:tr>
      <w:tr>
        <w:trPr>
          <w:trHeight w:val="186"/>
        </w:trPr>
        <w:tc>
          <w:tcPr>
            <w:tcW w:w="836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471,596</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376,694</w:t>
            </w:r>
          </w:p>
        </w:tc>
      </w:tr>
      <w:tr>
        <w:trPr>
          <w:trHeight w:val="37"/>
        </w:trPr>
        <w:tc>
          <w:tcPr>
            <w:tcW w:w="83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88"/>
        </w:trPr>
        <w:tc>
          <w:tcPr>
            <w:tcW w:w="83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r>
      <w:tr>
        <w:trPr>
          <w:trHeight w:val="193"/>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09"/>
        </w:trPr>
        <w:tc>
          <w:tcPr>
            <w:tcW w:w="8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(1,721,779)</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(1,240,301)</w:t>
            </w:r>
          </w:p>
        </w:tc>
      </w:tr>
      <w:tr>
        <w:trPr>
          <w:trHeight w:val="193"/>
        </w:trPr>
        <w:tc>
          <w:tcPr>
            <w:tcW w:w="8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Maturities of marketable securities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1,253,110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965,985</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0"/>
        </w:trPr>
        <w:tc>
          <w:tcPr>
            <w:tcW w:w="8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Proceeds from sale of marketable securities</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13,136</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r>
      <w:tr>
        <w:trPr>
          <w:trHeight w:val="193"/>
        </w:trPr>
        <w:tc>
          <w:tcPr>
            <w:tcW w:w="8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(18,573)</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0"/>
        </w:trPr>
        <w:tc>
          <w:tcPr>
            <w:tcW w:w="8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Capitalized software development costs</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(37,952)</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(27,594)</w:t>
            </w:r>
          </w:p>
        </w:tc>
      </w:tr>
      <w:tr>
        <w:trPr>
          <w:trHeight w:val="193"/>
        </w:trPr>
        <w:tc>
          <w:tcPr>
            <w:tcW w:w="8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Cash paid for acquisition of businesses; net of cash acquired</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(117,090)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w:t>
            </w:r>
          </w:p>
        </w:tc>
      </w:tr>
      <w:tr>
        <w:trPr>
          <w:trHeight w:val="37"/>
        </w:trPr>
        <w:tc>
          <w:tcPr>
            <w:tcW w:w="83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23"/>
        </w:trPr>
        <w:tc>
          <w:tcPr>
            <w:tcW w:w="836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(634,475)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(320,919)</w:t>
            </w:r>
          </w:p>
        </w:tc>
      </w:tr>
      <w:tr>
        <w:trPr>
          <w:trHeight w:val="88"/>
        </w:trPr>
        <w:tc>
          <w:tcPr>
            <w:tcW w:w="836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020" w:type="dxa"/>
            <w:vAlign w:val="bottom"/>
            <w:tcBorders>
              <w:top w:val="single" w:sz="8" w:color="auto"/>
            </w:tcBorders>
          </w:tcPr>
          <w:p>
            <w:pPr>
              <w:spacing w:after="0"/>
              <w:rPr>
                <w:sz w:val="7"/>
                <w:szCs w:val="7"/>
                <w:color w:val="auto"/>
              </w:rPr>
            </w:pPr>
          </w:p>
        </w:tc>
      </w:tr>
      <w:tr>
        <w:trPr>
          <w:trHeight w:val="209"/>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193"/>
        </w:trPr>
        <w:tc>
          <w:tcPr>
            <w:tcW w:w="8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3,944</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0"/>
        </w:trPr>
        <w:tc>
          <w:tcPr>
            <w:tcW w:w="8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Proceeds from issuance of common stock under the employee stock purchase plan</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28,578</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22,507</w:t>
            </w:r>
          </w:p>
        </w:tc>
      </w:tr>
      <w:tr>
        <w:trPr>
          <w:trHeight w:val="193"/>
        </w:trPr>
        <w:tc>
          <w:tcPr>
            <w:tcW w:w="8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issuance of 2029 Convertible Senior Notes, net of issuance costs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29"/>
        </w:trPr>
        <w:tc>
          <w:tcPr>
            <w:tcW w:w="8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Repayments of 2025 Convertible Senior Notes</w:t>
            </w:r>
          </w:p>
        </w:tc>
        <w:tc>
          <w:tcPr>
            <w:tcW w:w="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(635,547)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186"/>
        </w:trPr>
        <w:tc>
          <w:tcPr>
            <w:tcW w:w="836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3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(603,801)</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26,426</w:t>
            </w:r>
          </w:p>
        </w:tc>
      </w:tr>
      <w:tr>
        <w:trPr>
          <w:trHeight w:val="37"/>
        </w:trPr>
        <w:tc>
          <w:tcPr>
            <w:tcW w:w="83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42"/>
        </w:trPr>
        <w:tc>
          <w:tcPr>
            <w:tcW w:w="8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93"/>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8,727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(1,577)</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148"/>
        </w:trPr>
        <w:tc>
          <w:tcPr>
            <w:tcW w:w="8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bl>
    <w:p>
      <w:pPr>
        <w:spacing w:after="0" w:line="4" w:lineRule="exact"/>
        <w:rPr>
          <w:sz w:val="20"/>
          <w:szCs w:val="20"/>
          <w:color w:val="auto"/>
        </w:rPr>
      </w:pPr>
    </w:p>
    <w:p>
      <w:pPr>
        <w:sectPr>
          <w:pgSz w:w="11900" w:h="16838" w:orient="portrait"/>
          <w:cols w:equalWidth="0" w:num="1">
            <w:col w:w="11080"/>
          </w:cols>
          <w:pgMar w:left="320" w:top="1089" w:right="499" w:bottom="1440" w:gutter="0" w:footer="0" w:header="0"/>
        </w:sectPr>
      </w:pPr>
    </w:p>
    <w:p>
      <w:pPr>
        <w:ind w:left="20" w:right="3320"/>
        <w:spacing w:after="0" w:line="372" w:lineRule="auto"/>
        <w:rPr>
          <w:sz w:val="20"/>
          <w:szCs w:val="20"/>
          <w:color w:val="auto"/>
        </w:rPr>
      </w:pPr>
      <w:r>
        <w:rPr>
          <w:rFonts w:ascii="Times New Roman" w:cs="Times New Roman" w:eastAsia="Times New Roman" w:hAnsi="Times New Roman"/>
          <w:sz w:val="14"/>
          <w:szCs w:val="14"/>
          <w:color w:val="auto"/>
        </w:rPr>
        <w:t>NET (DECREASE) INCREASE IN CASH AND CASH EQUIVALENTS CASH AND CASH EQUIVALENTS—Beginning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029450"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29450" cy="1460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CASH AND CASH EQUIVALENTS—End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029450"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1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3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(757,953)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80,624</w:t>
            </w:r>
          </w:p>
        </w:tc>
      </w:tr>
      <w:tr>
        <w:trPr>
          <w:trHeight w:val="229"/>
        </w:trPr>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1,246,983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330,339</w:t>
            </w:r>
          </w:p>
        </w:tc>
      </w:tr>
      <w:tr>
        <w:trPr>
          <w:trHeight w:val="37"/>
        </w:trPr>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86"/>
        </w:trPr>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489,030</w:t>
            </w:r>
          </w:p>
        </w:tc>
        <w:tc>
          <w:tcPr>
            <w:tcW w:w="10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410,963</w:t>
            </w:r>
          </w:p>
        </w:tc>
      </w:tr>
      <w:tr>
        <w:trPr>
          <w:trHeight w:val="37"/>
        </w:trPr>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1"/>
        </w:trPr>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ectPr>
          <w:pgSz w:w="11900" w:h="16838" w:orient="portrait"/>
          <w:cols w:equalWidth="0" w:num="2">
            <w:col w:w="7640" w:space="720"/>
            <w:col w:w="2720"/>
          </w:cols>
          <w:pgMar w:left="320" w:top="1089" w:right="49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7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1540" w:type="dxa"/>
            <w:vAlign w:val="bottom"/>
            <w:tcBorders>
              <w:bottom w:val="single" w:sz="8" w:color="CCEEFF"/>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11,306</w:t>
            </w:r>
          </w:p>
        </w:tc>
        <w:tc>
          <w:tcPr>
            <w:tcW w:w="540" w:type="dxa"/>
            <w:vAlign w:val="bottom"/>
            <w:tcBorders>
              <w:bottom w:val="single" w:sz="8" w:color="CCEEFF"/>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14,822</w:t>
            </w:r>
          </w:p>
        </w:tc>
      </w:tr>
      <w:tr>
        <w:trPr>
          <w:trHeight w:val="108"/>
        </w:trPr>
        <w:tc>
          <w:tcPr>
            <w:tcW w:w="72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tcPr>
          <w:p>
            <w:pPr>
              <w:spacing w:after="0"/>
              <w:rPr>
                <w:sz w:val="9"/>
                <w:szCs w:val="9"/>
                <w:color w:val="auto"/>
              </w:rPr>
            </w:pPr>
          </w:p>
        </w:tc>
      </w:tr>
      <w:tr>
        <w:trPr>
          <w:trHeight w:val="209"/>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15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r>
      <w:tr>
        <w:trPr>
          <w:trHeight w:val="193"/>
        </w:trPr>
        <w:tc>
          <w:tcPr>
            <w:tcW w:w="72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Accrued property and equipment purchases</w:t>
            </w:r>
          </w:p>
        </w:tc>
        <w:tc>
          <w:tcPr>
            <w:tcW w:w="154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8,160</w:t>
            </w:r>
          </w:p>
        </w:tc>
        <w:tc>
          <w:tcPr>
            <w:tcW w:w="54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3,840</w:t>
            </w:r>
          </w:p>
        </w:tc>
      </w:tr>
      <w:tr>
        <w:trPr>
          <w:trHeight w:val="37"/>
        </w:trPr>
        <w:tc>
          <w:tcPr>
            <w:tcW w:w="72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209"/>
        </w:trPr>
        <w:tc>
          <w:tcPr>
            <w:tcW w:w="7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Stock-based compensation included in capitalized software development costs</w:t>
            </w:r>
          </w:p>
        </w:tc>
        <w:tc>
          <w:tcPr>
            <w:tcW w:w="1540" w:type="dxa"/>
            <w:vAlign w:val="bottom"/>
            <w:tcBorders>
              <w:bottom w:val="single" w:sz="8" w:color="CCEEFF"/>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11,619</w:t>
            </w:r>
          </w:p>
        </w:tc>
        <w:tc>
          <w:tcPr>
            <w:tcW w:w="540" w:type="dxa"/>
            <w:vAlign w:val="bottom"/>
            <w:tcBorders>
              <w:bottom w:val="single" w:sz="8" w:color="CCEEFF"/>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6,906</w:t>
            </w:r>
          </w:p>
        </w:tc>
      </w:tr>
      <w:tr>
        <w:trPr>
          <w:trHeight w:val="193"/>
        </w:trPr>
        <w:tc>
          <w:tcPr>
            <w:tcW w:w="72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Issuance of restricted shares of common stock for the acquisition of businesses</w:t>
            </w:r>
          </w:p>
        </w:tc>
        <w:tc>
          <w:tcPr>
            <w:tcW w:w="154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53,038</w:t>
            </w:r>
          </w:p>
        </w:tc>
        <w:tc>
          <w:tcPr>
            <w:tcW w:w="54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72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r>
      <w:tr>
        <w:trPr>
          <w:trHeight w:val="192"/>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Acquisition holdback</w:t>
            </w:r>
          </w:p>
        </w:tc>
        <w:tc>
          <w:tcPr>
            <w:tcW w:w="154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16,072</w:t>
            </w:r>
          </w:p>
        </w:tc>
        <w:tc>
          <w:tcPr>
            <w:tcW w:w="54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728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080"/>
          </w:cols>
          <w:pgMar w:left="320" w:top="1089" w:right="499" w:bottom="1440" w:gutter="0" w:footer="0" w:header="0"/>
          <w:type w:val="continuous"/>
        </w:sectPr>
      </w:pPr>
    </w:p>
    <w:p>
      <w:pPr>
        <w:spacing w:after="0" w:line="6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89" w:right="49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22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Datadog, Inc. (“Datadog” or the “Company”) was incorporated in the State of Delaware on June 4, 2010. The Company is the observability and security platform for cloud applications. </w:t>
      </w:r>
      <w:r>
        <w:rPr>
          <w:rFonts w:ascii="Times New Roman" w:cs="Times New Roman" w:eastAsia="Times New Roman" w:hAnsi="Times New Roman"/>
          <w:sz w:val="18"/>
          <w:szCs w:val="18"/>
          <w:color w:val="231F20"/>
        </w:rPr>
        <w:t>The Company’s SaaS platform integrates and automates infrastructure monitoring, application performance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monitoring, log management, user experience monitoring, cloud security, and many other capabilities to provide unified, real-time observability and security of its customers’ entire technology stack. </w:t>
      </w:r>
      <w:r>
        <w:rPr>
          <w:rFonts w:ascii="Times New Roman" w:cs="Times New Roman" w:eastAsia="Times New Roman" w:hAnsi="Times New Roman"/>
          <w:sz w:val="18"/>
          <w:szCs w:val="18"/>
          <w:color w:val="000000"/>
        </w:rPr>
        <w:t>The Company is headquartered in New York City and has various other global office locations.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Condensed Consolidated Financial Information</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Datadog, Inc. and its wholly-owned subsidiaries, and have been prepared in accordance with generally accepted accounting principles in the United States (“GAAP”) and following the requirements of the SEC for interim reporting. As permitted under those rules, certain footnotes or other financial information that are normally required by GAAP can be condensed or omitted. These financial statements have been prepared on the same basis as the Company’s annual financial statements and, in the opinion of management, reflect all adjustments, consisting only of normal recurring adjustments, which are necessary for the fair statement of the Company’s financial information. These interim results are not necessarily indicative of the results to be expected for the fiscal year ending December 31, 2025 or for any other interim period or for any other future year. The accompanying unaudited condensed consolidated financial statements and related financial information should be read in conjunction with the audited consolidated financial statements and the related notes contained in the Company’s Annual Report on Form 10-K for the fiscal year ended December 31, 2024, as filed with the SEC on February 20, 2025 (the “Annual Report”).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GAAP.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Datadog, Inc. and its wholly-owned subsidiaries. All intercompany transactions and balances have been eliminated in consolidation.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amounts reported in the condensed consolidated financial statements and accompanying notes. Such estimates include the fair value of marketable securities, the allowance for credit losses, the fair value of acquired assets and assumed liabilities from business combinations, useful lives of property, equipment, software and finite lived intangibles, stock-based compensation, valuation of long-lived assets and their recoverability, including goodwill, the incremental borrowing rate for operating leases, estimated expected period of benefit for deferred contract costs, fair value of the liability component of the convertible debt, realization of deferred tax assets and uncertain tax positions, revenue recognition and the allocation of overhead costs between cost of revenue and operating expenses. The Company bases its estimates on historical experience and also on assumptions that management considers reasonable. The Company assesses these estimates on a regular basis; however, actual results could materially differ from these estimates.</w:t>
      </w:r>
    </w:p>
    <w:p>
      <w:pPr>
        <w:spacing w:after="0" w:line="1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January 2025, the Company completed an assessment of the useful life of its capitalized software development costs, resulting in an increase in the estimated useful life of capitalized software development costs from two to three years. This change in accounting estimate was effective beginning fiscal year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Accounting Pronouncements Not Yet Adopted</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 w:name="page11"/>
    <w:bookmarkEnd w:id="10"/>
    <w:p>
      <w:pPr>
        <w:jc w:val="both"/>
        <w:ind w:firstLine="648"/>
        <w:spacing w:after="0" w:line="259" w:lineRule="auto"/>
        <w:rPr>
          <w:sz w:val="20"/>
          <w:szCs w:val="20"/>
          <w:color w:val="auto"/>
        </w:rPr>
      </w:pPr>
      <w:r>
        <w:rPr>
          <w:rFonts w:ascii="Times New Roman" w:cs="Times New Roman" w:eastAsia="Times New Roman" w:hAnsi="Times New Roman"/>
          <w:sz w:val="18"/>
          <w:szCs w:val="18"/>
          <w:color w:val="231F20"/>
        </w:rPr>
        <w:t>In December 2023, the FASB issued ASU No. 2023-09</w:t>
      </w:r>
      <w:r>
        <w:rPr>
          <w:rFonts w:ascii="Times New Roman" w:cs="Times New Roman" w:eastAsia="Times New Roman" w:hAnsi="Times New Roman"/>
          <w:sz w:val="18"/>
          <w:szCs w:val="18"/>
          <w:b w:val="1"/>
          <w:bCs w:val="1"/>
          <w:i w:val="1"/>
          <w:iCs w:val="1"/>
          <w:color w:val="231F20"/>
        </w:rPr>
        <w: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Income Taxes (Topic 740): Improvements to Income Tax Disclosures</w:t>
      </w:r>
      <w:r>
        <w:rPr>
          <w:rFonts w:ascii="Times New Roman" w:cs="Times New Roman" w:eastAsia="Times New Roman" w:hAnsi="Times New Roman"/>
          <w:sz w:val="18"/>
          <w:szCs w:val="18"/>
          <w:color w:val="231F20"/>
        </w:rPr>
        <w:t xml:space="preserve"> (“ASU No. 2023-09</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which intends to increase the transparency of income tax disclosures, particularly the rate reconciliation table and disclosures about income taxes paid. For public business entities, it is effective for annual periods beginning after December 15, 2024, and interim periods beginning after December 15, 2025, with early adoption permitted. The Company has not early adopted this standard and is evaluating the impact of it on its consolidated financial statements for the year ended December 31, 2025.</w:t>
      </w:r>
    </w:p>
    <w:p>
      <w:pPr>
        <w:spacing w:after="0" w:line="18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231F20"/>
        </w:rPr>
        <w:t xml:space="preserve">In November 2024, the FASB issued ASU No. 2024-03, </w:t>
      </w:r>
      <w:r>
        <w:rPr>
          <w:rFonts w:ascii="Times New Roman" w:cs="Times New Roman" w:eastAsia="Times New Roman" w:hAnsi="Times New Roman"/>
          <w:sz w:val="18"/>
          <w:szCs w:val="18"/>
          <w:i w:val="1"/>
          <w:iCs w:val="1"/>
          <w:color w:val="231F20"/>
        </w:rPr>
        <w:t>Income Statement-Reporting Comprehensive Income-Expense Disaggregation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 xml:space="preserve">Disclosures (Subtopic 220-40) </w:t>
      </w:r>
      <w:r>
        <w:rPr>
          <w:rFonts w:ascii="Times New Roman" w:cs="Times New Roman" w:eastAsia="Times New Roman" w:hAnsi="Times New Roman"/>
          <w:sz w:val="18"/>
          <w:szCs w:val="18"/>
          <w:color w:val="231F20"/>
        </w:rPr>
        <w:t>("ASU No. 2024-03"), which requires disaggregated disclosure of income statement expenses for public business entities.</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The ASU does not change the expense captions an entity presents on the face of the income statement; rather, it requires disaggregation of certain expense captions into specified categories in disclosures within the footnotes to the financial statements. For public business entities, it is effective for fiscal years beginning after December 15, 2026, and interim periods within fiscal years beginning after December 15, 2027, with early adoption permitted. The amendments in this ASU should be applied prospectively, however, public business entities are permitted to apply the amendments in the ASU retrospectively. The Company is currently evaluating the impact of the adoption of this standard on its consolidated financial statements.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Marketable Securities</w:t>
      </w:r>
    </w:p>
    <w:p>
      <w:pPr>
        <w:spacing w:after="0" w:line="229" w:lineRule="exact"/>
        <w:rPr>
          <w:sz w:val="20"/>
          <w:szCs w:val="20"/>
          <w:color w:val="auto"/>
        </w:rPr>
      </w:pPr>
    </w:p>
    <w:p>
      <w:pPr>
        <w:jc w:val="both"/>
        <w:ind w:firstLine="486"/>
        <w:spacing w:after="0" w:line="270" w:lineRule="auto"/>
        <w:rPr>
          <w:sz w:val="20"/>
          <w:szCs w:val="20"/>
          <w:color w:val="auto"/>
        </w:rPr>
      </w:pPr>
      <w:r>
        <w:rPr>
          <w:rFonts w:ascii="Times New Roman" w:cs="Times New Roman" w:eastAsia="Times New Roman" w:hAnsi="Times New Roman"/>
          <w:sz w:val="18"/>
          <w:szCs w:val="18"/>
          <w:color w:val="auto"/>
        </w:rPr>
        <w:t>The following is a summary of available-for-sale marketable securities, excluding those securities classified within cash and cash equivalents on the condensed consolidated balance sheets as of June 30, 2025 and December 31, 2024 (in thousands):</w:t>
      </w: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
        </w:trPr>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31"/>
        </w:trPr>
        <w:tc>
          <w:tcPr>
            <w:tcW w:w="5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00" w:type="dxa"/>
            <w:vAlign w:val="bottom"/>
          </w:tcPr>
          <w:p>
            <w:pPr>
              <w:spacing w:after="0"/>
              <w:rPr>
                <w:sz w:val="11"/>
                <w:szCs w:val="11"/>
                <w:color w:val="auto"/>
              </w:rPr>
            </w:pPr>
          </w:p>
        </w:tc>
        <w:tc>
          <w:tcPr>
            <w:tcW w:w="1020" w:type="dxa"/>
            <w:vAlign w:val="bottom"/>
          </w:tcPr>
          <w:p>
            <w:pPr>
              <w:jc w:val="center"/>
              <w:ind w:right="215"/>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5"/>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Gain</w:t>
            </w:r>
          </w:p>
        </w:tc>
        <w:tc>
          <w:tcPr>
            <w:tcW w:w="22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00" w:type="dxa"/>
            <w:vAlign w:val="bottom"/>
          </w:tcPr>
          <w:p>
            <w:pPr>
              <w:spacing w:after="0"/>
              <w:rPr>
                <w:sz w:val="16"/>
                <w:szCs w:val="16"/>
                <w:color w:val="auto"/>
              </w:rPr>
            </w:pPr>
          </w:p>
        </w:tc>
        <w:tc>
          <w:tcPr>
            <w:tcW w:w="1020" w:type="dxa"/>
            <w:vAlign w:val="bottom"/>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28"/>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2,310,834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2,315,582</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544,759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545,481</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386,044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386,082</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173,264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173,302</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r>
      <w:tr>
        <w:trPr>
          <w:trHeight w:val="223"/>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3,416,391</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3,421,940</w:t>
            </w: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94"/>
        </w:trPr>
        <w:tc>
          <w:tcPr>
            <w:tcW w:w="5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4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
        </w:trPr>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28"/>
        </w:trPr>
        <w:tc>
          <w:tcPr>
            <w:tcW w:w="5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00" w:type="dxa"/>
            <w:vAlign w:val="bottom"/>
          </w:tcPr>
          <w:p>
            <w:pPr>
              <w:spacing w:after="0"/>
              <w:rPr>
                <w:sz w:val="11"/>
                <w:szCs w:val="11"/>
                <w:color w:val="auto"/>
              </w:rPr>
            </w:pPr>
          </w:p>
        </w:tc>
        <w:tc>
          <w:tcPr>
            <w:tcW w:w="1020" w:type="dxa"/>
            <w:vAlign w:val="bottom"/>
          </w:tcPr>
          <w:p>
            <w:pPr>
              <w:jc w:val="center"/>
              <w:ind w:right="215"/>
              <w:spacing w:after="0" w:line="129"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6"/>
        </w:trPr>
        <w:tc>
          <w:tcPr>
            <w:tcW w:w="5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Gain</w:t>
            </w:r>
          </w:p>
        </w:tc>
        <w:tc>
          <w:tcPr>
            <w:tcW w:w="2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00" w:type="dxa"/>
            <w:vAlign w:val="bottom"/>
          </w:tcPr>
          <w:p>
            <w:pPr>
              <w:spacing w:after="0"/>
              <w:rPr>
                <w:sz w:val="17"/>
                <w:szCs w:val="17"/>
                <w:color w:val="auto"/>
              </w:rPr>
            </w:pPr>
          </w:p>
        </w:tc>
        <w:tc>
          <w:tcPr>
            <w:tcW w:w="1020" w:type="dxa"/>
            <w:vAlign w:val="bottom"/>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29"/>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1,893,599</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1,896,041</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466,765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466,460</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390,058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390,283</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187,711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187,802</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r>
      <w:tr>
        <w:trPr>
          <w:trHeight w:val="223"/>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2,939,623</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2,942,076</w:t>
            </w: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June 30, 2025, the fair values of available-for-sale marketable securities, by remaining contractual maturity, were as follows (in thousands):</w:t>
      </w:r>
    </w:p>
    <w:p>
      <w:pPr>
        <w:spacing w:after="0" w:line="270" w:lineRule="exact"/>
        <w:rPr>
          <w:sz w:val="20"/>
          <w:szCs w:val="20"/>
          <w:color w:val="auto"/>
        </w:rPr>
      </w:pPr>
    </w:p>
    <w:tbl>
      <w:tblPr>
        <w:tblLayout w:type="fixed"/>
        <w:tblInd w:w="2460" w:type="dxa"/>
        <w:tblCellMar>
          <w:top w:w="0" w:type="dxa"/>
          <w:left w:w="0" w:type="dxa"/>
          <w:bottom w:w="0" w:type="dxa"/>
          <w:right w:w="0" w:type="dxa"/>
        </w:tblCellMar>
      </w:tblP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2,084,925</w:t>
            </w:r>
          </w:p>
        </w:tc>
      </w:tr>
      <w:tr>
        <w:trPr>
          <w:trHeight w:val="230"/>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in one year through five years</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1,337,015</w:t>
            </w:r>
          </w:p>
        </w:tc>
      </w:tr>
      <w:tr>
        <w:trPr>
          <w:trHeight w:val="248"/>
        </w:trPr>
        <w:tc>
          <w:tcPr>
            <w:tcW w:w="49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3,421,940</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does not believe that any unrealized losses are attributable to credit-related factors based on its evaluation of available evidence. To determine whether a decline in value is related to credit loss, the Company evaluates, among other factors: the extent to which the fair value is less than the amortized cost basis, changes to the rating of the security by a rating agency and any adverse conditions specifically related to an issuer of a security or its industry. Unrealized gains and losses on marketable securities are presented net of tax.</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that have been measured at fair value on a recurring basis as of June 30, 2025 and December 31, 2024, and indicate the fair value hierarchy of the valuation inputs utilized to determine such fair value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 Measurement as of June 30, 2025</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
        </w:trPr>
        <w:tc>
          <w:tcPr>
            <w:tcW w:w="5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Pr>
          <w:p>
            <w:pPr>
              <w:spacing w:after="0"/>
              <w:rPr>
                <w:sz w:val="16"/>
                <w:szCs w:val="16"/>
                <w:color w:val="auto"/>
              </w:rPr>
            </w:pPr>
          </w:p>
        </w:tc>
        <w:tc>
          <w:tcPr>
            <w:tcW w:w="102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2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389,203</w:t>
            </w:r>
          </w:p>
        </w:tc>
        <w:tc>
          <w:tcPr>
            <w:tcW w:w="4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389,203</w:t>
            </w:r>
          </w:p>
        </w:tc>
      </w:tr>
      <w:tr>
        <w:trPr>
          <w:trHeight w:val="229"/>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49,671</w:t>
            </w:r>
          </w:p>
        </w:tc>
      </w:tr>
      <w:tr>
        <w:trPr>
          <w:trHeight w:val="230"/>
        </w:trPr>
        <w:tc>
          <w:tcPr>
            <w:tcW w:w="5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r>
      <w:tr>
        <w:trPr>
          <w:trHeight w:val="22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2,315,582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2,315,582</w:t>
            </w:r>
          </w:p>
        </w:tc>
      </w:tr>
      <w:tr>
        <w:trPr>
          <w:trHeight w:val="230"/>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545,481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545,481</w:t>
            </w:r>
          </w:p>
        </w:tc>
      </w:tr>
      <w:tr>
        <w:trPr>
          <w:trHeight w:val="229"/>
        </w:trPr>
        <w:tc>
          <w:tcPr>
            <w:tcW w:w="5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386,082</w:t>
            </w:r>
          </w:p>
        </w:tc>
      </w:tr>
      <w:tr>
        <w:trPr>
          <w:trHeight w:val="230"/>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173,302</w:t>
            </w:r>
          </w:p>
        </w:tc>
      </w:tr>
      <w:tr>
        <w:trPr>
          <w:trHeight w:val="229"/>
        </w:trPr>
        <w:tc>
          <w:tcPr>
            <w:tcW w:w="5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r>
      <w:tr>
        <w:trPr>
          <w:trHeight w:val="223"/>
        </w:trPr>
        <w:tc>
          <w:tcPr>
            <w:tcW w:w="56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financial assets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389,203</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3,472,207</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3,861,410</w:t>
            </w:r>
          </w:p>
        </w:tc>
      </w:tr>
      <w:tr>
        <w:trPr>
          <w:trHeight w:val="21"/>
        </w:trPr>
        <w:tc>
          <w:tcPr>
            <w:tcW w:w="5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97"/>
        </w:trPr>
        <w:tc>
          <w:tcPr>
            <w:tcW w:w="5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320" w:type="dxa"/>
            <w:vAlign w:val="bottom"/>
            <w:gridSpan w:val="9"/>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Fair Value Measurement as of December 31, 2024</w:t>
            </w:r>
          </w:p>
        </w:tc>
        <w:tc>
          <w:tcPr>
            <w:tcW w:w="1020" w:type="dxa"/>
            <w:vAlign w:val="bottom"/>
          </w:tcPr>
          <w:p>
            <w:pPr>
              <w:spacing w:after="0"/>
              <w:rPr>
                <w:sz w:val="24"/>
                <w:szCs w:val="24"/>
                <w:color w:val="auto"/>
              </w:rPr>
            </w:pPr>
          </w:p>
        </w:tc>
      </w:tr>
      <w:tr>
        <w:trPr>
          <w:trHeight w:val="23"/>
        </w:trPr>
        <w:tc>
          <w:tcPr>
            <w:tcW w:w="5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Pr>
          <w:p>
            <w:pPr>
              <w:spacing w:after="0"/>
              <w:rPr>
                <w:sz w:val="16"/>
                <w:szCs w:val="16"/>
                <w:color w:val="auto"/>
              </w:rPr>
            </w:pPr>
          </w:p>
        </w:tc>
        <w:tc>
          <w:tcPr>
            <w:tcW w:w="102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1,193,927</w:t>
            </w:r>
          </w:p>
        </w:tc>
        <w:tc>
          <w:tcPr>
            <w:tcW w:w="4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1,193,927</w:t>
            </w:r>
          </w:p>
        </w:tc>
      </w:tr>
      <w:tr>
        <w:trPr>
          <w:trHeight w:val="229"/>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w:t>
            </w:r>
          </w:p>
        </w:tc>
      </w:tr>
      <w:tr>
        <w:trPr>
          <w:trHeight w:val="230"/>
        </w:trPr>
        <w:tc>
          <w:tcPr>
            <w:tcW w:w="5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9,088</w:t>
            </w: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1,896,041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1,896,041</w:t>
            </w:r>
          </w:p>
        </w:tc>
      </w:tr>
      <w:tr>
        <w:trPr>
          <w:trHeight w:val="229"/>
        </w:trPr>
        <w:tc>
          <w:tcPr>
            <w:tcW w:w="5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390,283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390,283</w:t>
            </w:r>
          </w:p>
        </w:tc>
      </w:tr>
      <w:tr>
        <w:trPr>
          <w:trHeight w:val="230"/>
        </w:trPr>
        <w:tc>
          <w:tcPr>
            <w:tcW w:w="5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Certificates of deposit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187,802</w:t>
            </w:r>
          </w:p>
        </w:tc>
      </w:tr>
      <w:tr>
        <w:trPr>
          <w:trHeight w:val="230"/>
        </w:trPr>
        <w:tc>
          <w:tcPr>
            <w:tcW w:w="5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466,460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466,460</w:t>
            </w:r>
          </w:p>
        </w:tc>
      </w:tr>
      <w:tr>
        <w:trPr>
          <w:trHeight w:val="230"/>
        </w:trPr>
        <w:tc>
          <w:tcPr>
            <w:tcW w:w="5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r>
      <w:tr>
        <w:trPr>
          <w:trHeight w:val="223"/>
        </w:trPr>
        <w:tc>
          <w:tcPr>
            <w:tcW w:w="56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financial assets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1,193,927</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2,953,666</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4,147,593</w:t>
            </w:r>
          </w:p>
        </w:tc>
      </w:tr>
      <w:tr>
        <w:trPr>
          <w:trHeight w:val="20"/>
        </w:trPr>
        <w:tc>
          <w:tcPr>
            <w:tcW w:w="5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considers all highly liquid investments, including money market funds with an original maturity of three months or less at the date of purchase, to be cash equivalents. The Company uses quoted prices in active markets for assets to determine the fair value of its Level 1 investments in money market funds. The Company classifies its commercial paper, corporate debt securities, certificates of deposit, U.S. government agency securities, and U.S. government treasury securities within Level 2 because they are valued using inputs other than quoted prices that are directly or indirectly observable in the market, including readily available pricing sources for the identical underlying security which may not be actively traded.</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In addition to its cash equivalents and marketable securities, the Company measures the fair value of its outstanding convertible senior notes on a quarterly basis for disclosure purposes. The Company considers the fair value of the convertible senior notes to be a Level 2 measurement due to limited trading activity of the convertible senior notes. Refer to Note 7, </w:t>
      </w:r>
      <w:r>
        <w:rPr>
          <w:rFonts w:ascii="Times New Roman" w:cs="Times New Roman" w:eastAsia="Times New Roman" w:hAnsi="Times New Roman"/>
          <w:sz w:val="18"/>
          <w:szCs w:val="18"/>
          <w:i w:val="1"/>
          <w:iCs w:val="1"/>
          <w:color w:val="auto"/>
        </w:rPr>
        <w:t>Convertible Senior Notes</w:t>
      </w:r>
      <w:r>
        <w:rPr>
          <w:rFonts w:ascii="Times New Roman" w:cs="Times New Roman" w:eastAsia="Times New Roman" w:hAnsi="Times New Roman"/>
          <w:sz w:val="18"/>
          <w:szCs w:val="18"/>
          <w:color w:val="auto"/>
        </w:rPr>
        <w:t>, to the condensed consolidated financial statements for further details.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3"/>
                <w:szCs w:val="13"/>
                <w:color w:val="auto"/>
              </w:rPr>
            </w:pPr>
          </w:p>
        </w:tc>
        <w:tc>
          <w:tcPr>
            <w:tcW w:w="114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4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Computers and equipment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54,093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46,155</w:t>
            </w: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20,752</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86,149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67,855</w:t>
            </w:r>
          </w:p>
        </w:tc>
      </w:tr>
      <w:tr>
        <w:trPr>
          <w:trHeight w:val="229"/>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263,638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285,015</w:t>
            </w:r>
          </w:p>
        </w:tc>
      </w:tr>
      <w:tr>
        <w:trPr>
          <w:trHeight w:val="22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428,361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419,777</w:t>
            </w:r>
          </w:p>
        </w:tc>
      </w:tr>
      <w:tr>
        <w:trPr>
          <w:trHeight w:val="229"/>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(145,277)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(192,807)</w:t>
            </w: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226,970</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capitalizes costs related to the development of computer software for internal use and is included in capitalized software development costs within property and equipment, net.</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was approximately $11.1 million and $21.3 million for the three and six months ended June 30, 2025, respectively. Depreciation and amortization expense was approximately $10.9 million and $21.6 million for the three and six months ended June 30, 2024,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Acquisitions, Intangible Assets and Goodwill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Acquisitions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During the three months ended June 30, 2025, the Company entered into three purchase agreements for acquisitions of businesses, each of which was accounted for as a business combination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Company does not consider these acquisitions to be material, individually or in aggregate. The total purchase price in aggregate of $178.4 million consisted of $109.3 million in cash payments, net of cash acquired, $16.1 million of deferred acquisition holdback payments and the issuance of 771,355 restricted shares of Class A common stock. The total purchase price was allocated to intangible assets in the amount of $16.3 million and goodwill in the amount of $164.5 million based on the respective estimated fair values. The purchase price allocations are preliminary. The Company continues to collect information with regard to its estimates and assumptions, including potential liabilities and contingencies. The Company will record adjustments to the fair value of the assets acquired, liabilities assumed and goodwill within the 12 month measurement period, if necessary. The resulting goodwill from each of the agreements is not deductible for income tax purposes. Pro forma results of operations from these acquisitions have not been presented because they were not material to the consolidated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Acquisitions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During the year ended December 31, 2024, the Company entered into one purchase agreement for an acquisition of a business, which was accounted for as a business combination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Company does not consider this acquisition to be material. The total purchase price was allocated to intangible assets in the amount of $0.7 million and goodwill in the amount of $10.2 million based on the respective estimated fair values. The resulting goodwill from the agreements is not deductible for income tax purposes. Pro forma results of operations from the acquisition have not been presented because they were not material to the consolidated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Intangible assets, net consisted of the following (in thousands):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jc w:val="center"/>
              <w:ind w:right="340"/>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1"/>
                <w:szCs w:val="1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80" w:type="dxa"/>
            <w:vAlign w:val="bottom"/>
          </w:tcPr>
          <w:p>
            <w:pPr>
              <w:spacing w:after="0"/>
              <w:rPr>
                <w:sz w:val="11"/>
                <w:szCs w:val="11"/>
                <w:color w:val="auto"/>
              </w:rPr>
            </w:pPr>
          </w:p>
        </w:tc>
        <w:tc>
          <w:tcPr>
            <w:tcW w:w="940" w:type="dxa"/>
            <w:vAlign w:val="bottom"/>
          </w:tcPr>
          <w:p>
            <w:pPr>
              <w:jc w:val="center"/>
              <w:ind w:right="279"/>
              <w:spacing w:after="0" w:line="129" w:lineRule="exact"/>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1"/>
                <w:szCs w:val="11"/>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jc w:val="center"/>
              <w:ind w:right="279"/>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80" w:type="dxa"/>
            <w:vAlign w:val="bottom"/>
          </w:tcPr>
          <w:p>
            <w:pPr>
              <w:spacing w:after="0"/>
              <w:rPr>
                <w:sz w:val="17"/>
                <w:szCs w:val="17"/>
                <w:color w:val="auto"/>
              </w:rPr>
            </w:pPr>
          </w:p>
        </w:tc>
        <w:tc>
          <w:tcPr>
            <w:tcW w:w="940" w:type="dxa"/>
            <w:vAlign w:val="bottom"/>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29"/>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(4,260)</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13,004</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Years</w:t>
            </w:r>
          </w:p>
        </w:tc>
        <w:tc>
          <w:tcPr>
            <w:tcW w:w="0" w:type="dxa"/>
            <w:vAlign w:val="bottom"/>
          </w:tcPr>
          <w:p>
            <w:pPr>
              <w:spacing w:after="0"/>
              <w:rPr>
                <w:sz w:val="1"/>
                <w:szCs w:val="1"/>
                <w:color w:val="auto"/>
              </w:rPr>
            </w:pPr>
          </w:p>
        </w:tc>
      </w:tr>
      <w:tr>
        <w:trPr>
          <w:trHeight w:val="230"/>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4,235</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 Years</w:t>
            </w:r>
          </w:p>
        </w:tc>
        <w:tc>
          <w:tcPr>
            <w:tcW w:w="0" w:type="dxa"/>
            <w:vAlign w:val="bottom"/>
          </w:tcPr>
          <w:p>
            <w:pPr>
              <w:spacing w:after="0"/>
              <w:rPr>
                <w:sz w:val="1"/>
                <w:szCs w:val="1"/>
                <w:color w:val="auto"/>
              </w:rPr>
            </w:pPr>
          </w:p>
        </w:tc>
      </w:tr>
      <w:tr>
        <w:trPr>
          <w:trHeight w:val="248"/>
        </w:trPr>
        <w:tc>
          <w:tcPr>
            <w:tcW w:w="5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17,239</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7"/>
        </w:trPr>
        <w:tc>
          <w:tcPr>
            <w:tcW w:w="5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60" w:type="dxa"/>
            <w:vAlign w:val="bottom"/>
            <w:gridSpan w:val="4"/>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1"/>
                <w:szCs w:val="1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80" w:type="dxa"/>
            <w:vAlign w:val="bottom"/>
          </w:tcPr>
          <w:p>
            <w:pPr>
              <w:spacing w:after="0"/>
              <w:rPr>
                <w:sz w:val="11"/>
                <w:szCs w:val="11"/>
                <w:color w:val="auto"/>
              </w:rPr>
            </w:pPr>
          </w:p>
        </w:tc>
        <w:tc>
          <w:tcPr>
            <w:tcW w:w="940" w:type="dxa"/>
            <w:vAlign w:val="bottom"/>
          </w:tcPr>
          <w:p>
            <w:pPr>
              <w:jc w:val="center"/>
              <w:ind w:right="279"/>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1"/>
                <w:szCs w:val="11"/>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49"/>
        </w:trPr>
        <w:tc>
          <w:tcPr>
            <w:tcW w:w="5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jc w:val="center"/>
              <w:ind w:right="279"/>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80" w:type="dxa"/>
            <w:vAlign w:val="bottom"/>
          </w:tcPr>
          <w:p>
            <w:pPr>
              <w:spacing w:after="0"/>
              <w:rPr>
                <w:sz w:val="16"/>
                <w:szCs w:val="16"/>
                <w:color w:val="auto"/>
              </w:rPr>
            </w:pPr>
          </w:p>
        </w:tc>
        <w:tc>
          <w:tcPr>
            <w:tcW w:w="940" w:type="dxa"/>
            <w:vAlign w:val="bottom"/>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28"/>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10,918</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(7,432)</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years</w:t>
            </w:r>
          </w:p>
        </w:tc>
        <w:tc>
          <w:tcPr>
            <w:tcW w:w="0" w:type="dxa"/>
            <w:vAlign w:val="bottom"/>
          </w:tcPr>
          <w:p>
            <w:pPr>
              <w:spacing w:after="0"/>
              <w:rPr>
                <w:sz w:val="1"/>
                <w:szCs w:val="1"/>
                <w:color w:val="auto"/>
              </w:rPr>
            </w:pPr>
          </w:p>
        </w:tc>
      </w:tr>
      <w:tr>
        <w:trPr>
          <w:trHeight w:val="229"/>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 years</w:t>
            </w:r>
          </w:p>
        </w:tc>
        <w:tc>
          <w:tcPr>
            <w:tcW w:w="0" w:type="dxa"/>
            <w:vAlign w:val="bottom"/>
          </w:tcPr>
          <w:p>
            <w:pPr>
              <w:spacing w:after="0"/>
              <w:rPr>
                <w:sz w:val="1"/>
                <w:szCs w:val="1"/>
                <w:color w:val="auto"/>
              </w:rPr>
            </w:pPr>
          </w:p>
        </w:tc>
      </w:tr>
      <w:tr>
        <w:trPr>
          <w:trHeight w:val="248"/>
        </w:trPr>
        <w:tc>
          <w:tcPr>
            <w:tcW w:w="5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3,711</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Intangible amortization expense was approximately $1.7 million and $1.5 million for the three months ended June 30, 2025 and 2024, respectively, and $2.8 million and $3.7 million for the six months ended June 30, 2025 and 2024, respectively.</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June 30, 2025, future amortization expense by year is expected to be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9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w:t>
            </w: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5,811</w:t>
            </w:r>
          </w:p>
        </w:tc>
      </w:tr>
      <w:tr>
        <w:trPr>
          <w:trHeight w:val="229"/>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5,267</w:t>
            </w: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w:t>
            </w:r>
          </w:p>
        </w:tc>
      </w:tr>
      <w:tr>
        <w:trPr>
          <w:trHeight w:val="23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23"/>
        </w:trPr>
        <w:tc>
          <w:tcPr>
            <w:tcW w:w="9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17,239</w:t>
            </w:r>
          </w:p>
        </w:tc>
      </w:tr>
      <w:tr>
        <w:trPr>
          <w:trHeight w:val="20"/>
        </w:trPr>
        <w:tc>
          <w:tcPr>
            <w:tcW w:w="9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changes in the carrying amount of goodwill were as follows (in thousands):</w:t>
      </w:r>
    </w:p>
    <w:p>
      <w:pPr>
        <w:spacing w:after="0" w:line="138" w:lineRule="exact"/>
        <w:rPr>
          <w:sz w:val="20"/>
          <w:szCs w:val="20"/>
          <w:color w:val="auto"/>
        </w:rPr>
      </w:pPr>
    </w:p>
    <w:p>
      <w:pPr>
        <w:ind w:left="10320"/>
        <w:spacing w:after="0"/>
        <w:rPr>
          <w:sz w:val="20"/>
          <w:szCs w:val="20"/>
          <w:color w:val="auto"/>
        </w:rPr>
      </w:pPr>
      <w:r>
        <w:rPr>
          <w:rFonts w:ascii="Times New Roman" w:cs="Times New Roman" w:eastAsia="Times New Roman" w:hAnsi="Times New Roman"/>
          <w:sz w:val="14"/>
          <w:szCs w:val="14"/>
          <w:b w:val="1"/>
          <w:bCs w:val="1"/>
          <w:color w:val="auto"/>
        </w:rPr>
        <w:t>Amount</w:t>
      </w:r>
    </w:p>
    <w:p>
      <w:pPr>
        <w:sectPr>
          <w:pgSz w:w="11900" w:h="16838" w:orient="portrait"/>
          <w:cols w:equalWidth="0" w:num="1">
            <w:col w:w="11240"/>
          </w:cols>
          <w:pgMar w:left="320" w:top="1222" w:right="339" w:bottom="1440" w:gutter="0" w:footer="0" w:header="0"/>
        </w:sectPr>
      </w:pP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2025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June 30, 2025</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Accrued Expenses and Other Current Liabilities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Accrued expenses and other current liabilities consisted of the following (in thousands):</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jc w:val="both"/>
        <w:ind w:left="1240"/>
        <w:spacing w:after="0"/>
        <w:tabs>
          <w:tab w:leader="none" w:pos="18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360,381</w:t>
      </w:r>
    </w:p>
    <w:p>
      <w:pPr>
        <w:spacing w:after="0" w:line="2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164,470</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6,131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772795</wp:posOffset>
            </wp:positionH>
            <wp:positionV relativeFrom="paragraph">
              <wp:posOffset>14605</wp:posOffset>
            </wp:positionV>
            <wp:extent cx="84010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40105" cy="8890"/>
                    </a:xfrm>
                    <a:prstGeom prst="rect">
                      <a:avLst/>
                    </a:prstGeom>
                    <a:noFill/>
                  </pic:spPr>
                </pic:pic>
              </a:graphicData>
            </a:graphic>
          </wp:anchor>
        </w:drawing>
      </w:r>
    </w:p>
    <w:p>
      <w:pPr>
        <w:spacing w:after="0" w:line="11" w:lineRule="exact"/>
        <w:rPr>
          <w:sz w:val="20"/>
          <w:szCs w:val="20"/>
          <w:color w:val="auto"/>
        </w:rPr>
      </w:pPr>
    </w:p>
    <w:p>
      <w:pPr>
        <w:jc w:val="both"/>
        <w:ind w:left="1240"/>
        <w:spacing w:after="0"/>
        <w:tabs>
          <w:tab w:leader="none" w:pos="18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530,982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772795</wp:posOffset>
            </wp:positionH>
            <wp:positionV relativeFrom="paragraph">
              <wp:posOffset>17145</wp:posOffset>
            </wp:positionV>
            <wp:extent cx="8401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40105" cy="8255"/>
                    </a:xfrm>
                    <a:prstGeom prst="rect">
                      <a:avLst/>
                    </a:prstGeom>
                    <a:noFill/>
                  </pic:spPr>
                </pic:pic>
              </a:graphicData>
            </a:graphic>
          </wp:anchor>
        </w:drawing>
        <w:drawing>
          <wp:anchor simplePos="0" relativeHeight="251657728" behindDoc="1" locked="0" layoutInCell="0" allowOverlap="1">
            <wp:simplePos x="0" y="0"/>
            <wp:positionH relativeFrom="column">
              <wp:posOffset>772795</wp:posOffset>
            </wp:positionH>
            <wp:positionV relativeFrom="paragraph">
              <wp:posOffset>43180</wp:posOffset>
            </wp:positionV>
            <wp:extent cx="8401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4"/>
          <w:szCs w:val="14"/>
          <w:b w:val="1"/>
          <w:bCs w:val="1"/>
          <w:color w:val="auto"/>
        </w:rPr>
        <w:t>June 30,</w:t>
      </w:r>
      <w:r>
        <w:rPr>
          <w:sz w:val="20"/>
          <w:szCs w:val="20"/>
          <w:color w:val="auto"/>
        </w:rPr>
        <w:tab/>
      </w:r>
      <w:r>
        <w:rPr>
          <w:rFonts w:ascii="Times New Roman" w:cs="Times New Roman" w:eastAsia="Times New Roman" w:hAnsi="Times New Roman"/>
          <w:sz w:val="14"/>
          <w:szCs w:val="14"/>
          <w:b w:val="1"/>
          <w:bCs w:val="1"/>
          <w:color w:val="auto"/>
        </w:rPr>
        <w:t>December 31,</w:t>
      </w:r>
    </w:p>
    <w:p>
      <w:pPr>
        <w:ind w:left="120"/>
        <w:spacing w:after="0"/>
        <w:tabs>
          <w:tab w:leader="none" w:pos="164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15" w:lineRule="exact"/>
        <w:rPr>
          <w:sz w:val="20"/>
          <w:szCs w:val="20"/>
          <w:color w:val="auto"/>
        </w:rPr>
      </w:pPr>
    </w:p>
    <w:p>
      <w:pPr>
        <w:sectPr>
          <w:pgSz w:w="11900" w:h="16838" w:orient="portrait"/>
          <w:cols w:equalWidth="0" w:num="2">
            <w:col w:w="7980" w:space="720"/>
            <w:col w:w="2540"/>
          </w:cols>
          <w:pgMar w:left="320" w:top="1222"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8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 and commissions</w:t>
            </w:r>
          </w:p>
        </w:tc>
        <w:tc>
          <w:tcPr>
            <w:tcW w:w="44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73,764</w:t>
            </w:r>
          </w:p>
        </w:tc>
        <w:tc>
          <w:tcPr>
            <w:tcW w:w="10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auto"/>
            </w:tcBorders>
            <w:shd w:val="clear" w:color="auto" w:fill="CCEEFF"/>
          </w:tcPr>
          <w:p>
            <w:pPr>
              <w:spacing w:after="0"/>
              <w:rPr>
                <w:sz w:val="21"/>
                <w:szCs w:val="21"/>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71,746</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tax liability and sales tax</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37,871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28,639</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25,919</w:t>
            </w:r>
          </w:p>
        </w:tc>
      </w:tr>
      <w:tr>
        <w:trPr>
          <w:trHeight w:val="230"/>
        </w:trPr>
        <w:tc>
          <w:tcPr>
            <w:tcW w:w="82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Accrued cloud hosting and infrastructure expenses </w:t>
            </w:r>
            <w:r>
              <w:rPr>
                <w:rFonts w:ascii="Times New Roman" w:cs="Times New Roman" w:eastAsia="Times New Roman" w:hAnsi="Times New Roman"/>
                <w:sz w:val="23"/>
                <w:szCs w:val="23"/>
                <w:color w:val="auto"/>
                <w:vertAlign w:val="superscript"/>
              </w:rPr>
              <w:t>(1)</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w:t>
            </w:r>
          </w:p>
        </w:tc>
      </w:tr>
      <w:tr>
        <w:trPr>
          <w:trHeight w:val="248"/>
        </w:trPr>
        <w:tc>
          <w:tcPr>
            <w:tcW w:w="8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148,028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127,136</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1" w:lineRule="exact"/>
        <w:rPr>
          <w:sz w:val="20"/>
          <w:szCs w:val="20"/>
          <w:color w:val="auto"/>
        </w:rPr>
      </w:pPr>
    </w:p>
    <w:p>
      <w:pPr>
        <w:ind w:left="340" w:right="60" w:hanging="332"/>
        <w:spacing w:after="0" w:line="225" w:lineRule="auto"/>
        <w:tabs>
          <w:tab w:leader="none" w:pos="337" w:val="left"/>
        </w:tabs>
        <w:numPr>
          <w:ilvl w:val="0"/>
          <w:numId w:val="4"/>
        </w:numPr>
        <w:rPr>
          <w:rFonts w:ascii="Times New Roman" w:cs="Times New Roman" w:eastAsia="Times New Roman" w:hAnsi="Times New Roman"/>
          <w:sz w:val="19"/>
          <w:szCs w:val="19"/>
          <w:color w:val="231F20"/>
          <w:vertAlign w:val="superscript"/>
        </w:rPr>
      </w:pPr>
      <w:r>
        <w:rPr>
          <w:rFonts w:ascii="Times New Roman" w:cs="Times New Roman" w:eastAsia="Times New Roman" w:hAnsi="Times New Roman"/>
          <w:sz w:val="14"/>
          <w:szCs w:val="14"/>
          <w:color w:val="231F20"/>
        </w:rPr>
        <w:t xml:space="preserve">Due to the timing of when invoices are received, payables for cloud hosting and infrastructure expenses are included within accounts payable on the consolidated balance sheets, amounting to $174.3 million and $93.4 million as of </w:t>
      </w:r>
      <w:r>
        <w:rPr>
          <w:rFonts w:ascii="Times New Roman" w:cs="Times New Roman" w:eastAsia="Times New Roman" w:hAnsi="Times New Roman"/>
          <w:sz w:val="14"/>
          <w:szCs w:val="14"/>
          <w:color w:val="000000"/>
        </w:rPr>
        <w:t>June 30, 2025</w:t>
      </w:r>
      <w:r>
        <w:rPr>
          <w:rFonts w:ascii="Times New Roman" w:cs="Times New Roman" w:eastAsia="Times New Roman" w:hAnsi="Times New Roman"/>
          <w:sz w:val="14"/>
          <w:szCs w:val="14"/>
          <w:color w:val="231F20"/>
        </w:rPr>
        <w:t xml:space="preserve"> and </w:t>
      </w:r>
      <w:r>
        <w:rPr>
          <w:rFonts w:ascii="Times New Roman" w:cs="Times New Roman" w:eastAsia="Times New Roman" w:hAnsi="Times New Roman"/>
          <w:sz w:val="14"/>
          <w:szCs w:val="14"/>
          <w:color w:val="000000"/>
        </w:rPr>
        <w:t>December 31, 2024</w:t>
      </w:r>
      <w:r>
        <w:rPr>
          <w:rFonts w:ascii="Times New Roman" w:cs="Times New Roman" w:eastAsia="Times New Roman" w:hAnsi="Times New Roman"/>
          <w:sz w:val="14"/>
          <w:szCs w:val="14"/>
          <w:color w:val="231F20"/>
        </w:rPr>
        <w:t>, respectively.</w:t>
      </w:r>
    </w:p>
    <w:p>
      <w:pPr>
        <w:sectPr>
          <w:pgSz w:w="11900" w:h="16838" w:orient="portrait"/>
          <w:cols w:equalWidth="0" w:num="1">
            <w:col w:w="11240"/>
          </w:cols>
          <w:pgMar w:left="320" w:top="1222" w:right="339" w:bottom="1440" w:gutter="0" w:footer="0" w:header="0"/>
          <w:type w:val="continuous"/>
        </w:sect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2"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8. Convertible Senior Notes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Convertible Senior Notes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June 2, 2020, the Company issued $747.5 million aggregate principal amount of 0.125% Convertible Senior Notes due 2025 (the “2025 Notes”) in a private placement to qualified institutional buyers pursuant to Rule 144A under the Securities Act of 1933, as amended (“Securities Act”). The total net proceeds from the sale of the 2025 Notes, after deducting the initial purchasers’ discounts and debt issuance costs, were approximately $730.2 million. The 2025 Notes bore interest at a rate of 0.125% per year, payable semiannually in arrears on June 15 and December 15 of each year, beginning on December 15, 2020. The 2025 Notes matured on June 15, 2025.</w:t>
      </w:r>
    </w:p>
    <w:p>
      <w:pPr>
        <w:spacing w:after="0" w:line="18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Holders of the 2025 Notes had the option to convert all or any portion of their 2025 Notes, in integral multiples of $1,000 principal amount, at the option of the holder at any time on or after March 15, 2025 until the close of business on the second scheduled trading day immediately preceding the maturity date for the 2025 Notes. The conversion rate for the 2025 Notes was initially 10.8338 shares of Class A common stock per $1,000 principal amount of 2025 Notes (equivalent to an initial conversion price for the 2025 Notes of approximately $92.30 per share of Class A common stock), subject to adjustment as set forth in the indenture governing the 2025 Notes (the “2025 Indenture”).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remaining $634.1 million aggregate principal amount of the 2025 Notes were converted prior to maturity and in connection with such conversions, the Company delivered $634.1 million in cash and issued 1,354,569 shares of the Company's Class A common stock to converting note 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2029 Convertible Senior Notes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December 12, 2024, the Company issued $1.0 billion aggregate principal amount of 0.00% Convertible Senior Notes due 2029 (the “2029 Notes” and together with the 2025 Notes, the “Notes”) in a private placement to qualified institutional buyers pursuant to Rule 144A under the Securities Act. The total net proceeds from the sale of the 2029 Notes, after deducting the initial purchasers’ discounts and debt issuance costs, were approximately $979.1 million. The 2029 Notes do not bear interest and the principal amount of the 2029 Notes will not accrete. The 2029 Notes will mature on December 1, 2029, unless earlier converted, redeemed or repurchased.</w:t>
      </w:r>
    </w:p>
    <w:p>
      <w:pPr>
        <w:spacing w:after="0" w:line="18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Holders may convert their 2029 Notes at their option at any time prior to the close of business on the business day immediately preceding September 1, 2029 only under the following circumstances:</w:t>
      </w:r>
    </w:p>
    <w:p>
      <w:pPr>
        <w:spacing w:after="0" w:line="54" w:lineRule="exact"/>
        <w:rPr>
          <w:sz w:val="20"/>
          <w:szCs w:val="20"/>
          <w:color w:val="auto"/>
        </w:rPr>
      </w:pPr>
    </w:p>
    <w:p>
      <w:pPr>
        <w:jc w:val="both"/>
        <w:ind w:left="980" w:hanging="486"/>
        <w:spacing w:after="0" w:line="261" w:lineRule="auto"/>
        <w:tabs>
          <w:tab w:leader="none" w:pos="97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commencing after the calendar quarter ending on March 31, 2025 (and only during such calendar quarter), if the last reported sale price of the Company’s Class A common stock for at least 20 trading days (whether or not consecutive) during a period of 30 consecutive trading days ending on, and including, the last trading day of the immediately preceding calendar quarter is greater than or equal to 130% of the conversion price for the 2029 Notes on each applicable trading day;</w:t>
      </w:r>
    </w:p>
    <w:p>
      <w:pPr>
        <w:spacing w:after="0" w:line="71"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after any ten consecutive trading day period (the “measurement period”) in which the trading price per $1,000 principal amount of 2029 Notes for each trading day of the measurement period was less than 98% of the product of the last reported sale price of the Company’s Class A common stock and the conversion rate on each such trading day;</w:t>
      </w:r>
    </w:p>
    <w:p>
      <w:pPr>
        <w:spacing w:after="0" w:line="67" w:lineRule="exact"/>
        <w:rPr>
          <w:rFonts w:ascii="Times New Roman" w:cs="Times New Roman" w:eastAsia="Times New Roman" w:hAnsi="Times New Roman"/>
          <w:sz w:val="18"/>
          <w:szCs w:val="18"/>
          <w:color w:val="auto"/>
        </w:rPr>
      </w:pPr>
    </w:p>
    <w:p>
      <w:pPr>
        <w:ind w:left="980" w:hanging="486"/>
        <w:spacing w:after="0" w:line="282" w:lineRule="auto"/>
        <w:tabs>
          <w:tab w:leader="none" w:pos="97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calls such 2029 Notes for redemption, at any time prior to the close of business on the scheduled trading day immediately preceding the redemption date; or</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specified corporate events, as set forth in the indenture governing the 2029 Notes (the “2029 Indenture”).</w:t>
      </w:r>
    </w:p>
    <w:p>
      <w:pPr>
        <w:spacing w:after="0" w:line="22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or after September 1, 2029 until the close of business on the second scheduled trading day immediately preceding the maturity date for the 2029 Notes, holders may convert all or any portion of their 2029 Notes, in integral multiples of $1,000 principal amount, at the option of the holder regardless of the foregoing circumstances. The conversion rate for the 2029 Notes is initially 4.5955 shares of Class A common stock per $1,000 principal amount of 2029 Notes (equivalent to an initial conversion price for the 2029 Notes of approximately $217.60 per share of Class A common stock), subject to adjustment as set forth in the 2029 Indenture. Upon conversion, the Company will pay or deliver, as the case may be, cash, shares of Class A common stock or a combination of cash and shares of Class A common stock, at the Company’s election. If the Company satisfies its conversion obligation solely in cash or through payment and delivery, as the case may be, of a combination of cash and shares of Class A common stock, the amount of cash and shares of Class A common stock, if any, due upon conversion will be based on a daily conversion value calculated on a proportionate basis for each trading day in a 20 trading day observation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5" w:name="page16"/>
    <w:bookmarkEnd w:id="15"/>
    <w:p>
      <w:pPr>
        <w:jc w:val="both"/>
        <w:spacing w:after="0" w:line="266" w:lineRule="auto"/>
        <w:rPr>
          <w:sz w:val="20"/>
          <w:szCs w:val="20"/>
          <w:color w:val="auto"/>
        </w:rPr>
      </w:pPr>
      <w:r>
        <w:rPr>
          <w:rFonts w:ascii="Times New Roman" w:cs="Times New Roman" w:eastAsia="Times New Roman" w:hAnsi="Times New Roman"/>
          <w:sz w:val="18"/>
          <w:szCs w:val="18"/>
          <w:color w:val="auto"/>
        </w:rPr>
        <w:t>period as described in the 2029 Indenture. In addition, if specific corporate events occur prior to the applicable maturity date for the 2029 Notes, or if the Company elects to redeem the 2029 Notes, the Company will increase the conversion rate for the 2029 Notes for a holder who elects to convert their 2029 Notes in connection with such a corporate event or redemption in certain circumstances.</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2025, the conditional conversion features of the 2029 Notes were not triggered. Therefore the 2029 Notes are not convertible, in whole or in part, at the option of the holders between July 1, 2025 through September 30, 2025. As of June 30, 2025, the 2029 Notes were classified as non-current liabilities on the Company's condensed consolidated balance sheet.</w:t>
      </w:r>
    </w:p>
    <w:p>
      <w:pPr>
        <w:spacing w:after="0" w:line="17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may not redeem the 2029 Notes prior to December 6, 2027. The Company may redeem for cash all or any portion of the 2029 Notes, at its option, on or after December 6, 2027 if the last reported sale price of its Class A common stock was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a notice of redemption at a redemption price equal to 100% of the principal amount of the 2029 Notes to be redeemed, plus accrued and unpaid interest to, but excluding, the redemption date.</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net carrying amount of the Notes was as follows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28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2025 Notes: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9"/>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635,448</w:t>
            </w:r>
          </w:p>
        </w:tc>
      </w:tr>
      <w:tr>
        <w:trPr>
          <w:trHeight w:val="230"/>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3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r>
      <w:tr>
        <w:trPr>
          <w:trHeight w:val="223"/>
        </w:trPr>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carrying amount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634,023</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97"/>
        </w:trPr>
        <w:tc>
          <w:tcPr>
            <w:tcW w:w="81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2029 Notes:</w:t>
            </w:r>
          </w:p>
        </w:tc>
        <w:tc>
          <w:tcPr>
            <w:tcW w:w="3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29"/>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30"/>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(20,718)</w:t>
            </w:r>
          </w:p>
        </w:tc>
      </w:tr>
      <w:tr>
        <w:trPr>
          <w:trHeight w:val="223"/>
        </w:trPr>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carrying amount</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981,357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979,282</w:t>
            </w:r>
          </w:p>
        </w:tc>
      </w:tr>
      <w:tr>
        <w:trPr>
          <w:trHeight w:val="20"/>
        </w:trPr>
        <w:tc>
          <w:tcPr>
            <w:tcW w:w="8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89" w:lineRule="auto"/>
        <w:rPr>
          <w:sz w:val="20"/>
          <w:szCs w:val="20"/>
          <w:color w:val="auto"/>
        </w:rPr>
      </w:pPr>
      <w:r>
        <w:rPr>
          <w:rFonts w:ascii="Times New Roman" w:cs="Times New Roman" w:eastAsia="Times New Roman" w:hAnsi="Times New Roman"/>
          <w:sz w:val="17"/>
          <w:szCs w:val="17"/>
          <w:color w:val="auto"/>
        </w:rPr>
        <w:t>As of June 30, 2025, the total estimated fair value of the 2029 Notes was approximately $956.2 million. The fair value was determined based on the closing trading price or quoted market price per $100 of the Notes as of the last day of trading for the period. The fair value of the Notes is primarily affected by the trading price of the Company’s Class A common stock and market interest rates and has been classified as level 2 in the fair value hierarchy.</w:t>
      </w:r>
    </w:p>
    <w:p>
      <w:pPr>
        <w:spacing w:after="0" w:line="15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Issuance costs were being amortized to interest expense over the contractual terms of the 2025 Notes at an effective interest rate of 0.59% for the 2025 Notes. Issuance costs are being amortized to interest expense over the contractual terms of the 2029 Notes at an effective interest rate of 0.43% for the 2029 Notes.</w:t>
      </w:r>
    </w:p>
    <w:p>
      <w:pPr>
        <w:spacing w:after="0" w:line="176"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interest expense related to the 2025 and 2029 Notes for the three and six months ended June 30, 2025 and 2024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60" w:type="dxa"/>
            <w:vAlign w:val="bottom"/>
            <w:gridSpan w:val="3"/>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40" w:type="dxa"/>
            <w:vAlign w:val="bottom"/>
          </w:tcPr>
          <w:p>
            <w:pPr>
              <w:spacing w:after="0"/>
              <w:rPr>
                <w:sz w:val="13"/>
                <w:szCs w:val="13"/>
                <w:color w:val="auto"/>
              </w:rPr>
            </w:pPr>
          </w:p>
        </w:tc>
      </w:tr>
      <w:tr>
        <w:trPr>
          <w:trHeight w:val="195"/>
        </w:trPr>
        <w:tc>
          <w:tcPr>
            <w:tcW w:w="42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79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tcBorders>
              <w:bottom w:val="single" w:sz="8" w:color="auto"/>
            </w:tcBorders>
          </w:tcPr>
          <w:p>
            <w:pPr>
              <w:spacing w:after="0"/>
              <w:rPr>
                <w:sz w:val="16"/>
                <w:szCs w:val="16"/>
                <w:color w:val="auto"/>
              </w:rPr>
            </w:pPr>
          </w:p>
        </w:tc>
      </w:tr>
      <w:tr>
        <w:trPr>
          <w:trHeight w:val="195"/>
        </w:trPr>
        <w:tc>
          <w:tcPr>
            <w:tcW w:w="42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102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30"/>
        </w:trPr>
        <w:tc>
          <w:tcPr>
            <w:tcW w:w="4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issuance costs</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3,510</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1,760</w:t>
            </w:r>
          </w:p>
        </w:tc>
      </w:tr>
      <w:tr>
        <w:trPr>
          <w:trHeight w:val="248"/>
        </w:trPr>
        <w:tc>
          <w:tcPr>
            <w:tcW w:w="42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Capped Calls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connection with the pricing of the 2025 and 2029 Notes, the Company entered into privately negotiated capped call transactions with certain option counterparties (the “Capped Calls”). The initial strike price of the Capped Calls corresponds to the initial conversion price of each of the Notes. The Capped Calls are expected to partially offset the potential dilution to the Company’s Class A common stock upon any conversion of the Notes, with such offset subject to a cap based on the cap price. For accounting purposes, the Capped Calls are separate transactions, and not part of the Notes. As these transactions meet</w:t>
      </w:r>
    </w:p>
    <w:p>
      <w:pPr>
        <w:sectPr>
          <w:pgSz w:w="11900" w:h="16838" w:orient="portrait"/>
          <w:cols w:equalWidth="0" w:num="1">
            <w:col w:w="11240"/>
          </w:cols>
          <w:pgMar w:left="320" w:top="1309"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16" w:name="page17"/>
    <w:bookmarkEnd w:id="16"/>
    <w:p>
      <w:pPr>
        <w:jc w:val="both"/>
        <w:spacing w:after="0" w:line="282" w:lineRule="auto"/>
        <w:rPr>
          <w:sz w:val="20"/>
          <w:szCs w:val="20"/>
          <w:color w:val="auto"/>
        </w:rPr>
      </w:pPr>
      <w:r>
        <w:rPr>
          <w:rFonts w:ascii="Times New Roman" w:cs="Times New Roman" w:eastAsia="Times New Roman" w:hAnsi="Times New Roman"/>
          <w:sz w:val="18"/>
          <w:szCs w:val="18"/>
          <w:color w:val="auto"/>
        </w:rPr>
        <w:t>certain accounting criteria, the Capped Calls are recorded in stockholders’ equity and are not accounted for as derivatives. The cost incurred to purchase the Capped Calls was recorded as a reduction to additional paid-in capital and will not be remeasured.</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key terms and costs incurred for the Capped Calls related to each of the Notes (in millions, except per share amounts):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 Notes</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20" w:type="dxa"/>
            <w:vAlign w:val="bottom"/>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2029 Notes</w:t>
            </w:r>
          </w:p>
        </w:tc>
      </w:tr>
      <w:tr>
        <w:trPr>
          <w:trHeight w:val="23"/>
        </w:trPr>
        <w:tc>
          <w:tcPr>
            <w:tcW w:w="70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2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Initial strike price per share, subject to certain adjustments</w:t>
            </w:r>
          </w:p>
        </w:tc>
        <w:tc>
          <w:tcPr>
            <w:tcW w:w="1400" w:type="dxa"/>
            <w:vAlign w:val="bottom"/>
            <w:shd w:val="clear" w:color="auto" w:fill="CCEEFF"/>
          </w:tcPr>
          <w:p>
            <w:pPr>
              <w:jc w:val="right"/>
              <w:ind w:right="121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217.60</w:t>
            </w:r>
          </w:p>
        </w:tc>
      </w:tr>
      <w:tr>
        <w:trPr>
          <w:trHeight w:val="22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Initial cap price per share, subject to certain adjustments</w:t>
            </w:r>
          </w:p>
        </w:tc>
        <w:tc>
          <w:tcPr>
            <w:tcW w:w="1400" w:type="dxa"/>
            <w:vAlign w:val="bottom"/>
          </w:tcPr>
          <w:p>
            <w:pPr>
              <w:jc w:val="right"/>
              <w:ind w:right="121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151.40</w:t>
            </w:r>
          </w:p>
        </w:tc>
        <w:tc>
          <w:tcPr>
            <w:tcW w:w="8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322.38</w:t>
            </w: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cost incurred</w:t>
            </w:r>
          </w:p>
        </w:tc>
        <w:tc>
          <w:tcPr>
            <w:tcW w:w="1400" w:type="dxa"/>
            <w:vAlign w:val="bottom"/>
            <w:shd w:val="clear" w:color="auto" w:fill="CCEEFF"/>
          </w:tcPr>
          <w:p>
            <w:pPr>
              <w:jc w:val="right"/>
              <w:ind w:right="1215"/>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r>
      <w:tr>
        <w:trPr>
          <w:trHeight w:val="234"/>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covered, subject to anti-dilution adjustments</w:t>
            </w:r>
          </w:p>
        </w:tc>
        <w:tc>
          <w:tcPr>
            <w:tcW w:w="14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bl>
    <w:p>
      <w:pPr>
        <w:spacing w:after="0" w:line="28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connection with the maturity of the 2025 Notes, the Company issued 1,354,569 shares to holders of the 2025 Notes that converted prior to maturity and received 1,360,738 shares from the relevant option counterparties upon settlement of the Capped Calls relating to the 2025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225"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Non-cancelable Material Commitments—</w:t>
      </w:r>
      <w:r>
        <w:rPr>
          <w:rFonts w:ascii="Times New Roman" w:cs="Times New Roman" w:eastAsia="Times New Roman" w:hAnsi="Times New Roman"/>
          <w:sz w:val="18"/>
          <w:szCs w:val="18"/>
          <w:color w:val="auto"/>
        </w:rPr>
        <w:t>During the six months ended June 30, 2025, other than certain non-cancelable operating leases described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in Note 9,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there have been no other material changes outside the ordinary course of business to the Company’s contractual obligations and commitments from those disclosed in the Annual Report.</w:t>
      </w:r>
    </w:p>
    <w:p>
      <w:pPr>
        <w:spacing w:after="0" w:line="171"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401(k) Plan</w:t>
      </w:r>
      <w:r>
        <w:rPr>
          <w:rFonts w:ascii="Times New Roman" w:cs="Times New Roman" w:eastAsia="Times New Roman" w:hAnsi="Times New Roman"/>
          <w:sz w:val="18"/>
          <w:szCs w:val="18"/>
          <w:color w:val="auto"/>
        </w:rPr>
        <w:t>—The Company sponsors a 401(k) defined contribution plan covering all eligible U.S. employees. The Company is responsible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administrative costs of the 401(k) plan and makes matching contributions to the 401(k) plan. For the three and six months ended June 30, 2025, the Company incurred expense of $2.5 million and $4.6 million, respectively, for matching contributions. For the three and six months ended June 30, 2024, the Company incurred expense of $2.0 million and $3.8 million, respectively, for matching contributions.</w:t>
      </w:r>
    </w:p>
    <w:p>
      <w:pPr>
        <w:spacing w:after="0" w:line="176"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Legal Matters</w:t>
      </w:r>
      <w:r>
        <w:rPr>
          <w:rFonts w:ascii="Times New Roman" w:cs="Times New Roman" w:eastAsia="Times New Roman" w:hAnsi="Times New Roman"/>
          <w:sz w:val="18"/>
          <w:szCs w:val="18"/>
          <w:color w:val="auto"/>
        </w:rPr>
        <w:t>—The Company is involved from time to time in various claims and legal actions arising in the ordinary course of business. While 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not feasible to predict or determine the ultimate outcome of these matters, the Company believes that none of its current legal proceedings will have a material adverse effect on its financial position or results of operations.</w:t>
      </w:r>
    </w:p>
    <w:p>
      <w:pPr>
        <w:spacing w:after="0" w:line="17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Indemnification</w:t>
      </w:r>
      <w:r>
        <w:rPr>
          <w:rFonts w:ascii="Times New Roman" w:cs="Times New Roman" w:eastAsia="Times New Roman" w:hAnsi="Times New Roman"/>
          <w:sz w:val="18"/>
          <w:szCs w:val="18"/>
          <w:color w:val="auto"/>
        </w:rPr>
        <w:t>—The Company enters into indemnification provisions under some agreements with other parties in the ordinary course of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business partners, investors, contractors, customers and the Company’s officers, directors and certain employees. The Company has agreed to indemnify and defend the indemnified party claims and related losses suffered or incurred by the indemnified party from actual or threatened third-party claim because of the Company’s activities or non-compliance with certain representations and warranties made by the Company. It is not possible to determine the maximum potential loss under these indemnification provisions due to the Company’s limited history of prior indemnification claims and the unique facts and circumstances involved in each particular provision. To date, losses recorded in the Company’s condensed consolidated statements of operations in connection with the indemnification provisions have not been material.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has entered into various non-cancelable operating leases for its facilities expiring between 2025 and 2033. Certain lease agreements contain an option for the Company to renew a lease for a term of up to three years or an option to terminate a lease early within one year. The Company considers these options, which may be elected at the Company’s sole discretion, in determining the lease term on a lease-by-lease basis.</w:t>
      </w:r>
    </w:p>
    <w:p>
      <w:pPr>
        <w:spacing w:after="0" w:line="176"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Lease expense for these leases is recognized on a straight-line basis over the lease term, with variable lease payments recognized in the period those payments are incurred.</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components of lease cost recognized within the Company’s condensed consolidated statements of operations were as follows (in thousands):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4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1640" w:type="dxa"/>
            <w:vAlign w:val="bottom"/>
            <w:gridSpan w:val="3"/>
          </w:tcPr>
          <w:p>
            <w:pPr>
              <w:jc w:val="center"/>
              <w:ind w:left="42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3"/>
                <w:szCs w:val="13"/>
                <w:color w:val="auto"/>
              </w:rPr>
            </w:pPr>
          </w:p>
        </w:tc>
      </w:tr>
      <w:tr>
        <w:trPr>
          <w:trHeight w:val="196"/>
        </w:trPr>
        <w:tc>
          <w:tcPr>
            <w:tcW w:w="56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center"/>
              <w:ind w:left="58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3"/>
          </w:tcPr>
          <w:p>
            <w:pPr>
              <w:jc w:val="center"/>
              <w:ind w:left="40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r>
      <w:tr>
        <w:trPr>
          <w:trHeight w:val="196"/>
        </w:trPr>
        <w:tc>
          <w:tcPr>
            <w:tcW w:w="56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w w:val="92"/>
              </w:rPr>
              <w:t>2024</w:t>
            </w:r>
          </w:p>
        </w:tc>
      </w:tr>
      <w:tr>
        <w:trPr>
          <w:trHeight w:val="229"/>
        </w:trPr>
        <w:tc>
          <w:tcPr>
            <w:tcW w:w="564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Operating lease cost </w:t>
            </w:r>
            <w:r>
              <w:rPr>
                <w:rFonts w:ascii="Times New Roman" w:cs="Times New Roman" w:eastAsia="Times New Roman" w:hAnsi="Times New Roman"/>
                <w:sz w:val="21"/>
                <w:szCs w:val="21"/>
                <w:color w:val="auto"/>
                <w:vertAlign w:val="superscript"/>
              </w:rPr>
              <w:t>(1)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21,063</w:t>
            </w:r>
          </w:p>
        </w:tc>
      </w:tr>
      <w:tr>
        <w:trPr>
          <w:trHeight w:val="234"/>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5,767</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10369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222" w:lineRule="exact"/>
        <w:rPr>
          <w:sz w:val="20"/>
          <w:szCs w:val="20"/>
          <w:color w:val="auto"/>
        </w:rPr>
      </w:pPr>
    </w:p>
    <w:p>
      <w:pPr>
        <w:ind w:left="340" w:right="200" w:hanging="332"/>
        <w:spacing w:after="0" w:line="302" w:lineRule="auto"/>
        <w:tabs>
          <w:tab w:leader="none" w:pos="338"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non-cash lease expense of $9.0 million and $6.8 million for the three months ended June 30, 2025 and 2024, respectively, and $17.4 million and $13.6 million for the six months ended June 30, 2025 and 2024, respectively.</w:t>
      </w:r>
    </w:p>
    <w:p>
      <w:pPr>
        <w:spacing w:after="0" w:line="1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Supplemental cash flow information and non-cash activity related to the Company’s operating leases are as follows (in thousands):</w:t>
      </w:r>
    </w:p>
    <w:p>
      <w:pPr>
        <w:spacing w:after="0" w:line="124"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48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measurement of lease liabilities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19,446</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0" w:type="dxa"/>
            <w:vAlign w:val="bottom"/>
          </w:tcPr>
          <w:p>
            <w:pPr>
              <w:spacing w:after="0"/>
              <w:rPr>
                <w:sz w:val="1"/>
                <w:szCs w:val="1"/>
                <w:color w:val="auto"/>
              </w:rPr>
            </w:pPr>
          </w:p>
        </w:tc>
      </w:tr>
      <w:tr>
        <w:trPr>
          <w:trHeight w:val="234"/>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 obtained in exchange for new lease liabilities</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57,995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55,042</w:t>
            </w:r>
          </w:p>
        </w:tc>
        <w:tc>
          <w:tcPr>
            <w:tcW w:w="0" w:type="dxa"/>
            <w:vAlign w:val="bottom"/>
          </w:tcPr>
          <w:p>
            <w:pPr>
              <w:spacing w:after="0"/>
              <w:rPr>
                <w:sz w:val="1"/>
                <w:szCs w:val="1"/>
                <w:color w:val="auto"/>
              </w:rPr>
            </w:pPr>
          </w:p>
        </w:tc>
      </w:tr>
      <w:tr>
        <w:trPr>
          <w:trHeight w:val="522"/>
        </w:trPr>
        <w:tc>
          <w:tcPr>
            <w:tcW w:w="8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Maturities of lease liabilities by fiscal year for the Company’s operating leases are as follows (in thousands):</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8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
        </w:trPr>
        <w:tc>
          <w:tcPr>
            <w:tcW w:w="84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16,455</w:t>
            </w:r>
          </w:p>
        </w:tc>
        <w:tc>
          <w:tcPr>
            <w:tcW w:w="0" w:type="dxa"/>
            <w:vAlign w:val="bottom"/>
          </w:tcPr>
          <w:p>
            <w:pPr>
              <w:spacing w:after="0"/>
              <w:rPr>
                <w:sz w:val="1"/>
                <w:szCs w:val="1"/>
                <w:color w:val="auto"/>
              </w:rPr>
            </w:pP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60,012</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59,358</w:t>
            </w:r>
          </w:p>
        </w:tc>
        <w:tc>
          <w:tcPr>
            <w:tcW w:w="0" w:type="dxa"/>
            <w:vAlign w:val="bottom"/>
          </w:tcPr>
          <w:p>
            <w:pPr>
              <w:spacing w:after="0"/>
              <w:rPr>
                <w:sz w:val="1"/>
                <w:szCs w:val="1"/>
                <w:color w:val="auto"/>
              </w:rPr>
            </w:pP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50,290</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43,356</w:t>
            </w:r>
          </w:p>
        </w:tc>
        <w:tc>
          <w:tcPr>
            <w:tcW w:w="0" w:type="dxa"/>
            <w:vAlign w:val="bottom"/>
          </w:tcPr>
          <w:p>
            <w:pPr>
              <w:spacing w:after="0"/>
              <w:rPr>
                <w:sz w:val="1"/>
                <w:szCs w:val="1"/>
                <w:color w:val="auto"/>
              </w:rPr>
            </w:pPr>
          </w:p>
        </w:tc>
      </w:tr>
      <w:tr>
        <w:trPr>
          <w:trHeight w:val="229"/>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127,083</w:t>
            </w: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356,554</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2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(73,484)</w:t>
            </w:r>
          </w:p>
        </w:tc>
        <w:tc>
          <w:tcPr>
            <w:tcW w:w="0" w:type="dxa"/>
            <w:vAlign w:val="bottom"/>
          </w:tcPr>
          <w:p>
            <w:pPr>
              <w:spacing w:after="0"/>
              <w:rPr>
                <w:sz w:val="1"/>
                <w:szCs w:val="1"/>
                <w:color w:val="auto"/>
              </w:rPr>
            </w:pP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283,070</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500"/>
              <w:spacing w:after="0"/>
              <w:rPr>
                <w:sz w:val="20"/>
                <w:szCs w:val="20"/>
                <w:color w:val="auto"/>
              </w:rPr>
            </w:pPr>
            <w:r>
              <w:rPr>
                <w:rFonts w:ascii="Times New Roman" w:cs="Times New Roman" w:eastAsia="Times New Roman" w:hAnsi="Times New Roman"/>
                <w:sz w:val="18"/>
                <w:szCs w:val="18"/>
                <w:color w:val="auto"/>
              </w:rPr>
              <w:t>Weighted average remaining lease term and discount rate for the Company’s operating leases are as follows:</w:t>
            </w:r>
          </w:p>
        </w:tc>
        <w:tc>
          <w:tcPr>
            <w:tcW w:w="3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84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8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5"/>
        </w:trPr>
        <w:tc>
          <w:tcPr>
            <w:tcW w:w="848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8"/>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34"/>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6.69 %</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Geographical Information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Revenue by location is determined by the billing address of the customer. The following table sets forth revenue by geographic area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3"/>
                <w:szCs w:val="13"/>
                <w:color w:val="auto"/>
              </w:rPr>
            </w:pPr>
          </w:p>
        </w:tc>
      </w:tr>
      <w:tr>
        <w:trPr>
          <w:trHeight w:val="195"/>
        </w:trPr>
        <w:tc>
          <w:tcPr>
            <w:tcW w:w="55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r>
      <w:tr>
        <w:trPr>
          <w:trHeight w:val="195"/>
        </w:trPr>
        <w:tc>
          <w:tcPr>
            <w:tcW w:w="55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w w:val="92"/>
              </w:rPr>
              <w:t>2024</w:t>
            </w:r>
          </w:p>
        </w:tc>
      </w:tr>
      <w:tr>
        <w:trPr>
          <w:trHeight w:val="229"/>
        </w:trPr>
        <w:tc>
          <w:tcPr>
            <w:tcW w:w="552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North America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586,689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448,002</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1,120,504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873,602</w:t>
            </w:r>
          </w:p>
        </w:tc>
      </w:tr>
      <w:tr>
        <w:trPr>
          <w:trHeight w:val="229"/>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240,071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197,277</w:t>
            </w: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467,809</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382,930</w:t>
            </w:r>
          </w:p>
        </w:tc>
      </w:tr>
      <w:tr>
        <w:trPr>
          <w:trHeight w:val="248"/>
        </w:trPr>
        <w:tc>
          <w:tcPr>
            <w:tcW w:w="5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826,760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645,279</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1,588,313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1,256,532</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0369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322" w:lineRule="exact"/>
        <w:rPr>
          <w:sz w:val="20"/>
          <w:szCs w:val="20"/>
          <w:color w:val="auto"/>
        </w:rPr>
      </w:pPr>
    </w:p>
    <w:p>
      <w:pPr>
        <w:ind w:left="340" w:right="80" w:hanging="332"/>
        <w:spacing w:after="0" w:line="302" w:lineRule="auto"/>
        <w:tabs>
          <w:tab w:leader="none" w:pos="338"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revenue from the United States of $559.6 million and $426.6 million for the three months ended June 30, 2025 and 2024, respectively, and $1,068.1 million and $831.1 million for the six months ended June 30, 2025 and 2024, respectively.</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 and Remaining Performance Obligations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Certain of the Company’s customers pay in advance of satisfaction of performance obligations and other customers with monthly contract terms are billed in arrears on a monthly basis. The Company records contract liabilities to deferred revenue when customers are billed or when the Company receives customer payments in advance of the performance obligations being satisfied on the Company’s contracts.</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Revenue recognized during the three months ended June 30, 2025 and 2024, which was included in the deferred revenue balances at the beginning of each such period, was $435.7 million and $355.0 million, respectively. Revenue recognized during the six months ended June 30, 2025 and 2024, which was included in the deferred revenue balances at the beginning of each such period was $704.9 million and $570.0 million, respectively.</w:t>
      </w:r>
    </w:p>
    <w:p>
      <w:pPr>
        <w:spacing w:after="0" w:line="17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Remaining performance obligations represent the aggregate amount of the transaction price in contracts allocated to performance obligations not delivered, or partially undelivered, as of the end of the reporting period. Remaining performance obligations include unearned revenue, multi-year contracts with future installment payments and certain unfulfilled orders against accepted customer contracts at the end of any given period. As of June 30, 2025 and December 31, 2024, the aggregate transaction price allocated to remaining performance obligations was $2,425.8 million and $2,273.1 million, respectively. There is uncertainty in the timing of revenues associated with the Company’s drawdown contracts, as future revenue can often vary significantly from past revenue. However, the Company expects to recognize substantially all of the remaining performance obligations over the next 24 months.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Accounts receivable deemed uncollectible are charged against the allowance for credit losses when identified. During the six months ended June 30, 2025 and 2024, the Company charged $7.3 million and $4.8 million, respectively, of accounts receivable deemed uncollectible against the allowance for credit losses.</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Unbilled accounts receivable represents revenue recognized on contracts for which billings have not yet been presented to customers because the amounts were earned but not contractually billable as of the balance sheet date. The unbilled accounts receivable balance is due within one year. As of June 30, 2025 and December 31, 2024, unbilled accounts receivable of approximately $92.3 million and $77.0 million, respectively, was included in accounts receivable on the Company’s condensed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Contract Costs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Sales commissions earned by the Company’s sales force are considered incremental and recoverable costs of obtaining a contract with a customer. These costs are deferred and then amortized over a period of benefit, which is determined to be four years. Amounts expected to be recognized within one year of the balance sheet date are recorded as deferred contract costs, current; the remaining portion is recorded as deferred contract costs, non-current, in the condensed consolidated balance sheets.</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Deferred contract costs on the Company’s condensed consolidated balance sheets were $157.7 million and $142.7 million as of June 30, 2025 and December 31, 2024, respectively. Amortization expense was $15.9 million and $12.5 million for the three months ended June 30, 2025 and 2024, respectively, and $30.8 million and $24.3 million for the six months ended June 30, 2025 and 2024, respectively.</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12.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and Class B Common Stock</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has two classes of common stock, Class A and Class B. The rights of the holders of Class A and Class B common stock are identical, except with respect to voting and conversion. Each share of Class A common stock is entitled to one vote per share and each share of Class B common stock is entitled to ten votes per share. Shares of Class B common stock may be converted into Class A common stock at any time at the option of the stockholder and are automatically converted to Class A common stock upon sale or transfer, subject to certain limited exceptions.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2025, 759,786 shares and 943,371 shares of Class B common stock were converted into Class A common stock, respectively.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9" w:name="page20"/>
    <w:bookmarkEnd w:id="19"/>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June 30, 2025, the Company had authorized 2,000,000,000 shares of Class A common stock and 310,000,000 shares of Class B common stock, each at a par value per share of $0.00001, of which 323,159,440 shares of Class A common stock and 25,449,141 shares of Class B common stock were issued and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has two equity incentive plans, the 2012 Equity Incentive Plan (the “2012 Plan”) and the 2019 Equity Incentive Plan (the “2019 Plan”). In connection with the Company’s initial public offering of Class A common stock (the “IPO”), the Company ceased granting awards under the 2012 Plan, and all shares that remained available for issuance under the 2012 Plan at that time were transferred to the 2019 Plan. Additionally, as of June 30, 2025, there were 4,223,784 shares of Class A common stock issuable upon conversion of Class B common stock underlying options outstanding under the 2012 Plan. Under the 2019 Plan, the Board and any other committee or subcommittee of the Board may grant stock options, stock appreciation rights, restricted stock, restricted stock units (“RSUs”) and performance stock units (“PSUs”) and other awards, each equity award valued or based on the Company’s Class A common stock, to employees, directors, consultants and advisors of the Company. As of June 30, 2025, there were 96,665,287 shares available for grant under the 2019 Plan.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and weighted-average exercise prices: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5"/>
        </w:trPr>
        <w:tc>
          <w:tcPr>
            <w:tcW w:w="56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6"/>
        </w:trPr>
        <w:tc>
          <w:tcPr>
            <w:tcW w:w="5620" w:type="dxa"/>
            <w:vAlign w:val="bottom"/>
          </w:tcPr>
          <w:p>
            <w:pPr>
              <w:spacing w:after="0"/>
              <w:rPr>
                <w:sz w:val="15"/>
                <w:szCs w:val="15"/>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5"/>
                <w:szCs w:val="15"/>
                <w:color w:val="auto"/>
              </w:rPr>
            </w:pPr>
          </w:p>
        </w:tc>
        <w:tc>
          <w:tcPr>
            <w:tcW w:w="116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76"/>
        </w:trPr>
        <w:tc>
          <w:tcPr>
            <w:tcW w:w="5620" w:type="dxa"/>
            <w:vAlign w:val="bottom"/>
          </w:tcPr>
          <w:p>
            <w:pPr>
              <w:spacing w:after="0"/>
              <w:rPr>
                <w:sz w:val="15"/>
                <w:szCs w:val="15"/>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60" w:type="dxa"/>
            <w:vAlign w:val="bottom"/>
          </w:tcPr>
          <w:p>
            <w:pPr>
              <w:spacing w:after="0"/>
              <w:rPr>
                <w:sz w:val="15"/>
                <w:szCs w:val="15"/>
                <w:color w:val="auto"/>
              </w:rPr>
            </w:pPr>
          </w:p>
        </w:tc>
        <w:tc>
          <w:tcPr>
            <w:tcW w:w="116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Intrinsic Value</w:t>
            </w:r>
          </w:p>
        </w:tc>
      </w:tr>
      <w:tr>
        <w:trPr>
          <w:trHeight w:val="190"/>
        </w:trPr>
        <w:tc>
          <w:tcPr>
            <w:tcW w:w="5620" w:type="dxa"/>
            <w:vAlign w:val="bottom"/>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160" w:type="dxa"/>
            <w:vAlign w:val="bottom"/>
          </w:tcPr>
          <w:p>
            <w:pPr>
              <w:spacing w:after="0"/>
              <w:rPr>
                <w:sz w:val="16"/>
                <w:szCs w:val="16"/>
                <w:color w:val="auto"/>
              </w:rPr>
            </w:pPr>
          </w:p>
        </w:tc>
        <w:tc>
          <w:tcPr>
            <w:tcW w:w="116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562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43"/>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outstanding—December 31, 2024</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6,953,119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961,910</w:t>
            </w: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granted</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(2,711,540)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forfeited or expired</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88"/>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outstanding—June 30, 2025</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4,241,579</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541,486</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56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Ending Exercisable—June 30, 2025</w:t>
            </w:r>
          </w:p>
        </w:tc>
        <w:tc>
          <w:tcPr>
            <w:tcW w:w="13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4,241,579</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6.67</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541,486</w:t>
            </w:r>
          </w:p>
        </w:tc>
      </w:tr>
      <w:tr>
        <w:trPr>
          <w:trHeight w:val="20"/>
        </w:trPr>
        <w:tc>
          <w:tcPr>
            <w:tcW w:w="56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June 30, 2025, there were 17,795 shares of Class A common stock and 4,223,784 shares of Class B common stock issuable upon the exercise of options outstanding. As of December 31, 2024, there were 17,795 shares of Class A common stock and 6,935,324 shares of Class B common stock issuable upon the exercise of options outstanding.</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There were no options granted during the six months ended June 30, 2025 and 2024. The Company received approximately $3.4 million and $3.9 million in cash proceeds from options exercised during the six months ended June 30, 2025 and 2024, respectively. The intrinsic value of options exercised during the six months ended June 30, 2025 and 2024 was approximately $317.7 million and $310.7 million,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Restricted Stock and Performance Stock Units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activity for the Company’s unvested RSUs and PSUs: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75"/>
        </w:trPr>
        <w:tc>
          <w:tcPr>
            <w:tcW w:w="7640" w:type="dxa"/>
            <w:vAlign w:val="bottom"/>
          </w:tcPr>
          <w:p>
            <w:pPr>
              <w:spacing w:after="0"/>
              <w:rPr>
                <w:sz w:val="15"/>
                <w:szCs w:val="15"/>
                <w:color w:val="auto"/>
              </w:rPr>
            </w:pPr>
          </w:p>
        </w:tc>
        <w:tc>
          <w:tcPr>
            <w:tcW w:w="166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5"/>
                <w:szCs w:val="15"/>
                <w:color w:val="auto"/>
              </w:rPr>
            </w:pPr>
          </w:p>
        </w:tc>
        <w:tc>
          <w:tcPr>
            <w:tcW w:w="15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Average Grant Date</w:t>
            </w:r>
          </w:p>
        </w:tc>
        <w:tc>
          <w:tcPr>
            <w:tcW w:w="0" w:type="dxa"/>
            <w:vAlign w:val="bottom"/>
          </w:tcPr>
          <w:p>
            <w:pPr>
              <w:spacing w:after="0"/>
              <w:rPr>
                <w:sz w:val="1"/>
                <w:szCs w:val="1"/>
                <w:color w:val="auto"/>
              </w:rPr>
            </w:pPr>
          </w:p>
        </w:tc>
      </w:tr>
      <w:tr>
        <w:trPr>
          <w:trHeight w:val="190"/>
        </w:trPr>
        <w:tc>
          <w:tcPr>
            <w:tcW w:w="764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3"/>
        </w:trPr>
        <w:tc>
          <w:tcPr>
            <w:tcW w:w="76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2024</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13,806,700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116.09</w:t>
            </w:r>
          </w:p>
        </w:tc>
        <w:tc>
          <w:tcPr>
            <w:tcW w:w="0" w:type="dxa"/>
            <w:vAlign w:val="bottom"/>
          </w:tcPr>
          <w:p>
            <w:pPr>
              <w:spacing w:after="0"/>
              <w:rPr>
                <w:sz w:val="1"/>
                <w:szCs w:val="1"/>
                <w:color w:val="auto"/>
              </w:rPr>
            </w:pPr>
          </w:p>
        </w:tc>
      </w:tr>
      <w:tr>
        <w:trPr>
          <w:trHeight w:val="24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5,374,242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110.32</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(2,726,059)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109.85</w:t>
            </w:r>
          </w:p>
        </w:tc>
        <w:tc>
          <w:tcPr>
            <w:tcW w:w="0" w:type="dxa"/>
            <w:vAlign w:val="bottom"/>
          </w:tcPr>
          <w:p>
            <w:pPr>
              <w:spacing w:after="0"/>
              <w:rPr>
                <w:sz w:val="1"/>
                <w:szCs w:val="1"/>
                <w:color w:val="auto"/>
              </w:rPr>
            </w:pPr>
          </w:p>
        </w:tc>
      </w:tr>
      <w:tr>
        <w:trPr>
          <w:trHeight w:val="24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Forfeited/canceled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(661,507)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113.26</w:t>
            </w:r>
          </w:p>
        </w:tc>
        <w:tc>
          <w:tcPr>
            <w:tcW w:w="0" w:type="dxa"/>
            <w:vAlign w:val="bottom"/>
          </w:tcPr>
          <w:p>
            <w:pPr>
              <w:spacing w:after="0"/>
              <w:rPr>
                <w:sz w:val="1"/>
                <w:szCs w:val="1"/>
                <w:color w:val="auto"/>
              </w:rPr>
            </w:pPr>
          </w:p>
        </w:tc>
      </w:tr>
      <w:tr>
        <w:trPr>
          <w:trHeight w:val="27"/>
        </w:trPr>
        <w:tc>
          <w:tcPr>
            <w:tcW w:w="76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Balance—June 30, 2025</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15,793,376</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115.31</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granted 771,355 restricted shares of Class A common stock in connection with acquisitions during the six months ended June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ectPr>
          <w:pgSz w:w="11900" w:h="16838" w:orient="portrait"/>
          <w:cols w:equalWidth="0" w:num="1">
            <w:col w:w="11240"/>
          </w:cols>
          <w:pgMar w:left="320" w:top="1309" w:right="33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20" w:name="page21"/>
    <w:bookmarkEnd w:id="20"/>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Total compensation cost related to unvested RSUs and restricted shares of common stock not yet recognized was approximately $1,513.7 million and $1,378.1 million as of June 30, 2025 and December 31, 2024, respectively. The weighted-average period over which this compensation cost related to unvested RSUs and restricted shares of common stock will be recognized is 2.8 years as of June 30, 2025 and December 31, 2024.</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Total compensation cost related to unvested PSUs not yet recognized was approximately $82.1 million and $52.3 million as of June 30, 2025 and December 31, 2024, respectively. The weighted-average period over which this compensation cost related to unvested PSUs will be recognized is 1.6 years and 1.3 years as of June 30, 2025 and December 31, 2024,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September 2019, the Board adopted and approved the 2019 Employee Stock Purchase Plan (the “ESPP”).</w:t>
      </w:r>
    </w:p>
    <w:p>
      <w:pPr>
        <w:spacing w:after="0" w:line="22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ESPP is implemented through a series of offerings under which eligible employees are granted purchase rights to purchase shares of the Company’s Class A common stock on specified dates during such offerings. Under the ESPP, the Company may specify offerings with durations of not more than 27 months and may specify shorter purchase periods within each offering. Historically offering periods have been approximately 6 months. On each purchase date, eligible employees will purchase the shares at a price per share equal to 85% of the lesser of (1) the fair market value of the Company’s Class A common stock on the first trading day of the offering period, or (2) the fair market value of the Company’s Class A common stock on the purchase date, as defined in the ESPP.</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recognized $4.6 million and $9.0 million of stock-based compensation expense related to the ESPP during the three and six months ended June 30, 2025, respectively. As of June 30, 2025, $9.6 million has been withheld on behalf of employees for a future purchase under the ESPP due to the timing of payroll deductions. During the three months ended June 30, 2025, the Company issued 287,014 shares of Class A common stock under the ESPP. As of June 30, 2025, 23,476,780 shares of Class A common stock remain available for grant under the ESPP.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Company recognizes and measures compensation expense for all stock-based payment awards granted to employees, directors and nonemployees, including stock options, restricted stock units (“RSUs”), performance-based awards (“PSUs”), and the employee stock purchase plan (the “ESPP”) based on the fair value of the awards on the date of grant. The determination of the grant date fair value using an option-pricing model is affected by the estimated fair value of the Company’s common stock as well as assumptions regarding a number of other complex and subjective variables. These variables include expected stock price volatility over the expected term of the award, actual and projected employee stock option exercise behaviors, the risk-free interest rate for the expected term of the award and expected dividends. The fair value of RSUs and PSUs is determined by the closing price on the date of grant of the Company’s Class A common stock, as reported on the Nasdaq Global Select Market. The Company estimates the fair value of the rights to acquire stock under the ESPP using the Black-Scholes option-pricing model. Stock-based compensation for stock options and RSUs is recognized on a straight-line basis over the requisite service period and account for forfeitures as they occur. Stock-based compensation for PSUs is amortized under the accelerated attribution method and may be adjusted over the vesting period based on interim estimates of performance against pre-set objectives. PSUs will vest upon achievement of specified performance targets and subject to continuous service through the applicable vesting dates. The compensation cost is recognized over the requisite service period when it is probable that the performance condition will be satisfied and the Company accounts for forfeitures as they occur.</w:t>
      </w:r>
    </w:p>
    <w:p>
      <w:pPr>
        <w:spacing w:after="0" w:line="18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also has certain options that have performance-based vesting conditions; stock-based compensation expense for such awards is recognized on a straight-line basis from the time the vesting condition is likely to be met through the time the vesting condition has been achieved.</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Stock-based compensation expense was included in the condensed consolidated statement of operations as follows (in thousands):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62"/>
        </w:trPr>
        <w:tc>
          <w:tcPr>
            <w:tcW w:w="5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4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4"/>
                <w:szCs w:val="14"/>
                <w:color w:val="auto"/>
              </w:rPr>
            </w:pPr>
          </w:p>
        </w:tc>
        <w:tc>
          <w:tcPr>
            <w:tcW w:w="2380" w:type="dxa"/>
            <w:vAlign w:val="bottom"/>
            <w:gridSpan w:val="4"/>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0"/>
        </w:trPr>
        <w:tc>
          <w:tcPr>
            <w:tcW w:w="5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Pr>
          <w:p>
            <w:pPr>
              <w:spacing w:after="0"/>
              <w:rPr>
                <w:sz w:val="16"/>
                <w:szCs w:val="16"/>
                <w:color w:val="auto"/>
              </w:rPr>
            </w:pPr>
          </w:p>
        </w:tc>
      </w:tr>
      <w:tr>
        <w:trPr>
          <w:trHeight w:val="51"/>
        </w:trPr>
        <w:tc>
          <w:tcPr>
            <w:tcW w:w="568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186"/>
        </w:trPr>
        <w:tc>
          <w:tcPr>
            <w:tcW w:w="5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56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44"/>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11,920</w:t>
            </w:r>
          </w:p>
        </w:tc>
      </w:tr>
      <w:tr>
        <w:trPr>
          <w:trHeight w:val="243"/>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175,518</w:t>
            </w:r>
          </w:p>
        </w:tc>
      </w:tr>
      <w:tr>
        <w:trPr>
          <w:trHeight w:val="27"/>
        </w:trPr>
        <w:tc>
          <w:tcPr>
            <w:tcW w:w="5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57,732</w:t>
            </w:r>
          </w:p>
        </w:tc>
      </w:tr>
      <w:tr>
        <w:trPr>
          <w:trHeight w:val="243"/>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24,515</w:t>
            </w:r>
          </w:p>
        </w:tc>
      </w:tr>
      <w:tr>
        <w:trPr>
          <w:trHeight w:val="27"/>
        </w:trPr>
        <w:tc>
          <w:tcPr>
            <w:tcW w:w="5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5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net of amounts capitalized</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180,462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134,652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344,727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269,685</w:t>
            </w:r>
          </w:p>
        </w:tc>
      </w:tr>
      <w:tr>
        <w:trPr>
          <w:trHeight w:val="237"/>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stock-based compensation expense</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6,906</w:t>
            </w:r>
          </w:p>
        </w:tc>
      </w:tr>
      <w:tr>
        <w:trPr>
          <w:trHeight w:val="27"/>
        </w:trPr>
        <w:tc>
          <w:tcPr>
            <w:tcW w:w="5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8"/>
        </w:trPr>
        <w:tc>
          <w:tcPr>
            <w:tcW w:w="5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186,419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138,912</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356,346</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276,591</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Interest Income and Other Income, Net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Interest income and other income, net consist of the following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40" w:type="dxa"/>
            <w:vAlign w:val="bottom"/>
            <w:gridSpan w:val="4"/>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5"/>
                <w:szCs w:val="15"/>
                <w:color w:val="auto"/>
              </w:rPr>
            </w:pPr>
          </w:p>
        </w:tc>
      </w:tr>
      <w:tr>
        <w:trPr>
          <w:trHeight w:val="190"/>
        </w:trPr>
        <w:tc>
          <w:tcPr>
            <w:tcW w:w="5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center"/>
              <w:ind w:left="57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gridSpan w:val="3"/>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Pr>
          <w:p>
            <w:pPr>
              <w:spacing w:after="0"/>
              <w:rPr>
                <w:sz w:val="16"/>
                <w:szCs w:val="16"/>
                <w:color w:val="auto"/>
              </w:rPr>
            </w:pPr>
          </w:p>
        </w:tc>
      </w:tr>
      <w:tr>
        <w:trPr>
          <w:trHeight w:val="37"/>
        </w:trPr>
        <w:tc>
          <w:tcPr>
            <w:tcW w:w="564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86"/>
        </w:trPr>
        <w:tc>
          <w:tcPr>
            <w:tcW w:w="5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w w:val="92"/>
              </w:rPr>
              <w:t>2024</w:t>
            </w:r>
          </w:p>
        </w:tc>
      </w:tr>
      <w:tr>
        <w:trPr>
          <w:trHeight w:val="37"/>
        </w:trPr>
        <w:tc>
          <w:tcPr>
            <w:tcW w:w="564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43"/>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50,753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37,241</w:t>
            </w:r>
          </w:p>
        </w:tc>
        <w:tc>
          <w:tcPr>
            <w:tcW w:w="42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101,480</w:t>
            </w:r>
          </w:p>
        </w:tc>
        <w:tc>
          <w:tcPr>
            <w:tcW w:w="12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72,676</w:t>
            </w:r>
          </w:p>
        </w:tc>
      </w:tr>
      <w:tr>
        <w:trPr>
          <w:trHeight w:val="24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loss, net</w:t>
            </w:r>
          </w:p>
        </w:tc>
        <w:tc>
          <w:tcPr>
            <w:tcW w:w="300" w:type="dxa"/>
            <w:vAlign w:val="bottom"/>
          </w:tcPr>
          <w:p>
            <w:pPr>
              <w:spacing w:after="0"/>
              <w:rPr>
                <w:sz w:val="21"/>
                <w:szCs w:val="21"/>
                <w:color w:val="auto"/>
              </w:rPr>
            </w:pPr>
          </w:p>
        </w:tc>
        <w:tc>
          <w:tcPr>
            <w:tcW w:w="100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8"/>
              </w:rPr>
              <w:t>(6,090)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r>
      <w:tr>
        <w:trPr>
          <w:trHeight w:val="27"/>
        </w:trPr>
        <w:tc>
          <w:tcPr>
            <w:tcW w:w="56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8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44,663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36,652</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91,842</w:t>
            </w:r>
          </w:p>
        </w:tc>
        <w:tc>
          <w:tcPr>
            <w:tcW w:w="120" w:type="dxa"/>
            <w:vAlign w:val="bottom"/>
            <w:shd w:val="clear" w:color="auto" w:fill="CFF0FC"/>
          </w:tcPr>
          <w:p>
            <w:pPr>
              <w:spacing w:after="0"/>
              <w:rPr>
                <w:sz w:val="24"/>
                <w:szCs w:val="24"/>
                <w:color w:val="auto"/>
              </w:rPr>
            </w:pP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72,215</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recorded a provision for income taxes of $3.4 million and $4.0 million for the three months ended June 30, 2025 and 2024, respectively, and a provision for income taxes of $10.6 million and $7.5 million for the six months ended June 30, 2025 and 2024, respectively. The Company has generated U.S. operating income and has minimal profits in its foreign jurisdictions during the quarter.</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The Company has applied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and has determined that it has uncertain positions that would result in a tax reserve for each of</w:t>
      </w:r>
    </w:p>
    <w:p>
      <w:pPr>
        <w:spacing w:after="0" w:line="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six months ended June 30, 2025 and 2024. The Company’s policy is to recognize interest and penalties related to uncertain income tax positions in income tax expense. The Company is subject to U.S. federal tax authority, U.S. state tax authority and foreign tax authority examinations.</w:t>
      </w:r>
    </w:p>
    <w:p>
      <w:pPr>
        <w:spacing w:after="0" w:line="16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has evaluated the available evidence supporting the realization of its deferred tax assets, including the amount and timing of future taxable income, and has determined that it is more likely than not that its net deferred tax assets will not be realized in the United States. Due to uncertainties surrounding the realization of the deferred tax assets, the Company recorded a full valuation allowance against substantially all of its net deferred tax assets. When the Company determines that it will be able to realize some portion or all of its deferred tax assets, an adjustment to its valuation allowance on its deferred tax assets would have the effect of increasing net income in the period such determination is made.</w:t>
      </w:r>
    </w:p>
    <w:p>
      <w:pPr>
        <w:spacing w:after="0" w:line="18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United States. The OBBBA makes permanent several provisions of the Tax Cuts and Jobs Act, including 100% bonus depreciation for certain qualified property, and reverses the requirement under the Tax Cuts and Jobs Act to capitalize and amortize domestic research and experimentation expenses, allowing taxpayers to deduct such expenses in the year incurred for tax years beginning after December 31, 2024. The OBBBA also includes modifications to the international tax framework. Although the effects of the OBBBA are not reflected in our financial statements for the six months ended June 30, 2025, we are currently evaluating the impact on our future consolidated financial statements. We will recognize the tax law effects in the third quarter of 2025, the period in which the legislation was enacted, in accordance with ASC 740.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Net Income Per Share</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Basic and diluted net income per common share is presented in conformity with the two-class method required for participating securities. Basic and diluted net income per share is computed using the weighted-average number of shares of common stock outstanding during the period. The undistributed earnings are allocated based on the contractual participation rights of the Class A and Class B common stock as if the earnings for the year have been distributed. As the liquidation and</w:t>
      </w:r>
    </w:p>
    <w:p>
      <w:pPr>
        <w:sectPr>
          <w:pgSz w:w="11900" w:h="16838" w:orient="portrait"/>
          <w:cols w:equalWidth="0" w:num="1">
            <w:col w:w="11240"/>
          </w:cols>
          <w:pgMar w:left="320" w:top="1235"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5" w:right="339" w:bottom="1440" w:gutter="0" w:footer="0" w:header="0"/>
          <w:type w:val="continuous"/>
        </w:sectPr>
      </w:pPr>
    </w:p>
    <w:bookmarkStart w:id="22" w:name="page23"/>
    <w:bookmarkEnd w:id="22"/>
    <w:p>
      <w:pPr>
        <w:jc w:val="both"/>
        <w:spacing w:after="0" w:line="266" w:lineRule="auto"/>
        <w:rPr>
          <w:sz w:val="20"/>
          <w:szCs w:val="20"/>
          <w:color w:val="auto"/>
        </w:rPr>
      </w:pPr>
      <w:r>
        <w:rPr>
          <w:rFonts w:ascii="Times New Roman" w:cs="Times New Roman" w:eastAsia="Times New Roman" w:hAnsi="Times New Roman"/>
          <w:sz w:val="18"/>
          <w:szCs w:val="18"/>
          <w:color w:val="auto"/>
        </w:rPr>
        <w:t>dividend rights are identical, the undistributed earnings are allocated on a proportionate basis. Further, as the conversion of Class B common stock is assumed in the computation of the diluted net income per share of Class A common stock, the undistributed earnings are equal to net income for that computation.</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net income per share (in thousands, except per share data):</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90"/>
        </w:trPr>
        <w:tc>
          <w:tcPr>
            <w:tcW w:w="2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50"/>
        </w:trPr>
        <w:tc>
          <w:tcPr>
            <w:tcW w:w="276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gridSpan w:val="3"/>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3"/>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3"/>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gridSpan w:val="3"/>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r>
      <w:tr>
        <w:trPr>
          <w:trHeight w:val="186"/>
        </w:trPr>
        <w:tc>
          <w:tcPr>
            <w:tcW w:w="2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Pr>
          <w:p>
            <w:pPr>
              <w:spacing w:after="0"/>
              <w:rPr>
                <w:sz w:val="16"/>
                <w:szCs w:val="16"/>
                <w:color w:val="auto"/>
              </w:rPr>
            </w:pPr>
          </w:p>
        </w:tc>
      </w:tr>
      <w:tr>
        <w:trPr>
          <w:trHeight w:val="37"/>
        </w:trPr>
        <w:tc>
          <w:tcPr>
            <w:tcW w:w="27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23"/>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income per share:</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Class B</w:t>
            </w:r>
          </w:p>
        </w:tc>
      </w:tr>
      <w:tr>
        <w:trPr>
          <w:trHeight w:val="213"/>
        </w:trPr>
        <w:tc>
          <w:tcPr>
            <w:tcW w:w="2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Numerator:</w:t>
            </w: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r>
      <w:tr>
        <w:trPr>
          <w:trHeight w:val="253"/>
        </w:trPr>
        <w:tc>
          <w:tcPr>
            <w:tcW w:w="2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40,409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25,257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79,715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6,740</w:t>
            </w:r>
          </w:p>
        </w:tc>
      </w:tr>
      <w:tr>
        <w:trPr>
          <w:trHeight w:val="233"/>
        </w:trPr>
        <w:tc>
          <w:tcPr>
            <w:tcW w:w="2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Denominator:</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12"/>
        </w:trPr>
        <w:tc>
          <w:tcPr>
            <w:tcW w:w="2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Weighted-average shares used in</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43"/>
        </w:trPr>
        <w:tc>
          <w:tcPr>
            <w:tcW w:w="2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calculating net income per share, basic</w:t>
            </w:r>
          </w:p>
        </w:tc>
        <w:tc>
          <w:tcPr>
            <w:tcW w:w="2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320,400</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25,785</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308,838</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26,103</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318,989</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25,661</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307,382</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25,991</w:t>
            </w:r>
          </w:p>
        </w:tc>
      </w:tr>
      <w:tr>
        <w:trPr>
          <w:trHeight w:val="230"/>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net income per share</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0.26</w:t>
            </w:r>
          </w:p>
        </w:tc>
      </w:tr>
      <w:tr>
        <w:trPr>
          <w:trHeight w:val="21"/>
        </w:trPr>
        <w:tc>
          <w:tcPr>
            <w:tcW w:w="27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89"/>
        </w:trPr>
        <w:tc>
          <w:tcPr>
            <w:tcW w:w="2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233"/>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net income per share:</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53"/>
        </w:trPr>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Numerator:</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r>
      <w:tr>
        <w:trPr>
          <w:trHeight w:val="202"/>
        </w:trPr>
        <w:tc>
          <w:tcPr>
            <w:tcW w:w="27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Allocation of distributed income, net</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4"/>
        </w:trPr>
        <w:tc>
          <w:tcPr>
            <w:tcW w:w="2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of interest expense and related tax</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40,409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3,415</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27,957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2,249</w:t>
            </w:r>
          </w:p>
        </w:tc>
        <w:tc>
          <w:tcPr>
            <w:tcW w:w="10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79,715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6,740</w:t>
            </w:r>
          </w:p>
        </w:tc>
      </w:tr>
      <w:tr>
        <w:trPr>
          <w:trHeight w:val="212"/>
        </w:trPr>
        <w:tc>
          <w:tcPr>
            <w:tcW w:w="27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Reallocation of undistributed net</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189"/>
        </w:trPr>
        <w:tc>
          <w:tcPr>
            <w:tcW w:w="2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as a result of conversion of</w:t>
            </w: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237"/>
        </w:trPr>
        <w:tc>
          <w:tcPr>
            <w:tcW w:w="2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Class B to Class A shares</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6,740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27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Allocation of undistributed income</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4,045</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43,824</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3,415</w:t>
            </w:r>
          </w:p>
        </w:tc>
        <w:tc>
          <w:tcPr>
            <w:tcW w:w="8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30,206</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2,249</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86,455</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6,740</w:t>
            </w:r>
          </w:p>
        </w:tc>
      </w:tr>
      <w:tr>
        <w:trPr>
          <w:trHeight w:val="20"/>
        </w:trPr>
        <w:tc>
          <w:tcPr>
            <w:tcW w:w="27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10"/>
        </w:trPr>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Denominator:</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02"/>
        </w:trPr>
        <w:tc>
          <w:tcPr>
            <w:tcW w:w="2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Number of shares used in basic</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4"/>
        </w:trPr>
        <w:tc>
          <w:tcPr>
            <w:tcW w:w="2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calculation</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320,400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25,785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308,838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26,103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318,989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25,661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307,382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25,991</w:t>
            </w:r>
          </w:p>
        </w:tc>
      </w:tr>
      <w:tr>
        <w:trPr>
          <w:trHeight w:val="212"/>
        </w:trPr>
        <w:tc>
          <w:tcPr>
            <w:tcW w:w="2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Weighted-average effect of diluted</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23"/>
        </w:trPr>
        <w:tc>
          <w:tcPr>
            <w:tcW w:w="2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securities:</w:t>
            </w:r>
          </w:p>
        </w:tc>
        <w:tc>
          <w:tcPr>
            <w:tcW w:w="2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r>
      <w:tr>
        <w:trPr>
          <w:trHeight w:val="202"/>
        </w:trPr>
        <w:tc>
          <w:tcPr>
            <w:tcW w:w="2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Conversion of Class B to Class A</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4"/>
        </w:trPr>
        <w:tc>
          <w:tcPr>
            <w:tcW w:w="2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common shares outstanding</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25,785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26,103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25,661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25,991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2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Employee stock options</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2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2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Restricted stock units and</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43"/>
        </w:trPr>
        <w:tc>
          <w:tcPr>
            <w:tcW w:w="2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performance stock units</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2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Unvested restricted stock in</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4"/>
        </w:trPr>
        <w:tc>
          <w:tcPr>
            <w:tcW w:w="2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connection with acquisition</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2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Shares issuable upon conversion of</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43"/>
        </w:trPr>
        <w:tc>
          <w:tcPr>
            <w:tcW w:w="2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the 2025 Notes</w:t>
            </w: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2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Shares issuable upon conversion of</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40"/>
        </w:trPr>
        <w:tc>
          <w:tcPr>
            <w:tcW w:w="2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the 2029 Notes</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85"/>
        </w:trPr>
        <w:tc>
          <w:tcPr>
            <w:tcW w:w="2760" w:type="dxa"/>
            <w:vAlign w:val="bottom"/>
            <w:tcBorders>
              <w:top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Number of shares used in diluted</w:t>
            </w:r>
          </w:p>
        </w:tc>
        <w:tc>
          <w:tcPr>
            <w:tcW w:w="2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r>
      <w:tr>
        <w:trPr>
          <w:trHeight w:val="237"/>
        </w:trPr>
        <w:tc>
          <w:tcPr>
            <w:tcW w:w="27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calculation</w:t>
            </w:r>
          </w:p>
        </w:tc>
        <w:tc>
          <w:tcPr>
            <w:tcW w:w="2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358,725</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25,785</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356,740</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26,103</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361,289</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25,661</w:t>
            </w:r>
          </w:p>
        </w:tc>
        <w:tc>
          <w:tcPr>
            <w:tcW w:w="10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356,650</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25,991</w:t>
            </w:r>
          </w:p>
        </w:tc>
      </w:tr>
      <w:tr>
        <w:trPr>
          <w:trHeight w:val="243"/>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net income per share</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8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0.24</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0.26</w:t>
            </w:r>
          </w:p>
        </w:tc>
      </w:tr>
      <w:tr>
        <w:trPr>
          <w:trHeight w:val="20"/>
        </w:trPr>
        <w:tc>
          <w:tcPr>
            <w:tcW w:w="2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3" w:name="page24"/>
    <w:bookmarkEnd w:id="23"/>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Potentially dilutive securities that were not included in the diluted per share calculations because they would be anti-dilutive were as follows (in thousands):</w:t>
      </w:r>
    </w:p>
    <w:p>
      <w:pPr>
        <w:spacing w:after="0" w:line="88" w:lineRule="exact"/>
        <w:rPr>
          <w:sz w:val="20"/>
          <w:szCs w:val="20"/>
          <w:color w:val="auto"/>
        </w:rPr>
      </w:pPr>
    </w:p>
    <w:p>
      <w:pPr>
        <w:ind w:left="9440"/>
        <w:spacing w:after="0"/>
        <w:rPr>
          <w:sz w:val="20"/>
          <w:szCs w:val="20"/>
          <w:color w:val="auto"/>
        </w:rPr>
      </w:pPr>
      <w:r>
        <w:rPr>
          <w:rFonts w:ascii="Times New Roman" w:cs="Times New Roman" w:eastAsia="Times New Roman" w:hAnsi="Times New Roman"/>
          <w:sz w:val="14"/>
          <w:szCs w:val="14"/>
          <w:b w:val="1"/>
          <w:bCs w:val="1"/>
          <w:color w:val="auto"/>
        </w:rPr>
        <w:t>As of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41910</wp:posOffset>
            </wp:positionV>
            <wp:extent cx="17487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48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5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subject to outstanding stock options, RSUs and PSUs</w:t>
            </w:r>
          </w:p>
        </w:tc>
        <w:tc>
          <w:tcPr>
            <w:tcW w:w="84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4,405</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r>
      <w:tr>
        <w:trPr>
          <w:trHeight w:val="270"/>
        </w:trPr>
        <w:tc>
          <w:tcPr>
            <w:tcW w:w="9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subject to the employee stock purchase plan</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48"/>
        </w:trPr>
        <w:tc>
          <w:tcPr>
            <w:tcW w:w="84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Borders>
              <w:top w:val="single" w:sz="8" w:color="auto"/>
              <w:bottom w:val="single" w:sz="8" w:color="auto"/>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4,554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uses the if-converted method for calculating any potential dilutive effect of the conversion options embedded in the Notes on diluted net income per share.</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entered into Capped Calls in connection with the issuance of the Notes. The effect of the Capped Calls was excluded from the calculation of diluted net income per share as the effect of the Capped Calls would have been anti-dilutive. In connection with the maturity of the 2025 Notes, the Company received shares from the relevant option counterparties, which resulted in no dilution to the Company’s Class A common stock.</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related notes appearing elsewhere in this Quarterly Report on Form 10-Q and our audited consolidated financial statements and the related notes and the discussion under the heading “Management’s Discussion and Analysis of Financial Condition and Results of Operations” in our Annual Report on Form 10-K for the fiscal year ended December 31, 2024, or the Annual Report.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“Special Note Regarding Forward-Looking Statements” in this Quarterly Report on Form 10-Q. You should review the disclosure under the heading “Risk Factors” in this Quarterly Report on Form 10-Q for a discussion of important factors that could cause our actual results to differ materially from those anticipated in these forward-looking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Datadog is the observability and security platform for cloud applications.</w:t>
      </w:r>
    </w:p>
    <w:p>
      <w:pPr>
        <w:spacing w:after="0" w:line="22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SaaS platform integrates and automates infrastructure monitoring, application performance monitoring, log management, user experience monitoring, cloud security, and many other capabilities to provide unified, real-time observability and security for our customers’ entire technology stack. Datadog is used by organizations of all sizes and across a wide range of industries to enable digital transformation and cloud migration, drive collaboration among development, operations, security and business teams, accelerate time to market for applications, reduce time to problem resolution, secure applications and infrastructure, understand user behavior and track key business metrics.</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generate revenue from the sale of subscriptions to customers using our cloud-based platform. The terms of our subscription agreements are primarily monthly or annual. Customers also have the option to purchase additional products, such as additional containers to monitor, custom metrics packages, anomaly detection and app analytics. Professional services are generally not required for the implementation of our products and revenue from such services has been immaterial to date.</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employ a land-and-expand business model centered around offering products that are easy to adopt and have a very short time to value. Our customers can expand their footprint with us on a self-service basis. Our customers often significantly increase their usage of the products they initially buy from us and expand their usage to other products we offer on our platform. We grow with our customers as they expand their workloads in the public and private cloud.</w:t>
      </w:r>
    </w:p>
    <w:p>
      <w:pPr>
        <w:spacing w:after="0" w:line="18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As of June 30, 2025, we had $489.0 million in cash and cash equivalents and $3.4 billion in marketable securities. We generated revenue of $826.8 million and $645.3 million in the three months ended June 30, 2025 and 2024, respectively, representing year-over-year growth of 28%. For the six months ended June 30, 2025 and 2024, our revenue was $1,588.3 million and $1,256.5 million, respectively, representing year-over-year growth of 26%. Substantially all of our revenue is from subscription software sales. While we have continued to make significant expenditures and investments, including in personnel-related costs, sales and marketing, infrastructure and operations, we had incurred net income of $2.6 million and $43.8 million for the three months ended June 30, 2025 and 2024, respectively, and $27.3 million and $86.5 million for the six months ended June 30, 2025 and 2024, respectively. Our operating cash flow was $471.6 million and $376.7 million for the six months ended June 30, 2025 and 2024, respectively. Our free cash flow was $409.7 million and $330.5 million for the six months ended June 30, 2025 and 2024, respectively. See the section titled “—Liquidity and Capital Resources —Non-GAAP Free Cash Flow” below.</w:t>
      </w:r>
    </w:p>
    <w:p>
      <w:pPr>
        <w:spacing w:after="0" w:line="18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Unfavorable conditions in the economy both in the United States and abroad may negatively affect the growth of our business and our results of operations. For example, macroeconomic events including changes in trade policies, such as trade wars, tariffs or other trade restrictions or the threat of such actions, fluctuating inflation and interest rates, and the conflicts in Ukraine and the Middle East have led to economic uncertainty. Historically, during periods of economic uncertainty and downturns, businesses may slow spending on information technology, which may impact our business and our customers’ businesses.</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Due to our subscription model, the effect of macroeconomic conditions may not be fully reflected in our results of operations until future periods. However, if economic uncertainty increases or the global economy worsens, our business, financial condition and results of operations may be harmed. For further discussion of the potential impacts of macroeconomic events on our business, financial condition, and operating results, see “Risk Factors” included in Part II, Item 1A of this report.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Acquiring New Customers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believe there is substantial opportunity to continue to grow our customer base. We intend to drive new customer acquisition by continuing to invest significantly in sales and marketing to engage our prospective customers, increase brand awareness and drive adoption of our platform and products. We also plan to continue to invest in building brand awareness within the development and operations communities. As of June 30, 2025, we had approximately 31,400 customers spanning organizations of a broad range of sizes and industries, compared to approximately 28,700 as of June 30, 2024. Our ability to attract new customers will depend on a number of factors, including the effectiveness and pricing of our products, offerings of our competitors and the effectiveness of our marketing efforts.</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define the number of customers as the number of accounts with a unique account identifier for which we have an active subscription in the period indicated. Users of our free trials or tier are not included in our customer count. A single organization with multiple divisions, segments or subsidiaries is generally counted as a single customer. However, in some cases where they have separate billing terms, we may count separate divisions, segments or subsidiaries as multiple customers.</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Expanding Within Our Existing Customer Base</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base of customers represents a significant opportunity for further sales expansion. As of June 30, 2025, we had approximately 3,850 customers with annual run-rate revenue, or ARR, of $100,000 or more, representing 89% of our ARR, up from 3,390 customers as of June 30, 2024, representing 87% of our ARR. We monitor our number of customers with ARR of $100,000 or more, and believe it is useful to investors, as an indicator of our ability to grow the number of customers that are exceeding this ARR threshold. We define ARR as the annual run-rate revenue of subscription agreements from all customers at a point in time. We calculate ARR by taking the monthly run-rate revenue, or MRR, and multiplying it by 12. MRR for each month is calculated by aggregating, for all customers during that month, monthly revenue from committed contractual amounts, additional usage, usage from subscriptions for a committed contractual amount of usage that is delivered as used and monthly subscriptions. ARR and MRR should be viewed independently of revenue, and do not represent our revenue under GAAP on a monthly or annualized basis, as they are operating metrics that can be impacted by contract start and end dates and renewal rates. ARR and MRR are not intended to be replacements or forecasts of revenue.</w:t>
      </w:r>
    </w:p>
    <w:p>
      <w:pPr>
        <w:spacing w:after="0" w:line="18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 further indication of the propensity of our customer relationships to expand over time is our dollar-based net retention rate, which compares our ARR from the same set of customers in one period, relative to the year-ago period. As of June 30, 2025, our trailing 12-month dollar-based net retention rate was about 120%. As of June 30, 2024, our trailing 12-month dollar-based net retention rate was mid-110%'s. The increase in our trailing 12-month dollar-based net retention rate was attributable to increased usage growth from existing customers. We calculate dollar-based net retention rate as of a period end by starting with the ARR from the cohort of all customers as of 12 months prior to such period-end, or the Prior Period ARR. We then calculate the ARR from these same customers as of the current period-end, or the Current Period ARR. Current Period ARR includes any expansion and is net of contraction or attrition over the last 12 months but excludes ARR from new customers in the current period. We then divide the total Current Period ARR by the total Prior Period ARR to arrive at the point-in-time dollar-based net retention rate. We then calculate the weighted average of the trailing 12-month point-in-time dollar-based net retention rates, to arrive at the trailing 12-month dollar-based net retention rate.</w:t>
      </w:r>
    </w:p>
    <w:p>
      <w:pPr>
        <w:spacing w:after="0" w:line="18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believe that our land-and-expand business model allows us to efficiently increase revenue from our existing customer base. Our customers often expand the deployment of our platform across large teams and more broadly within the enterprise as they migrate more workloads to the cloud, find new use cases for our platform, and generally realize the benefits of our platform. We intend to continue to invest in enhancing awareness of our brand and developing more products, features and functionality, which we believe are important factors to achieve widespread adoption of our platform. Our ability to increase sales to existing customers will depend on a number of factors, including our customers’ satisfaction with our solution, competition, pricing and overall changes in our customers’ spending levels.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6" w:name="page27"/>
    <w:bookmarkEnd w:id="26"/>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Sustaining Innovation and Technology Leadership</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success is dependent on our ability to sustain innovation and technology leadership in order to maintain our competitive advantage. We believe that we have built a highly differentiated platform that will position us to further extend the adoption of our platform and products. Datadog is frequently deployed across a customer’s entire infrastructure, making it ubiquitous. Datadog is a daily part of the lives of developers, operations engineers and business leaders. We employ a land-and-expand business model centered around offering products that are easy to adopt and have a very short time to value. Our efficient go-to-market model enables us to prioritize significant investment in innovation. We have demonstrated the success of our platform approach, through expansion beyond our initial infrastructure monitoring solution to include over 20 products. Approximately 83% of our customers were using more than one product as of June 30, 2025, consistent with approximately 83% a year earlier. Additionally, as of June 30, 2025, approximately 52% of our customers were using more than four products, up from approximately 49% a year earlier, approximately 29% of our customers were using more than six products, up from 25% a year earlier, and approximately 14% of our customers were using more than eight products, up from 11% a year earlier. We believe these metrics indicate strong expansion of product adoption across our platform.</w:t>
      </w:r>
    </w:p>
    <w:p>
      <w:pPr>
        <w:spacing w:after="0" w:line="19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intend to continue to invest in building additional products, features and functionality that expand our capabilities and facilitate the extension of our platform to new use cases. We also intend to continue to evaluate strategic acquisitions and investments in businesses and technologies to drive product and market expansion. Our future success is dependent on our ability to successfully develop, market and sell existing and new products to both new and existing customers.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Expanding Internationally</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believe there is a significant opportunity to expand usage of our platform outside of North America. Revenue, as determined based on the billing address of our customers, from regions outside of North America was approximately 29% and 30% of our total revenue for the six months ended June 30, 2025 and 2024, respectively. In addition, we have made and plan to continue to make significant investments to expand geographically, particularly in EMEA and APAC. Although these investments may adversely affect our operating results in the near term, we believe that they will contribute to our long-term growth. Beyond North America, we now have sales presence internationally, primarily in Amsterdam, Dublin, London, Paris, Seoul, Singapore, Sydney, and Tokyo.</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Tax Law Changes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United States. The OBBBA includes permanent extensions of certain expiring provisions of the Tax Cuts and Jobs Act, including 100% bonus depreciation for certain qualified property, and reverses the requirement under the Tax Cuts and Jobs Act to capitalize and amortize domestic research and experimentation expenses, allowing taxpayers to deduct such expenses in the year incurred for tax years beginning after December 31, 2024. The OBBBA also includes modifications to the international tax framework. We are currently evaluating the impact of the OBBBA on our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generate revenue from the sale of subscriptions to customers using our cloud-based platform. The terms of our subscription agreements are primarily monthly, annual or multi-year, with the majority of our revenue coming from annual subscriptions. Our customers can enter into a subscription for a committed contractual amount of usage that is apportioned ratably on a monthly basis over the term of the subscription period, a subscription for a committed contractual amount of usage that is delivered as used, or a monthly subscription based on usage. To the extent that our customers’ usage exceeds the committed contracted amounts under their subscriptions, either on a monthly basis in the case of a ratable subscription or once the entire commitment is used in the case of a delivered-as-used subscription, they are charged for their incremental usage.</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Usage is measured primarily by the number of hosts or by the volume of data indexed. A host is generally defined as a server, either in the cloud or on-premise. Our infrastructure monitoring, APM and </w:t>
      </w:r>
      <w:r>
        <w:rPr>
          <w:rFonts w:ascii="Times New Roman" w:cs="Times New Roman" w:eastAsia="Times New Roman" w:hAnsi="Times New Roman"/>
          <w:sz w:val="18"/>
          <w:szCs w:val="18"/>
          <w:color w:val="333333"/>
        </w:rPr>
        <w:t>network performance monitoring</w:t>
      </w:r>
      <w:r>
        <w:rPr>
          <w:rFonts w:ascii="Times New Roman" w:cs="Times New Roman" w:eastAsia="Times New Roman" w:hAnsi="Times New Roman"/>
          <w:sz w:val="18"/>
          <w:szCs w:val="18"/>
          <w:color w:val="auto"/>
        </w:rPr>
        <w:t xml:space="preserve"> products are priced per host, our logs product is priced primarily per log events indexed and secondarily by events ingested. </w:t>
      </w:r>
      <w:r>
        <w:rPr>
          <w:rFonts w:ascii="Times New Roman" w:cs="Times New Roman" w:eastAsia="Times New Roman" w:hAnsi="Times New Roman"/>
          <w:sz w:val="18"/>
          <w:szCs w:val="18"/>
          <w:color w:val="333333"/>
        </w:rPr>
        <w:t>Customers also have the option to purchase additional products, such as additional container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serverless monitoring, custom metrics packages, anomaly detection, synthetic monitoring and app analytics.</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In the case of subscriptions for committed contractual amounts of usage, revenue is recognized ratably over the term of the subscription agreement, generally beginning on the date that our platform is made available to a customer. As a result, much</w:t>
      </w:r>
    </w:p>
    <w:p>
      <w:pPr>
        <w:sectPr>
          <w:pgSz w:w="11900" w:h="16838" w:orient="portrait"/>
          <w:cols w:equalWidth="0" w:num="1">
            <w:col w:w="11240"/>
          </w:cols>
          <w:pgMar w:left="320" w:top="1305"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type w:val="continuous"/>
        </w:sectPr>
      </w:pPr>
    </w:p>
    <w:bookmarkStart w:id="27" w:name="page28"/>
    <w:bookmarkEnd w:id="27"/>
    <w:p>
      <w:pPr>
        <w:jc w:val="both"/>
        <w:spacing w:after="0" w:line="255" w:lineRule="auto"/>
        <w:rPr>
          <w:sz w:val="20"/>
          <w:szCs w:val="20"/>
          <w:color w:val="auto"/>
        </w:rPr>
      </w:pPr>
      <w:r>
        <w:rPr>
          <w:rFonts w:ascii="Times New Roman" w:cs="Times New Roman" w:eastAsia="Times New Roman" w:hAnsi="Times New Roman"/>
          <w:sz w:val="18"/>
          <w:szCs w:val="18"/>
          <w:color w:val="auto"/>
        </w:rPr>
        <w:t>of our revenue is generated from subscriptions entered into during previous periods. Consequently, any decreases in new subscriptions or renewals in any one period may not be immediately reflected as a decrease in revenue for that period, but could negatively affect our revenue in future quarters. This also makes it difficult for us to rapidly increase our revenue through the sale of additional subscriptions in any period, as revenue is recognized over the term of the subscription agreement. In the case of a subscription for a committed contractual amount of usage that is delivered as used, a monthly subscription based on usage, or usage in excess of a ratable subscription, we recognize revenue as the product is used, which may lead to fluctuations in our revenue and results of operations. In addition, historically, we have experienced seasonality in new customer bookings, as we typically enter into a higher percentage of subscription agreements with new customers in the fourth quarter of the year.</w:t>
      </w:r>
    </w:p>
    <w:p>
      <w:pPr>
        <w:spacing w:after="0" w:line="18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Due to ease of implementation of our products, professional services generally are not required and revenue from such services has been immaterial to date.</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Cost of revenue primarily consists of expenses related to providing our products to customers, including payments to our third-party cloud infrastructure providers for hosting our software, personnel-related expenses for operations and global support, including salaries, benefits, bonuses and stock-based compensation, payment processing fees, information technology, depreciation and amortization related to the amortization of acquired intangibles and internal-use software and other overhead costs such as allocated facilities.</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intend to continue to invest additional resources in our platform infrastructure and our customer support and success organizations to expand the capability of our platform and ensure that our customers are realizing the full benefit of our platform and products. The level, timing and relative investment in our infrastructure could affect our cost of revenue in the future.</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Gross profit represents revenue less cost of revenue. Gross margin is gross profit expressed as a percentage of revenue. Our gross margin may fluctuate from period to period as our revenue fluctuates, and as a result of the timing and amount of investments to expand our products and geographical coverage.</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operating expenses consist of research and development, sales and marketing and general and administrative expenses. Personnel costs are the most significant component of operating expenses and consist of salaries, benefits, bonuses, stock-based compensation expense and sales commissions. Operating expenses also include overhead costs for facilities and shared IT-related expenses, including depreciation expense.</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consists primarily of personnel costs for our engineering, service and design teams. Additionally, research and development expense includes contractor fees, depreciation and amortization and allocated overhead costs. Research and development costs are expensed as incurred, with the exception of certain software development costs which are eligible for capitalization. We expect that our research and development expense will increase in absolute dollars as our business grows, particularly as we incur additional costs related to continued investments in our platform.</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Sales and marketing expense consists primarily of personnel costs for our sales and marketing organization, costs of general marketing and promotional activities, including the free tier and free introductory trials of our products, travel-related expenses, amortization of acquired customer relationships, and allocated overhead costs. Sales commissions earned by our sales force are deferred and amortized on a straight-line basis over the expected period of benefit, which we have determined to be four years. We expect that our sales and marketing expense will increase in absolute dollars as we expand our sales and marketing efforts.</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 consists primarily of personnel costs for finance, legal, human resources, and other administrative functions. In addition, general and administrative expense includes non-personnel costs, such as legal,</w:t>
      </w:r>
    </w:p>
    <w:p>
      <w:pPr>
        <w:sectPr>
          <w:pgSz w:w="11900" w:h="16838" w:orient="portrait"/>
          <w:cols w:equalWidth="0" w:num="1">
            <w:col w:w="11240"/>
          </w:cols>
          <w:pgMar w:left="320" w:top="1309"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28" w:name="page29"/>
    <w:bookmarkEnd w:id="28"/>
    <w:p>
      <w:pPr>
        <w:jc w:val="both"/>
        <w:spacing w:after="0" w:line="282" w:lineRule="auto"/>
        <w:rPr>
          <w:sz w:val="20"/>
          <w:szCs w:val="20"/>
          <w:color w:val="auto"/>
        </w:rPr>
      </w:pPr>
      <w:r>
        <w:rPr>
          <w:rFonts w:ascii="Times New Roman" w:cs="Times New Roman" w:eastAsia="Times New Roman" w:hAnsi="Times New Roman"/>
          <w:sz w:val="18"/>
          <w:szCs w:val="18"/>
          <w:color w:val="auto"/>
        </w:rPr>
        <w:t>accounting and other professional fees, hardware and software costs, certain tax, license and insurance-related expenses and allocated overhead costs. We expect that our general and administrative expense will increase in absolute dollars as our business grows.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Other income, net consists of interest income, primarily due to income earned on money market funds included in cash and cash equivalents and on marketable securities, partially offset by interest expense due on the Notes and amortization of premiums on our marketable securities.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Provision for income taxes consists of U.S. federal and state income taxes and income taxes in certain foreign jurisdictions in which we conduct business. We recorded a full valuation allowance on our federal and state deferred tax assets as we have concluded that it is not more likely than not that the deferred tax assets will be realized.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our consolidated statements of operations data for the periods indicated: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1500" w:type="dxa"/>
            <w:vAlign w:val="bottom"/>
            <w:gridSpan w:val="3"/>
          </w:tcPr>
          <w:p>
            <w:pPr>
              <w:jc w:val="center"/>
              <w:ind w:left="27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center"/>
              <w:ind w:left="55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center"/>
              <w:ind w:left="25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826,760</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645,279</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1,588,313</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1,256,532</w:t>
            </w:r>
          </w:p>
        </w:tc>
        <w:tc>
          <w:tcPr>
            <w:tcW w:w="0" w:type="dxa"/>
            <w:vAlign w:val="bottom"/>
          </w:tcPr>
          <w:p>
            <w:pPr>
              <w:spacing w:after="0"/>
              <w:rPr>
                <w:sz w:val="1"/>
                <w:szCs w:val="1"/>
                <w:color w:val="auto"/>
              </w:rPr>
            </w:pPr>
          </w:p>
        </w:tc>
      </w:tr>
      <w:tr>
        <w:trPr>
          <w:trHeight w:val="270"/>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Cost of revenue </w:t>
            </w:r>
            <w:r>
              <w:rPr>
                <w:rFonts w:ascii="Times New Roman" w:cs="Times New Roman" w:eastAsia="Times New Roman" w:hAnsi="Times New Roman"/>
                <w:sz w:val="21"/>
                <w:szCs w:val="21"/>
                <w:color w:val="auto"/>
                <w:vertAlign w:val="superscript"/>
              </w:rPr>
              <w:t>(1)(2)(3)</w:t>
            </w: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165,978</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123,499</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323,606</w:t>
            </w:r>
          </w:p>
        </w:tc>
        <w:tc>
          <w:tcPr>
            <w:tcW w:w="12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233,597</w:t>
            </w: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660,782</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521,780</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1,264,707</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1,022,935</w:t>
            </w: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xml:space="preserve">Research and development </w:t>
            </w:r>
            <w:r>
              <w:rPr>
                <w:rFonts w:ascii="Times New Roman" w:cs="Times New Roman" w:eastAsia="Times New Roman" w:hAnsi="Times New Roman"/>
                <w:sz w:val="21"/>
                <w:szCs w:val="21"/>
                <w:color w:val="auto"/>
                <w:vertAlign w:val="superscript"/>
              </w:rPr>
              <w:t>(1)(3)</w:t>
            </w: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387,482</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274,599</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728,543</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544,587</w:t>
            </w:r>
          </w:p>
        </w:tc>
        <w:tc>
          <w:tcPr>
            <w:tcW w:w="0" w:type="dxa"/>
            <w:vAlign w:val="bottom"/>
          </w:tcPr>
          <w:p>
            <w:pPr>
              <w:spacing w:after="0"/>
              <w:rPr>
                <w:sz w:val="1"/>
                <w:szCs w:val="1"/>
                <w:color w:val="auto"/>
              </w:rPr>
            </w:pPr>
          </w:p>
        </w:tc>
      </w:tr>
      <w:tr>
        <w:trPr>
          <w:trHeight w:val="270"/>
        </w:trPr>
        <w:tc>
          <w:tcPr>
            <w:tcW w:w="5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xml:space="preserve">Sales and marketing </w:t>
            </w:r>
            <w:r>
              <w:rPr>
                <w:rFonts w:ascii="Times New Roman" w:cs="Times New Roman" w:eastAsia="Times New Roman" w:hAnsi="Times New Roman"/>
                <w:sz w:val="21"/>
                <w:szCs w:val="21"/>
                <w:color w:val="auto"/>
                <w:vertAlign w:val="superscript"/>
              </w:rPr>
              <w:t>(1)(2)(3)</w:t>
            </w: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239,026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187,005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453,317</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360,886</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1"/>
                <w:szCs w:val="21"/>
                <w:color w:val="auto"/>
                <w:vertAlign w:val="superscript"/>
              </w:rPr>
              <w:t>(1)(3)(4)</w:t>
            </w: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69,774</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47,558</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130,767</w:t>
            </w:r>
          </w:p>
        </w:tc>
        <w:tc>
          <w:tcPr>
            <w:tcW w:w="12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92,848</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696,282</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509,162</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1,312,627</w:t>
            </w: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998,321</w:t>
            </w: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(35,500)</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12,618</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(47,920)</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24,614</w:t>
            </w: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21"/>
                <w:szCs w:val="21"/>
                <w:color w:val="auto"/>
                <w:vertAlign w:val="superscript"/>
              </w:rPr>
              <w:t>(5)</w:t>
            </w: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(6,038)</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0" w:type="dxa"/>
            <w:vAlign w:val="bottom"/>
          </w:tcPr>
          <w:p>
            <w:pPr>
              <w:spacing w:after="0"/>
              <w:rPr>
                <w:sz w:val="1"/>
                <w:szCs w:val="1"/>
                <w:color w:val="auto"/>
              </w:rPr>
            </w:pPr>
          </w:p>
        </w:tc>
      </w:tr>
      <w:tr>
        <w:trPr>
          <w:trHeight w:val="270"/>
        </w:trPr>
        <w:tc>
          <w:tcPr>
            <w:tcW w:w="56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44,663</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36,652</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91,842</w:t>
            </w:r>
          </w:p>
        </w:tc>
        <w:tc>
          <w:tcPr>
            <w:tcW w:w="12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72,215</w:t>
            </w:r>
          </w:p>
        </w:tc>
        <w:tc>
          <w:tcPr>
            <w:tcW w:w="0" w:type="dxa"/>
            <w:vAlign w:val="bottom"/>
          </w:tcPr>
          <w:p>
            <w:pPr>
              <w:spacing w:after="0"/>
              <w:rPr>
                <w:sz w:val="1"/>
                <w:szCs w:val="1"/>
                <w:color w:val="auto"/>
              </w:rPr>
            </w:pPr>
          </w:p>
        </w:tc>
      </w:tr>
      <w:tr>
        <w:trPr>
          <w:trHeight w:val="250"/>
        </w:trPr>
        <w:tc>
          <w:tcPr>
            <w:tcW w:w="5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41,588</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35,175</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85,804</w:t>
            </w:r>
          </w:p>
        </w:tc>
        <w:tc>
          <w:tcPr>
            <w:tcW w:w="12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69,364</w:t>
            </w:r>
          </w:p>
        </w:tc>
        <w:tc>
          <w:tcPr>
            <w:tcW w:w="0" w:type="dxa"/>
            <w:vAlign w:val="bottom"/>
          </w:tcPr>
          <w:p>
            <w:pPr>
              <w:spacing w:after="0"/>
              <w:rPr>
                <w:sz w:val="1"/>
                <w:szCs w:val="1"/>
                <w:color w:val="auto"/>
              </w:rPr>
            </w:pPr>
          </w:p>
        </w:tc>
      </w:tr>
      <w:tr>
        <w:trPr>
          <w:trHeight w:val="25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47,793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37,884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93,978</w:t>
            </w:r>
          </w:p>
        </w:tc>
        <w:tc>
          <w:tcPr>
            <w:tcW w:w="0" w:type="dxa"/>
            <w:vAlign w:val="bottom"/>
          </w:tcPr>
          <w:p>
            <w:pPr>
              <w:spacing w:after="0"/>
              <w:rPr>
                <w:sz w:val="1"/>
                <w:szCs w:val="1"/>
                <w:color w:val="auto"/>
              </w:rPr>
            </w:pPr>
          </w:p>
        </w:tc>
      </w:tr>
      <w:tr>
        <w:trPr>
          <w:trHeight w:val="27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10,595</w:t>
            </w:r>
          </w:p>
        </w:tc>
        <w:tc>
          <w:tcPr>
            <w:tcW w:w="12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7,523</w:t>
            </w:r>
          </w:p>
        </w:tc>
        <w:tc>
          <w:tcPr>
            <w:tcW w:w="0" w:type="dxa"/>
            <w:vAlign w:val="bottom"/>
          </w:tcPr>
          <w:p>
            <w:pPr>
              <w:spacing w:after="0"/>
              <w:rPr>
                <w:sz w:val="1"/>
                <w:szCs w:val="1"/>
                <w:color w:val="auto"/>
              </w:rPr>
            </w:pPr>
          </w:p>
        </w:tc>
      </w:tr>
      <w:tr>
        <w:trPr>
          <w:trHeight w:val="22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43,824</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27,289</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86,455</w:t>
            </w:r>
          </w:p>
        </w:tc>
        <w:tc>
          <w:tcPr>
            <w:tcW w:w="0" w:type="dxa"/>
            <w:vAlign w:val="bottom"/>
          </w:tcPr>
          <w:p>
            <w:pPr>
              <w:spacing w:after="0"/>
              <w:rPr>
                <w:sz w:val="1"/>
                <w:szCs w:val="1"/>
                <w:color w:val="auto"/>
              </w:rPr>
            </w:pPr>
          </w:p>
        </w:tc>
      </w:tr>
      <w:tr>
        <w:trPr>
          <w:trHeight w:val="21"/>
        </w:trPr>
        <w:tc>
          <w:tcPr>
            <w:tcW w:w="5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w:t>
            </w: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8"/>
        </w:trPr>
        <w:tc>
          <w:tcPr>
            <w:tcW w:w="5620" w:type="dxa"/>
            <w:vAlign w:val="bottom"/>
            <w:vMerge w:val="continue"/>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8"/>
        </w:trPr>
        <w:tc>
          <w:tcPr>
            <w:tcW w:w="5620" w:type="dxa"/>
            <w:vAlign w:val="bottom"/>
          </w:tcPr>
          <w:p>
            <w:pPr>
              <w:spacing w:after="0"/>
              <w:rPr>
                <w:sz w:val="20"/>
                <w:szCs w:val="20"/>
                <w:color w:val="auto"/>
              </w:rPr>
            </w:pPr>
            <w:r>
              <w:rPr>
                <w:rFonts w:ascii="Times New Roman" w:cs="Times New Roman" w:eastAsia="Times New Roman" w:hAnsi="Times New Roman"/>
                <w:sz w:val="14"/>
                <w:szCs w:val="14"/>
                <w:color w:val="auto"/>
              </w:rPr>
              <w:t>(1)  Includes stock-based compensation expense as follows:</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56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54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23"/>
                <w:szCs w:val="23"/>
                <w:color w:val="auto"/>
              </w:rPr>
            </w:pPr>
          </w:p>
        </w:tc>
        <w:tc>
          <w:tcPr>
            <w:tcW w:w="1500" w:type="dxa"/>
            <w:vAlign w:val="bottom"/>
            <w:gridSpan w:val="3"/>
          </w:tcPr>
          <w:p>
            <w:pPr>
              <w:jc w:val="center"/>
              <w:ind w:left="27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center"/>
              <w:ind w:left="55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center"/>
              <w:ind w:left="25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6,393</w:t>
            </w: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13,434</w:t>
            </w:r>
          </w:p>
        </w:tc>
        <w:tc>
          <w:tcPr>
            <w:tcW w:w="12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11,920</w:t>
            </w: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112,445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87,105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218,180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175,518</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37,442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29,201</w:t>
            </w:r>
          </w:p>
        </w:tc>
        <w:tc>
          <w:tcPr>
            <w:tcW w:w="10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71,567</w:t>
            </w:r>
          </w:p>
        </w:tc>
        <w:tc>
          <w:tcPr>
            <w:tcW w:w="12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57,732</w:t>
            </w: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41,546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24,515</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180,462</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134,652</w:t>
            </w:r>
          </w:p>
        </w:tc>
        <w:tc>
          <w:tcPr>
            <w:tcW w:w="10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344,727</w:t>
            </w:r>
          </w:p>
        </w:tc>
        <w:tc>
          <w:tcPr>
            <w:tcW w:w="12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269,685</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CFF0FC"/>
              <w:bottom w:val="single" w:sz="8" w:color="auto"/>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bottom w:val="single" w:sz="8" w:color="auto"/>
            </w:tcBorders>
          </w:tcPr>
          <w:p>
            <w:pPr>
              <w:spacing w:after="0" w:line="20" w:lineRule="exact"/>
              <w:rPr>
                <w:sz w:val="1"/>
                <w:szCs w:val="1"/>
                <w:color w:val="auto"/>
              </w:rPr>
            </w:pPr>
          </w:p>
        </w:tc>
        <w:tc>
          <w:tcPr>
            <w:tcW w:w="80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620" w:type="dxa"/>
            <w:vAlign w:val="bottom"/>
            <w:vMerge w:val="continue"/>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9" w:right="339" w:bottom="1440" w:gutter="0" w:footer="0" w:header="0"/>
        </w:sect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29" w:name="page30"/>
    <w:bookmarkEnd w:id="29"/>
    <w:p>
      <w:pPr>
        <w:ind w:left="320" w:hanging="312"/>
        <w:spacing w:after="0"/>
        <w:tabs>
          <w:tab w:leader="none" w:pos="3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amortization of acquired intangibles expense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675005</wp:posOffset>
            </wp:positionV>
            <wp:extent cx="531495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3149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18"/>
          <w:szCs w:val="18"/>
          <w:color w:val="auto"/>
        </w:rPr>
        <w:t>Cost of revenue</w:t>
      </w:r>
      <w:r>
        <w:rPr>
          <w:sz w:val="20"/>
          <w:szCs w:val="20"/>
          <w:color w:val="auto"/>
        </w:rPr>
        <w:tab/>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5314950" cy="1974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314950" cy="197485"/>
                    </a:xfrm>
                    <a:prstGeom prst="rect">
                      <a:avLst/>
                    </a:prstGeom>
                    <a:noFill/>
                  </pic:spPr>
                </pic:pic>
              </a:graphicData>
            </a:graphic>
          </wp:anchor>
        </w:drawing>
      </w:r>
    </w:p>
    <w:p>
      <w:pPr>
        <w:spacing w:after="0" w:line="57" w:lineRule="exact"/>
        <w:rPr>
          <w:sz w:val="20"/>
          <w:szCs w:val="20"/>
          <w:color w:val="auto"/>
        </w:rPr>
      </w:pPr>
    </w:p>
    <w:p>
      <w:pPr>
        <w:ind w:left="220"/>
        <w:spacing w:after="0"/>
        <w:tabs>
          <w:tab w:leader="none" w:pos="5640" w:val="left"/>
        </w:tabs>
        <w:rPr>
          <w:sz w:val="20"/>
          <w:szCs w:val="20"/>
          <w:color w:val="auto"/>
        </w:rPr>
      </w:pPr>
      <w:r>
        <w:rPr>
          <w:rFonts w:ascii="Times New Roman" w:cs="Times New Roman" w:eastAsia="Times New Roman" w:hAnsi="Times New Roman"/>
          <w:sz w:val="18"/>
          <w:szCs w:val="18"/>
          <w:color w:val="auto"/>
        </w:rPr>
        <w:t>Total</w:t>
      </w:r>
      <w:r>
        <w:rPr>
          <w:sz w:val="20"/>
          <w:szCs w:val="20"/>
          <w:color w:val="auto"/>
        </w:rPr>
        <w:tab/>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 Includes employer payroll taxes on employee stock transactions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656590</wp:posOffset>
            </wp:positionV>
            <wp:extent cx="531495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3149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18"/>
          <w:szCs w:val="18"/>
          <w:color w:val="auto"/>
        </w:rPr>
        <w:t>Cost of revenue</w:t>
      </w:r>
      <w:r>
        <w:rPr>
          <w:sz w:val="20"/>
          <w:szCs w:val="20"/>
          <w:color w:val="auto"/>
        </w:rPr>
        <w:tab/>
      </w:r>
      <w:r>
        <w:rPr>
          <w:rFonts w:ascii="Times New Roman" w:cs="Times New Roman" w:eastAsia="Times New Roman" w:hAnsi="Times New Roman"/>
          <w:sz w:val="16"/>
          <w:szCs w:val="16"/>
          <w:color w:val="auto"/>
        </w:rPr>
        <w: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531495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31495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5314950" cy="1968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314950" cy="196850"/>
                    </a:xfrm>
                    <a:prstGeom prst="rect">
                      <a:avLst/>
                    </a:prstGeom>
                    <a:noFill/>
                  </pic:spPr>
                </pic:pic>
              </a:graphicData>
            </a:graphic>
          </wp:anchor>
        </w:drawing>
      </w:r>
    </w:p>
    <w:p>
      <w:pPr>
        <w:spacing w:after="0" w:line="57" w:lineRule="exact"/>
        <w:rPr>
          <w:sz w:val="20"/>
          <w:szCs w:val="20"/>
          <w:color w:val="auto"/>
        </w:rPr>
      </w:pPr>
    </w:p>
    <w:p>
      <w:pPr>
        <w:ind w:left="220"/>
        <w:spacing w:after="0"/>
        <w:tabs>
          <w:tab w:leader="none" w:pos="5640" w:val="left"/>
        </w:tabs>
        <w:rPr>
          <w:sz w:val="20"/>
          <w:szCs w:val="20"/>
          <w:color w:val="auto"/>
        </w:rPr>
      </w:pPr>
      <w:r>
        <w:rPr>
          <w:rFonts w:ascii="Times New Roman" w:cs="Times New Roman" w:eastAsia="Times New Roman" w:hAnsi="Times New Roman"/>
          <w:sz w:val="18"/>
          <w:szCs w:val="18"/>
          <w:color w:val="auto"/>
        </w:rPr>
        <w:t>Total</w:t>
      </w:r>
      <w:r>
        <w:rPr>
          <w:sz w:val="20"/>
          <w:szCs w:val="20"/>
          <w:color w:val="auto"/>
        </w:rPr>
        <w:tab/>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 Includes M&amp;A transaction costs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656590</wp:posOffset>
            </wp:positionV>
            <wp:extent cx="71323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18"/>
          <w:szCs w:val="18"/>
          <w:color w:val="auto"/>
        </w:rPr>
        <w:t>General and administrative</w:t>
      </w:r>
      <w:r>
        <w:rPr>
          <w:sz w:val="20"/>
          <w:szCs w:val="20"/>
          <w:color w:val="auto"/>
        </w:rPr>
        <w:tab/>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 Includes amortization of issuance costs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656590</wp:posOffset>
            </wp:positionV>
            <wp:extent cx="531495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3149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
        <w:spacing w:after="0"/>
        <w:tabs>
          <w:tab w:leader="none" w:pos="5640" w:val="left"/>
        </w:tabs>
        <w:rPr>
          <w:sz w:val="20"/>
          <w:szCs w:val="20"/>
          <w:color w:val="auto"/>
        </w:rPr>
      </w:pPr>
      <w:r>
        <w:rPr>
          <w:rFonts w:ascii="Times New Roman" w:cs="Times New Roman" w:eastAsia="Times New Roman" w:hAnsi="Times New Roman"/>
          <w:sz w:val="18"/>
          <w:szCs w:val="18"/>
          <w:color w:val="auto"/>
        </w:rPr>
        <w:t>Interest expense</w:t>
      </w:r>
      <w:r>
        <w:rPr>
          <w:sz w:val="20"/>
          <w:szCs w:val="20"/>
          <w:color w:val="auto"/>
        </w:rPr>
        <w:tab/>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1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00" w:type="dxa"/>
            <w:vAlign w:val="bottom"/>
            <w:gridSpan w:val="3"/>
          </w:tcPr>
          <w:p>
            <w:pPr>
              <w:jc w:val="center"/>
              <w:ind w:left="2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00" w:type="dxa"/>
            <w:vAlign w:val="bottom"/>
            <w:gridSpan w:val="3"/>
          </w:tcPr>
          <w:p>
            <w:pPr>
              <w:jc w:val="center"/>
              <w:ind w:left="2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900" w:type="dxa"/>
            <w:vAlign w:val="bottom"/>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9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0" w:type="dxa"/>
            <w:vAlign w:val="bottom"/>
          </w:tcPr>
          <w:p>
            <w:pPr>
              <w:spacing w:after="0"/>
              <w:rPr>
                <w:sz w:val="1"/>
                <w:szCs w:val="1"/>
                <w:color w:val="auto"/>
              </w:rPr>
            </w:pPr>
          </w:p>
        </w:tc>
      </w:tr>
      <w:tr>
        <w:trPr>
          <w:trHeight w:val="257"/>
        </w:trPr>
        <w:tc>
          <w:tcPr>
            <w:tcW w:w="9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4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900" w:type="dxa"/>
            <w:vAlign w:val="bottom"/>
          </w:tcPr>
          <w:p>
            <w:pPr>
              <w:spacing w:after="0"/>
              <w:rPr>
                <w:sz w:val="4"/>
                <w:szCs w:val="4"/>
                <w:color w:val="auto"/>
              </w:rPr>
            </w:pPr>
          </w:p>
        </w:tc>
        <w:tc>
          <w:tcPr>
            <w:tcW w:w="8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900" w:type="dxa"/>
            <w:vAlign w:val="bottom"/>
          </w:tcPr>
          <w:p>
            <w:pPr>
              <w:jc w:val="right"/>
              <w:ind w:right="100"/>
              <w:spacing w:after="0"/>
              <w:rPr>
                <w:sz w:val="20"/>
                <w:szCs w:val="20"/>
                <w:color w:val="auto"/>
              </w:rPr>
            </w:pPr>
            <w:r>
              <w:rPr>
                <w:rFonts w:ascii="Times New Roman" w:cs="Times New Roman" w:eastAsia="Times New Roman" w:hAnsi="Times New Roman"/>
                <w:sz w:val="18"/>
                <w:szCs w:val="18"/>
                <w:color w:val="auto"/>
              </w:rPr>
              <w:t>1,518</w:t>
            </w:r>
          </w:p>
        </w:tc>
        <w:tc>
          <w:tcPr>
            <w:tcW w:w="840" w:type="dxa"/>
            <w:vAlign w:val="bottom"/>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1,281</w:t>
            </w:r>
          </w:p>
        </w:tc>
        <w:tc>
          <w:tcPr>
            <w:tcW w:w="560" w:type="dxa"/>
            <w:vAlign w:val="bottom"/>
            <w:tcBorders>
              <w:bottom w:val="single" w:sz="8" w:color="CFF0FC"/>
            </w:tcBorders>
            <w:gridSpan w:val="3"/>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12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jc w:val="right"/>
              <w:ind w:right="33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3,308</w:t>
            </w:r>
          </w:p>
        </w:tc>
        <w:tc>
          <w:tcPr>
            <w:tcW w:w="0" w:type="dxa"/>
            <w:vAlign w:val="bottom"/>
          </w:tcPr>
          <w:p>
            <w:pPr>
              <w:spacing w:after="0"/>
              <w:rPr>
                <w:sz w:val="1"/>
                <w:szCs w:val="1"/>
                <w:color w:val="auto"/>
              </w:rPr>
            </w:pPr>
          </w:p>
        </w:tc>
      </w:tr>
      <w:tr>
        <w:trPr>
          <w:trHeight w:val="243"/>
        </w:trPr>
        <w:tc>
          <w:tcPr>
            <w:tcW w:w="900" w:type="dxa"/>
            <w:vAlign w:val="bottom"/>
          </w:tcPr>
          <w:p>
            <w:pPr>
              <w:jc w:val="right"/>
              <w:ind w:right="100"/>
              <w:spacing w:after="0"/>
              <w:rPr>
                <w:sz w:val="20"/>
                <w:szCs w:val="20"/>
                <w:color w:val="auto"/>
              </w:rPr>
            </w:pPr>
            <w:r>
              <w:rPr>
                <w:rFonts w:ascii="Times New Roman" w:cs="Times New Roman" w:eastAsia="Times New Roman" w:hAnsi="Times New Roman"/>
                <w:sz w:val="18"/>
                <w:szCs w:val="18"/>
                <w:color w:val="auto"/>
              </w:rPr>
              <w:t>188</w:t>
            </w:r>
          </w:p>
        </w:tc>
        <w:tc>
          <w:tcPr>
            <w:tcW w:w="8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7"/>
        </w:trPr>
        <w:tc>
          <w:tcPr>
            <w:tcW w:w="9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900" w:type="dxa"/>
            <w:vAlign w:val="bottom"/>
          </w:tcPr>
          <w:p>
            <w:pPr>
              <w:jc w:val="right"/>
              <w:ind w:right="100"/>
              <w:spacing w:after="0"/>
              <w:rPr>
                <w:sz w:val="20"/>
                <w:szCs w:val="20"/>
                <w:color w:val="auto"/>
              </w:rPr>
            </w:pPr>
            <w:r>
              <w:rPr>
                <w:rFonts w:ascii="Times New Roman" w:cs="Times New Roman" w:eastAsia="Times New Roman" w:hAnsi="Times New Roman"/>
                <w:sz w:val="18"/>
                <w:szCs w:val="18"/>
                <w:color w:val="auto"/>
              </w:rPr>
              <w:t>1,706</w:t>
            </w:r>
          </w:p>
        </w:tc>
        <w:tc>
          <w:tcPr>
            <w:tcW w:w="840" w:type="dxa"/>
            <w:vAlign w:val="bottom"/>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1,486</w:t>
            </w:r>
          </w:p>
        </w:tc>
        <w:tc>
          <w:tcPr>
            <w:tcW w:w="10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CFF0FC"/>
            </w:tcBorders>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12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CFF0FC"/>
            </w:tcBorders>
            <w:shd w:val="clear" w:color="auto" w:fill="CFF0FC"/>
          </w:tcPr>
          <w:p>
            <w:pPr>
              <w:jc w:val="right"/>
              <w:ind w:right="33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3,718</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6"/>
        </w:trPr>
        <w:tc>
          <w:tcPr>
            <w:tcW w:w="1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gridSpan w:val="3"/>
          </w:tcPr>
          <w:p>
            <w:pPr>
              <w:jc w:val="center"/>
              <w:ind w:left="2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00" w:type="dxa"/>
            <w:vAlign w:val="bottom"/>
            <w:gridSpan w:val="3"/>
          </w:tcPr>
          <w:p>
            <w:pPr>
              <w:jc w:val="center"/>
              <w:ind w:left="2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900" w:type="dxa"/>
            <w:vAlign w:val="bottom"/>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9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4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9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gridSpan w:val="2"/>
          </w:tcPr>
          <w:p>
            <w:pPr>
              <w:spacing w:after="0"/>
              <w:rPr>
                <w:sz w:val="3"/>
                <w:szCs w:val="3"/>
                <w:color w:val="auto"/>
              </w:rPr>
            </w:pPr>
          </w:p>
        </w:tc>
        <w:tc>
          <w:tcPr>
            <w:tcW w:w="4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900" w:type="dxa"/>
            <w:vAlign w:val="bottom"/>
          </w:tcPr>
          <w:p>
            <w:pPr>
              <w:jc w:val="right"/>
              <w:ind w:right="100"/>
              <w:spacing w:after="0"/>
              <w:rPr>
                <w:sz w:val="20"/>
                <w:szCs w:val="20"/>
                <w:color w:val="auto"/>
              </w:rPr>
            </w:pPr>
            <w:r>
              <w:rPr>
                <w:rFonts w:ascii="Times New Roman" w:cs="Times New Roman" w:eastAsia="Times New Roman" w:hAnsi="Times New Roman"/>
                <w:sz w:val="18"/>
                <w:szCs w:val="18"/>
                <w:color w:val="auto"/>
              </w:rPr>
              <w:t>165</w:t>
            </w:r>
          </w:p>
        </w:tc>
        <w:tc>
          <w:tcPr>
            <w:tcW w:w="840" w:type="dxa"/>
            <w:vAlign w:val="bottom"/>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560" w:type="dxa"/>
            <w:vAlign w:val="bottom"/>
            <w:tcBorders>
              <w:bottom w:val="single" w:sz="8" w:color="CFF0FC"/>
            </w:tcBorders>
            <w:gridSpan w:val="3"/>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jc w:val="right"/>
              <w:ind w:right="33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43"/>
        </w:trPr>
        <w:tc>
          <w:tcPr>
            <w:tcW w:w="900" w:type="dxa"/>
            <w:vAlign w:val="bottom"/>
          </w:tcPr>
          <w:p>
            <w:pPr>
              <w:jc w:val="right"/>
              <w:ind w:right="100"/>
              <w:spacing w:after="0"/>
              <w:rPr>
                <w:sz w:val="20"/>
                <w:szCs w:val="20"/>
                <w:color w:val="auto"/>
              </w:rPr>
            </w:pPr>
            <w:r>
              <w:rPr>
                <w:rFonts w:ascii="Times New Roman" w:cs="Times New Roman" w:eastAsia="Times New Roman" w:hAnsi="Times New Roman"/>
                <w:sz w:val="18"/>
                <w:szCs w:val="18"/>
                <w:color w:val="auto"/>
              </w:rPr>
              <w:t>11,819</w:t>
            </w:r>
          </w:p>
        </w:tc>
        <w:tc>
          <w:tcPr>
            <w:tcW w:w="8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6,589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17,408</w:t>
            </w:r>
          </w:p>
        </w:tc>
        <w:tc>
          <w:tcPr>
            <w:tcW w:w="0" w:type="dxa"/>
            <w:vAlign w:val="bottom"/>
          </w:tcPr>
          <w:p>
            <w:pPr>
              <w:spacing w:after="0"/>
              <w:rPr>
                <w:sz w:val="1"/>
                <w:szCs w:val="1"/>
                <w:color w:val="auto"/>
              </w:rPr>
            </w:pPr>
          </w:p>
        </w:tc>
      </w:tr>
      <w:tr>
        <w:trPr>
          <w:trHeight w:val="27"/>
        </w:trPr>
        <w:tc>
          <w:tcPr>
            <w:tcW w:w="9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0" w:type="dxa"/>
            <w:vAlign w:val="bottom"/>
          </w:tcPr>
          <w:p>
            <w:pPr>
              <w:jc w:val="right"/>
              <w:ind w:right="100"/>
              <w:spacing w:after="0"/>
              <w:rPr>
                <w:sz w:val="20"/>
                <w:szCs w:val="20"/>
                <w:color w:val="auto"/>
              </w:rPr>
            </w:pPr>
            <w:r>
              <w:rPr>
                <w:rFonts w:ascii="Times New Roman" w:cs="Times New Roman" w:eastAsia="Times New Roman" w:hAnsi="Times New Roman"/>
                <w:sz w:val="18"/>
                <w:szCs w:val="18"/>
                <w:color w:val="auto"/>
              </w:rPr>
              <w:t>1,359</w:t>
            </w:r>
          </w:p>
        </w:tc>
        <w:tc>
          <w:tcPr>
            <w:tcW w:w="8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12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0" w:type="dxa"/>
            <w:vAlign w:val="bottom"/>
          </w:tcPr>
          <w:p>
            <w:pPr>
              <w:spacing w:after="0"/>
              <w:rPr>
                <w:sz w:val="1"/>
                <w:szCs w:val="1"/>
                <w:color w:val="auto"/>
              </w:rPr>
            </w:pPr>
          </w:p>
        </w:tc>
      </w:tr>
      <w:tr>
        <w:trPr>
          <w:trHeight w:val="243"/>
        </w:trPr>
        <w:tc>
          <w:tcPr>
            <w:tcW w:w="900" w:type="dxa"/>
            <w:vAlign w:val="bottom"/>
          </w:tcPr>
          <w:p>
            <w:pPr>
              <w:jc w:val="right"/>
              <w:ind w:right="100"/>
              <w:spacing w:after="0"/>
              <w:rPr>
                <w:sz w:val="20"/>
                <w:szCs w:val="20"/>
                <w:color w:val="auto"/>
              </w:rPr>
            </w:pPr>
            <w:r>
              <w:rPr>
                <w:rFonts w:ascii="Times New Roman" w:cs="Times New Roman" w:eastAsia="Times New Roman" w:hAnsi="Times New Roman"/>
                <w:sz w:val="18"/>
                <w:szCs w:val="18"/>
                <w:color w:val="auto"/>
              </w:rPr>
              <w:t>2,724</w:t>
            </w:r>
          </w:p>
        </w:tc>
        <w:tc>
          <w:tcPr>
            <w:tcW w:w="8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1,521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3,578</w:t>
            </w:r>
          </w:p>
        </w:tc>
        <w:tc>
          <w:tcPr>
            <w:tcW w:w="0" w:type="dxa"/>
            <w:vAlign w:val="bottom"/>
          </w:tcPr>
          <w:p>
            <w:pPr>
              <w:spacing w:after="0"/>
              <w:rPr>
                <w:sz w:val="1"/>
                <w:szCs w:val="1"/>
                <w:color w:val="auto"/>
              </w:rPr>
            </w:pPr>
          </w:p>
        </w:tc>
      </w:tr>
      <w:tr>
        <w:trPr>
          <w:trHeight w:val="27"/>
        </w:trPr>
        <w:tc>
          <w:tcPr>
            <w:tcW w:w="9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900" w:type="dxa"/>
            <w:vAlign w:val="bottom"/>
          </w:tcPr>
          <w:p>
            <w:pPr>
              <w:jc w:val="right"/>
              <w:ind w:right="100"/>
              <w:spacing w:after="0"/>
              <w:rPr>
                <w:sz w:val="20"/>
                <w:szCs w:val="20"/>
                <w:color w:val="auto"/>
              </w:rPr>
            </w:pPr>
            <w:r>
              <w:rPr>
                <w:rFonts w:ascii="Times New Roman" w:cs="Times New Roman" w:eastAsia="Times New Roman" w:hAnsi="Times New Roman"/>
                <w:sz w:val="18"/>
                <w:szCs w:val="18"/>
                <w:color w:val="auto"/>
              </w:rPr>
              <w:t>16,067</w:t>
            </w:r>
          </w:p>
        </w:tc>
        <w:tc>
          <w:tcPr>
            <w:tcW w:w="840" w:type="dxa"/>
            <w:vAlign w:val="bottom"/>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8,786</w:t>
            </w:r>
          </w:p>
        </w:tc>
        <w:tc>
          <w:tcPr>
            <w:tcW w:w="10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CFF0FC"/>
            </w:tcBorders>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29,630</w:t>
            </w:r>
          </w:p>
        </w:tc>
        <w:tc>
          <w:tcPr>
            <w:tcW w:w="12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CFF0FC"/>
            </w:tcBorders>
            <w:shd w:val="clear" w:color="auto" w:fill="CFF0FC"/>
          </w:tcPr>
          <w:p>
            <w:pPr>
              <w:jc w:val="right"/>
              <w:ind w:right="33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24,007</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2"/>
        </w:trPr>
        <w:tc>
          <w:tcPr>
            <w:tcW w:w="1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00" w:type="dxa"/>
            <w:vAlign w:val="bottom"/>
            <w:gridSpan w:val="4"/>
          </w:tcPr>
          <w:p>
            <w:pPr>
              <w:jc w:val="center"/>
              <w:ind w:right="356"/>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0"/>
        </w:trPr>
        <w:tc>
          <w:tcPr>
            <w:tcW w:w="1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00" w:type="dxa"/>
            <w:vAlign w:val="bottom"/>
            <w:gridSpan w:val="3"/>
          </w:tcPr>
          <w:p>
            <w:pPr>
              <w:jc w:val="center"/>
              <w:ind w:left="2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900" w:type="dxa"/>
            <w:vAlign w:val="bottom"/>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9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4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900" w:type="dxa"/>
            <w:vAlign w:val="bottom"/>
          </w:tcPr>
          <w:p>
            <w:pPr>
              <w:jc w:val="right"/>
              <w:ind w:right="80"/>
              <w:spacing w:after="0"/>
              <w:rPr>
                <w:sz w:val="20"/>
                <w:szCs w:val="20"/>
                <w:color w:val="auto"/>
              </w:rPr>
            </w:pPr>
            <w:r>
              <w:rPr>
                <w:rFonts w:ascii="Times New Roman" w:cs="Times New Roman" w:eastAsia="Times New Roman" w:hAnsi="Times New Roman"/>
                <w:sz w:val="18"/>
                <w:szCs w:val="18"/>
                <w:color w:val="auto"/>
              </w:rPr>
              <w:t>1,373</w:t>
            </w:r>
          </w:p>
        </w:tc>
        <w:tc>
          <w:tcPr>
            <w:tcW w:w="840" w:type="dxa"/>
            <w:vAlign w:val="bottom"/>
          </w:tcPr>
          <w:p>
            <w:pPr>
              <w:jc w:val="right"/>
              <w:ind w:right="639"/>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120" w:type="dxa"/>
            <w:vAlign w:val="bottom"/>
          </w:tcPr>
          <w:p>
            <w:pPr>
              <w:spacing w:after="0"/>
              <w:rPr>
                <w:sz w:val="24"/>
                <w:szCs w:val="24"/>
                <w:color w:val="auto"/>
              </w:rPr>
            </w:pPr>
          </w:p>
        </w:tc>
        <w:tc>
          <w:tcPr>
            <w:tcW w:w="520" w:type="dxa"/>
            <w:vAlign w:val="bottom"/>
          </w:tcPr>
          <w:p>
            <w:pPr>
              <w:jc w:val="right"/>
              <w:ind w:right="333"/>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99"/>
        </w:trPr>
        <w:tc>
          <w:tcPr>
            <w:tcW w:w="1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gridSpan w:val="3"/>
          </w:tcPr>
          <w:p>
            <w:pPr>
              <w:jc w:val="center"/>
              <w:ind w:left="2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00" w:type="dxa"/>
            <w:vAlign w:val="bottom"/>
            <w:gridSpan w:val="3"/>
          </w:tcPr>
          <w:p>
            <w:pPr>
              <w:jc w:val="center"/>
              <w:ind w:left="2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900" w:type="dxa"/>
            <w:vAlign w:val="bottom"/>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9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0" w:type="dxa"/>
            <w:vAlign w:val="bottom"/>
          </w:tcPr>
          <w:p>
            <w:pPr>
              <w:spacing w:after="0"/>
              <w:rPr>
                <w:sz w:val="1"/>
                <w:szCs w:val="1"/>
                <w:color w:val="auto"/>
              </w:rPr>
            </w:pPr>
          </w:p>
        </w:tc>
      </w:tr>
      <w:tr>
        <w:trPr>
          <w:trHeight w:val="243"/>
        </w:trPr>
        <w:tc>
          <w:tcPr>
            <w:tcW w:w="9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4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9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gridSpan w:val="3"/>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900" w:type="dxa"/>
            <w:vAlign w:val="bottom"/>
          </w:tcPr>
          <w:p>
            <w:pPr>
              <w:jc w:val="right"/>
              <w:ind w:right="100"/>
              <w:spacing w:after="0"/>
              <w:rPr>
                <w:sz w:val="20"/>
                <w:szCs w:val="20"/>
                <w:color w:val="auto"/>
              </w:rPr>
            </w:pPr>
            <w:r>
              <w:rPr>
                <w:rFonts w:ascii="Times New Roman" w:cs="Times New Roman" w:eastAsia="Times New Roman" w:hAnsi="Times New Roman"/>
                <w:sz w:val="18"/>
                <w:szCs w:val="18"/>
                <w:color w:val="auto"/>
              </w:rPr>
              <w:t>1,691</w:t>
            </w:r>
          </w:p>
        </w:tc>
        <w:tc>
          <w:tcPr>
            <w:tcW w:w="840" w:type="dxa"/>
            <w:vAlign w:val="bottom"/>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560" w:type="dxa"/>
            <w:vAlign w:val="bottom"/>
            <w:gridSpan w:val="3"/>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3,510</w:t>
            </w:r>
          </w:p>
        </w:tc>
        <w:tc>
          <w:tcPr>
            <w:tcW w:w="12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333"/>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0" w:type="dxa"/>
            <w:vAlign w:val="bottom"/>
          </w:tcPr>
          <w:p>
            <w:pPr>
              <w:spacing w:after="0"/>
              <w:rPr>
                <w:sz w:val="1"/>
                <w:szCs w:val="1"/>
                <w:color w:val="auto"/>
              </w:rPr>
            </w:pPr>
          </w:p>
        </w:tc>
      </w:tr>
      <w:tr>
        <w:trPr>
          <w:trHeight w:val="27"/>
        </w:trPr>
        <w:tc>
          <w:tcPr>
            <w:tcW w:w="9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440" w:type="dxa"/>
            <w:vAlign w:val="bottom"/>
            <w:shd w:val="clear" w:color="auto" w:fill="CFF0FC"/>
          </w:tcPr>
          <w:p>
            <w:pPr>
              <w:spacing w:after="0"/>
              <w:rPr>
                <w:sz w:val="2"/>
                <w:szCs w:val="2"/>
                <w:color w:val="auto"/>
              </w:rPr>
            </w:pPr>
          </w:p>
        </w:tc>
        <w:tc>
          <w:tcPr>
            <w:tcW w:w="8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520" w:type="dxa"/>
            <w:vAlign w:val="bottom"/>
            <w:shd w:val="clear" w:color="auto" w:fill="CFF0FC"/>
          </w:tcPr>
          <w:p>
            <w:pPr>
              <w:spacing w:after="0"/>
              <w:rPr>
                <w:sz w:val="2"/>
                <w:szCs w:val="2"/>
                <w:color w:val="auto"/>
              </w:rPr>
            </w:pPr>
          </w:p>
        </w:tc>
        <w:tc>
          <w:tcPr>
            <w:tcW w:w="8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-4088130</wp:posOffset>
            </wp:positionV>
            <wp:extent cx="83185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31850" cy="825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-4808220</wp:posOffset>
            </wp:positionV>
            <wp:extent cx="354901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549015" cy="825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-4962525</wp:posOffset>
            </wp:positionV>
            <wp:extent cx="173164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31645" cy="8890"/>
                    </a:xfrm>
                    <a:prstGeom prst="rect">
                      <a:avLst/>
                    </a:prstGeom>
                    <a:noFill/>
                  </pic:spPr>
                </pic:pic>
              </a:graphicData>
            </a:graphic>
          </wp:anchor>
        </w:drawing>
        <w:drawing>
          <wp:anchor simplePos="0" relativeHeight="251657728" behindDoc="1" locked="0" layoutInCell="0" allowOverlap="1">
            <wp:simplePos x="0" y="0"/>
            <wp:positionH relativeFrom="column">
              <wp:posOffset>-331470</wp:posOffset>
            </wp:positionH>
            <wp:positionV relativeFrom="paragraph">
              <wp:posOffset>-2236470</wp:posOffset>
            </wp:positionV>
            <wp:extent cx="84010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40105" cy="8255"/>
                    </a:xfrm>
                    <a:prstGeom prst="rect">
                      <a:avLst/>
                    </a:prstGeom>
                    <a:noFill/>
                  </pic:spPr>
                </pic:pic>
              </a:graphicData>
            </a:graphic>
          </wp:anchor>
        </w:drawing>
        <w:drawing>
          <wp:anchor simplePos="0" relativeHeight="251657728" behindDoc="1" locked="0" layoutInCell="0" allowOverlap="1">
            <wp:simplePos x="0" y="0"/>
            <wp:positionH relativeFrom="column">
              <wp:posOffset>-331470</wp:posOffset>
            </wp:positionH>
            <wp:positionV relativeFrom="paragraph">
              <wp:posOffset>-3282315</wp:posOffset>
            </wp:positionV>
            <wp:extent cx="35572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557270" cy="8890"/>
                    </a:xfrm>
                    <a:prstGeom prst="rect">
                      <a:avLst/>
                    </a:prstGeom>
                    <a:noFill/>
                  </pic:spPr>
                </pic:pic>
              </a:graphicData>
            </a:graphic>
          </wp:anchor>
        </w:drawing>
        <w:drawing>
          <wp:anchor simplePos="0" relativeHeight="251657728" behindDoc="1" locked="0" layoutInCell="0" allowOverlap="1">
            <wp:simplePos x="0" y="0"/>
            <wp:positionH relativeFrom="column">
              <wp:posOffset>-331470</wp:posOffset>
            </wp:positionH>
            <wp:positionV relativeFrom="paragraph">
              <wp:posOffset>-3436620</wp:posOffset>
            </wp:positionV>
            <wp:extent cx="17399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39900" cy="825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-1439545</wp:posOffset>
            </wp:positionV>
            <wp:extent cx="354901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549015" cy="8890"/>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-1593850</wp:posOffset>
            </wp:positionV>
            <wp:extent cx="17399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739900" cy="8890"/>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-325120</wp:posOffset>
            </wp:positionV>
            <wp:extent cx="35490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549015" cy="8255"/>
                    </a:xfrm>
                    <a:prstGeom prst="rect">
                      <a:avLst/>
                    </a:prstGeom>
                    <a:noFill/>
                  </pic:spPr>
                </pic:pic>
              </a:graphicData>
            </a:graphic>
          </wp:anchor>
        </w:drawing>
        <w:drawing>
          <wp:anchor simplePos="0" relativeHeight="251657728" behindDoc="1" locked="0" layoutInCell="0" allowOverlap="1">
            <wp:simplePos x="0" y="0"/>
            <wp:positionH relativeFrom="column">
              <wp:posOffset>-322580</wp:posOffset>
            </wp:positionH>
            <wp:positionV relativeFrom="paragraph">
              <wp:posOffset>-479425</wp:posOffset>
            </wp:positionV>
            <wp:extent cx="173164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ectPr>
          <w:pgSz w:w="11900" w:h="16838" w:orient="portrait"/>
          <w:cols w:equalWidth="0" w:num="2">
            <w:col w:w="5760" w:space="400"/>
            <w:col w:w="5080"/>
          </w:cols>
          <w:pgMar w:left="320" w:top="1089" w:right="339" w:bottom="1440" w:gutter="0" w:footer="0" w:header="0"/>
        </w:sectPr>
      </w:pPr>
    </w:p>
    <w:bookmarkStart w:id="30" w:name="page31"/>
    <w:bookmarkEnd w:id="30"/>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consolidated statements of operations data expressed as a percentage of revenue for the periods indicated: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0" w:type="dxa"/>
            <w:vAlign w:val="bottom"/>
            <w:gridSpan w:val="4"/>
          </w:tcPr>
          <w:p>
            <w:pPr>
              <w:jc w:val="center"/>
              <w:ind w:right="8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4"/>
                <w:szCs w:val="14"/>
                <w:color w:val="auto"/>
              </w:rPr>
            </w:pPr>
          </w:p>
        </w:tc>
        <w:tc>
          <w:tcPr>
            <w:tcW w:w="2160" w:type="dxa"/>
            <w:vAlign w:val="bottom"/>
            <w:gridSpan w:val="3"/>
          </w:tcPr>
          <w:p>
            <w:pPr>
              <w:jc w:val="center"/>
              <w:ind w:left="837"/>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20" w:type="dxa"/>
            <w:vAlign w:val="bottom"/>
          </w:tcPr>
          <w:p>
            <w:pPr>
              <w:spacing w:after="0"/>
              <w:rPr>
                <w:sz w:val="14"/>
                <w:szCs w:val="14"/>
                <w:color w:val="auto"/>
              </w:rPr>
            </w:pPr>
          </w:p>
        </w:tc>
      </w:tr>
      <w:tr>
        <w:trPr>
          <w:trHeight w:val="190"/>
        </w:trPr>
        <w:tc>
          <w:tcPr>
            <w:tcW w:w="49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40" w:type="dxa"/>
            <w:vAlign w:val="bottom"/>
            <w:gridSpan w:val="3"/>
          </w:tcPr>
          <w:p>
            <w:pPr>
              <w:jc w:val="center"/>
              <w:ind w:left="19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3"/>
          </w:tcPr>
          <w:p>
            <w:pPr>
              <w:jc w:val="center"/>
              <w:ind w:left="83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Pr>
          <w:p>
            <w:pPr>
              <w:spacing w:after="0"/>
              <w:rPr>
                <w:sz w:val="16"/>
                <w:szCs w:val="16"/>
                <w:color w:val="auto"/>
              </w:rPr>
            </w:pPr>
          </w:p>
        </w:tc>
      </w:tr>
      <w:tr>
        <w:trPr>
          <w:trHeight w:val="50"/>
        </w:trPr>
        <w:tc>
          <w:tcPr>
            <w:tcW w:w="498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186"/>
        </w:trPr>
        <w:tc>
          <w:tcPr>
            <w:tcW w:w="5860" w:type="dxa"/>
            <w:vAlign w:val="bottom"/>
            <w:gridSpan w:val="2"/>
          </w:tcPr>
          <w:p>
            <w:pPr>
              <w:ind w:left="5580"/>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80" w:type="dxa"/>
            <w:vAlign w:val="bottom"/>
            <w:gridSpan w:val="2"/>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498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420" w:type="dxa"/>
            <w:vAlign w:val="bottom"/>
            <w:tcBorders>
              <w:bottom w:val="single" w:sz="8" w:color="auto"/>
            </w:tcBorders>
            <w:gridSpan w:val="5"/>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50"/>
        </w:trPr>
        <w:tc>
          <w:tcPr>
            <w:tcW w:w="49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(as a percentage of total revenue</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4"/>
                <w:szCs w:val="14"/>
                <w:b w:val="1"/>
                <w:bCs w:val="1"/>
                <w:color w:val="auto"/>
              </w:rPr>
              <w:t>)</w:t>
            </w:r>
          </w:p>
        </w:tc>
        <w:tc>
          <w:tcPr>
            <w:tcW w:w="920" w:type="dxa"/>
            <w:vAlign w:val="bottom"/>
          </w:tcPr>
          <w:p>
            <w:pPr>
              <w:spacing w:after="0"/>
              <w:rPr>
                <w:sz w:val="21"/>
                <w:szCs w:val="21"/>
                <w:color w:val="auto"/>
              </w:rPr>
            </w:pPr>
          </w:p>
        </w:tc>
      </w:tr>
      <w:tr>
        <w:trPr>
          <w:trHeight w:val="250"/>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5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43"/>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19</w:t>
            </w:r>
          </w:p>
        </w:tc>
        <w:tc>
          <w:tcPr>
            <w:tcW w:w="1580" w:type="dxa"/>
            <w:vAlign w:val="bottom"/>
            <w:gridSpan w:val="2"/>
          </w:tcPr>
          <w:p>
            <w:pPr>
              <w:jc w:val="right"/>
              <w:ind w:right="137"/>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49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6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81</w:t>
            </w:r>
          </w:p>
        </w:tc>
        <w:tc>
          <w:tcPr>
            <w:tcW w:w="1580" w:type="dxa"/>
            <w:vAlign w:val="bottom"/>
            <w:tcBorders>
              <w:bottom w:val="single" w:sz="8" w:color="CFF0FC"/>
            </w:tcBorders>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81</w:t>
            </w:r>
          </w:p>
        </w:tc>
      </w:tr>
      <w:tr>
        <w:trPr>
          <w:trHeight w:val="243"/>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8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43</w:t>
            </w:r>
          </w:p>
        </w:tc>
        <w:tc>
          <w:tcPr>
            <w:tcW w:w="1580" w:type="dxa"/>
            <w:vAlign w:val="bottom"/>
            <w:tcBorders>
              <w:bottom w:val="single" w:sz="8" w:color="CFF0FC"/>
            </w:tcBorders>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43</w:t>
            </w:r>
          </w:p>
        </w:tc>
      </w:tr>
      <w:tr>
        <w:trPr>
          <w:trHeight w:val="243"/>
        </w:trPr>
        <w:tc>
          <w:tcPr>
            <w:tcW w:w="5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29</w:t>
            </w:r>
          </w:p>
        </w:tc>
        <w:tc>
          <w:tcPr>
            <w:tcW w:w="1580" w:type="dxa"/>
            <w:vAlign w:val="bottom"/>
            <w:gridSpan w:val="2"/>
          </w:tcPr>
          <w:p>
            <w:pPr>
              <w:jc w:val="right"/>
              <w:ind w:right="137"/>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29</w:t>
            </w:r>
          </w:p>
        </w:tc>
      </w:tr>
      <w:tr>
        <w:trPr>
          <w:trHeight w:val="27"/>
        </w:trPr>
        <w:tc>
          <w:tcPr>
            <w:tcW w:w="4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w:t>
            </w:r>
          </w:p>
        </w:tc>
        <w:tc>
          <w:tcPr>
            <w:tcW w:w="1580" w:type="dxa"/>
            <w:vAlign w:val="bottom"/>
            <w:tcBorders>
              <w:bottom w:val="single" w:sz="8" w:color="CFF0FC"/>
            </w:tcBorders>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FF0FC"/>
            </w:tcBorders>
            <w:shd w:val="clear" w:color="auto" w:fill="CFF0FC"/>
          </w:tcPr>
          <w:p>
            <w:pPr>
              <w:spacing w:after="0"/>
              <w:rPr>
                <w:sz w:val="23"/>
                <w:szCs w:val="23"/>
                <w:color w:val="auto"/>
              </w:rPr>
            </w:pPr>
          </w:p>
        </w:tc>
        <w:tc>
          <w:tcPr>
            <w:tcW w:w="560" w:type="dxa"/>
            <w:vAlign w:val="bottom"/>
            <w:tcBorders>
              <w:bottom w:val="single" w:sz="8" w:color="CFF0FC"/>
            </w:tcBorders>
            <w:shd w:val="clear" w:color="auto" w:fill="CFF0FC"/>
          </w:tcPr>
          <w:p>
            <w:pPr>
              <w:spacing w:after="0"/>
              <w:rPr>
                <w:sz w:val="23"/>
                <w:szCs w:val="23"/>
                <w:color w:val="auto"/>
              </w:rPr>
            </w:pPr>
          </w:p>
        </w:tc>
        <w:tc>
          <w:tcPr>
            <w:tcW w:w="920" w:type="dxa"/>
            <w:vAlign w:val="bottom"/>
            <w:tcBorders>
              <w:bottom w:val="single" w:sz="8" w:color="CFF0FC"/>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7</w:t>
            </w:r>
          </w:p>
        </w:tc>
      </w:tr>
      <w:tr>
        <w:trPr>
          <w:trHeight w:val="237"/>
        </w:trPr>
        <w:tc>
          <w:tcPr>
            <w:tcW w:w="49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79</w:t>
            </w:r>
          </w:p>
        </w:tc>
      </w:tr>
      <w:tr>
        <w:trPr>
          <w:trHeight w:val="27"/>
        </w:trPr>
        <w:tc>
          <w:tcPr>
            <w:tcW w:w="49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58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60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w:t>
            </w:r>
          </w:p>
        </w:tc>
        <w:tc>
          <w:tcPr>
            <w:tcW w:w="1580" w:type="dxa"/>
            <w:vAlign w:val="bottom"/>
            <w:tcBorders>
              <w:bottom w:val="single" w:sz="8" w:color="CFF0FC"/>
            </w:tcBorders>
            <w:gridSpan w:val="2"/>
            <w:shd w:val="clear" w:color="auto" w:fill="CFF0FC"/>
          </w:tcPr>
          <w:p>
            <w:pPr>
              <w:jc w:val="right"/>
              <w:ind w:right="77"/>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5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8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6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w:t>
            </w:r>
          </w:p>
        </w:tc>
        <w:tc>
          <w:tcPr>
            <w:tcW w:w="1580" w:type="dxa"/>
            <w:vAlign w:val="bottom"/>
            <w:tcBorders>
              <w:bottom w:val="single" w:sz="8" w:color="CFF0FC"/>
            </w:tcBorders>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0</w:t>
            </w:r>
          </w:p>
        </w:tc>
      </w:tr>
      <w:tr>
        <w:trPr>
          <w:trHeight w:val="243"/>
        </w:trPr>
        <w:tc>
          <w:tcPr>
            <w:tcW w:w="5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6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w:t>
            </w:r>
          </w:p>
        </w:tc>
        <w:tc>
          <w:tcPr>
            <w:tcW w:w="1580" w:type="dxa"/>
            <w:vAlign w:val="bottom"/>
            <w:gridSpan w:val="2"/>
          </w:tcPr>
          <w:p>
            <w:pPr>
              <w:jc w:val="right"/>
              <w:ind w:right="137"/>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49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3"/>
        </w:trPr>
        <w:tc>
          <w:tcPr>
            <w:tcW w:w="49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income, net</w:t>
            </w:r>
          </w:p>
        </w:tc>
        <w:tc>
          <w:tcPr>
            <w:tcW w:w="8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w:t>
            </w:r>
          </w:p>
        </w:tc>
        <w:tc>
          <w:tcPr>
            <w:tcW w:w="1580" w:type="dxa"/>
            <w:vAlign w:val="bottom"/>
            <w:tcBorders>
              <w:bottom w:val="single" w:sz="8" w:color="CFF0FC"/>
            </w:tcBorders>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FF0FC"/>
            </w:tcBorders>
            <w:shd w:val="clear" w:color="auto" w:fill="CFF0FC"/>
          </w:tcPr>
          <w:p>
            <w:pPr>
              <w:spacing w:after="0"/>
              <w:rPr>
                <w:sz w:val="22"/>
                <w:szCs w:val="22"/>
                <w:color w:val="auto"/>
              </w:rPr>
            </w:pPr>
          </w:p>
        </w:tc>
        <w:tc>
          <w:tcPr>
            <w:tcW w:w="560" w:type="dxa"/>
            <w:vAlign w:val="bottom"/>
            <w:tcBorders>
              <w:bottom w:val="single" w:sz="8" w:color="CFF0FC"/>
            </w:tcBorders>
            <w:shd w:val="clear" w:color="auto" w:fill="CFF0FC"/>
          </w:tcPr>
          <w:p>
            <w:pPr>
              <w:spacing w:after="0"/>
              <w:rPr>
                <w:sz w:val="22"/>
                <w:szCs w:val="22"/>
                <w:color w:val="auto"/>
              </w:rPr>
            </w:pPr>
          </w:p>
        </w:tc>
        <w:tc>
          <w:tcPr>
            <w:tcW w:w="920" w:type="dxa"/>
            <w:vAlign w:val="bottom"/>
            <w:tcBorders>
              <w:bottom w:val="single" w:sz="8" w:color="CFF0FC"/>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6</w:t>
            </w:r>
          </w:p>
        </w:tc>
      </w:tr>
      <w:tr>
        <w:trPr>
          <w:trHeight w:val="237"/>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8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4980" w:type="dxa"/>
            <w:vAlign w:val="bottom"/>
          </w:tcPr>
          <w:p>
            <w:pPr>
              <w:spacing w:after="0"/>
              <w:rPr>
                <w:sz w:val="2"/>
                <w:szCs w:val="2"/>
                <w:color w:val="auto"/>
              </w:rPr>
            </w:pPr>
          </w:p>
        </w:tc>
        <w:tc>
          <w:tcPr>
            <w:tcW w:w="8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1580" w:type="dxa"/>
            <w:vAlign w:val="bottom"/>
            <w:tcBorders>
              <w:bottom w:val="single" w:sz="8" w:color="CFF0FC"/>
            </w:tcBorders>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FF0FC"/>
            </w:tcBorders>
            <w:shd w:val="clear" w:color="auto" w:fill="CFF0FC"/>
          </w:tcPr>
          <w:p>
            <w:pPr>
              <w:spacing w:after="0"/>
              <w:rPr>
                <w:sz w:val="23"/>
                <w:szCs w:val="23"/>
                <w:color w:val="auto"/>
              </w:rPr>
            </w:pPr>
          </w:p>
        </w:tc>
        <w:tc>
          <w:tcPr>
            <w:tcW w:w="560" w:type="dxa"/>
            <w:vAlign w:val="bottom"/>
            <w:tcBorders>
              <w:bottom w:val="single" w:sz="8" w:color="CFF0FC"/>
            </w:tcBorders>
            <w:shd w:val="clear" w:color="auto" w:fill="CFF0FC"/>
          </w:tcPr>
          <w:p>
            <w:pPr>
              <w:spacing w:after="0"/>
              <w:rPr>
                <w:sz w:val="23"/>
                <w:szCs w:val="23"/>
                <w:color w:val="auto"/>
              </w:rPr>
            </w:pPr>
          </w:p>
        </w:tc>
        <w:tc>
          <w:tcPr>
            <w:tcW w:w="920" w:type="dxa"/>
            <w:vAlign w:val="bottom"/>
            <w:tcBorders>
              <w:bottom w:val="single" w:sz="8" w:color="CFF0FC"/>
            </w:tcBorders>
            <w:shd w:val="clear" w:color="auto" w:fill="CFF0FC"/>
          </w:tcPr>
          <w:p>
            <w:pPr>
              <w:jc w:val="right"/>
              <w:ind w:right="131"/>
              <w:spacing w:after="0"/>
              <w:rPr>
                <w:sz w:val="20"/>
                <w:szCs w:val="20"/>
                <w:color w:val="auto"/>
              </w:rPr>
            </w:pPr>
            <w:r>
              <w:rPr>
                <w:rFonts w:ascii="Times New Roman" w:cs="Times New Roman" w:eastAsia="Times New Roman" w:hAnsi="Times New Roman"/>
                <w:sz w:val="18"/>
                <w:szCs w:val="18"/>
                <w:color w:val="auto"/>
              </w:rPr>
              <w:t>1</w:t>
            </w:r>
          </w:p>
        </w:tc>
      </w:tr>
      <w:tr>
        <w:trPr>
          <w:trHeight w:val="264"/>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0 %</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Pr>
          <w:p>
            <w:pPr>
              <w:spacing w:after="0"/>
              <w:rPr>
                <w:sz w:val="22"/>
                <w:szCs w:val="22"/>
                <w:color w:val="auto"/>
              </w:rPr>
            </w:pPr>
          </w:p>
        </w:tc>
        <w:tc>
          <w:tcPr>
            <w:tcW w:w="56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0"/>
        </w:trPr>
        <w:tc>
          <w:tcPr>
            <w:tcW w:w="49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items may not total due to rounding.</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June 30, 2025 and 2024</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2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2"/>
          </w:tcPr>
          <w:p>
            <w:pPr>
              <w:jc w:val="center"/>
              <w:ind w:left="56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6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6"/>
                <w:szCs w:val="16"/>
                <w:color w:val="auto"/>
              </w:rPr>
            </w:pPr>
          </w:p>
        </w:tc>
        <w:tc>
          <w:tcPr>
            <w:tcW w:w="96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420" w:type="dxa"/>
            <w:vAlign w:val="bottom"/>
            <w:tcBorders>
              <w:bottom w:val="single" w:sz="8" w:color="auto"/>
            </w:tcBorders>
            <w:gridSpan w:val="3"/>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826,760</w:t>
            </w:r>
          </w:p>
        </w:tc>
        <w:tc>
          <w:tcPr>
            <w:tcW w:w="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645,279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181,481</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7"/>
        </w:trPr>
        <w:tc>
          <w:tcPr>
            <w:tcW w:w="55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Revenue increased by $181.5 million, or 28%, for the three months ended June 30, 2025 compared to the three months ended June 30, 2024. Approximately 80% of the increase in revenue was attributable to growth from existing customers, and the remaining 20% was attributable to growth from new customers.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4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0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4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Pr>
          <w:p>
            <w:pPr>
              <w:spacing w:after="0"/>
              <w:rPr>
                <w:sz w:val="16"/>
                <w:szCs w:val="16"/>
                <w:color w:val="auto"/>
              </w:rPr>
            </w:pPr>
          </w:p>
        </w:tc>
        <w:tc>
          <w:tcPr>
            <w:tcW w:w="106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gridSpan w:val="3"/>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165,978</w:t>
            </w:r>
          </w:p>
        </w:tc>
        <w:tc>
          <w:tcPr>
            <w:tcW w:w="70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123,499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42,479</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40" w:type="dxa"/>
            <w:vAlign w:val="bottom"/>
          </w:tcPr>
          <w:p>
            <w:pPr>
              <w:spacing w:after="0"/>
              <w:rPr>
                <w:sz w:val="21"/>
                <w:szCs w:val="21"/>
                <w:color w:val="auto"/>
              </w:rPr>
            </w:pPr>
          </w:p>
        </w:tc>
        <w:tc>
          <w:tcPr>
            <w:tcW w:w="1580" w:type="dxa"/>
            <w:vAlign w:val="bottom"/>
            <w:gridSpan w:val="2"/>
          </w:tcPr>
          <w:p>
            <w:pPr>
              <w:jc w:val="right"/>
              <w:ind w:right="419"/>
              <w:spacing w:after="0"/>
              <w:rPr>
                <w:sz w:val="20"/>
                <w:szCs w:val="20"/>
                <w:color w:val="auto"/>
              </w:rPr>
            </w:pPr>
            <w:r>
              <w:rPr>
                <w:rFonts w:ascii="Times New Roman" w:cs="Times New Roman" w:eastAsia="Times New Roman" w:hAnsi="Times New Roman"/>
                <w:sz w:val="18"/>
                <w:szCs w:val="18"/>
                <w:color w:val="auto"/>
              </w:rPr>
              <w:t>80 %</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Cost of revenue increased by $42.5 million, or 34%, for the three months ended June 30, 2025 compared to the three months ended June 30,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increase was primarily due to an increase of $38.3 million in third-party cloud infrastructure hosting and software costs.</w:t>
      </w:r>
    </w:p>
    <w:p>
      <w:pPr>
        <w:spacing w:after="0" w:line="20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gross margin decreased for the three months ended June 30, 2025 compared to the three months ended June 30, 2024, primarily as a result of increased spend with our third-party cloud infrastructure providers.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ectPr>
          <w:pgSz w:w="11900" w:h="16838" w:orient="portrait"/>
          <w:cols w:equalWidth="0" w:num="1">
            <w:col w:w="11240"/>
          </w:cols>
          <w:pgMar w:left="320" w:top="1093"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90"/>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gridSpan w:val="2"/>
          </w:tcPr>
          <w:p>
            <w:pPr>
              <w:jc w:val="center"/>
              <w:ind w:left="62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50"/>
        </w:trPr>
        <w:tc>
          <w:tcPr>
            <w:tcW w:w="534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gridSpan w:val="2"/>
          </w:tcPr>
          <w:p>
            <w:pPr>
              <w:spacing w:after="0"/>
              <w:rPr>
                <w:sz w:val="4"/>
                <w:szCs w:val="4"/>
                <w:color w:val="auto"/>
              </w:rPr>
            </w:pPr>
          </w:p>
        </w:tc>
        <w:tc>
          <w:tcPr>
            <w:tcW w:w="1420" w:type="dxa"/>
            <w:vAlign w:val="bottom"/>
          </w:tcPr>
          <w:p>
            <w:pPr>
              <w:spacing w:after="0"/>
              <w:rPr>
                <w:sz w:val="4"/>
                <w:szCs w:val="4"/>
                <w:color w:val="auto"/>
              </w:rPr>
            </w:pPr>
          </w:p>
        </w:tc>
      </w:tr>
      <w:tr>
        <w:trPr>
          <w:trHeight w:val="200"/>
        </w:trPr>
        <w:tc>
          <w:tcPr>
            <w:tcW w:w="5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7"/>
                <w:szCs w:val="17"/>
                <w:color w:val="auto"/>
              </w:rPr>
            </w:pPr>
          </w:p>
        </w:tc>
        <w:tc>
          <w:tcPr>
            <w:tcW w:w="104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5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6"/>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37"/>
        </w:trPr>
        <w:tc>
          <w:tcPr>
            <w:tcW w:w="5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387,482</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274,599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112,883</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4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r>
    </w:tbl>
    <w:p>
      <w:pPr>
        <w:spacing w:after="0" w:line="30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increased by $112.9 million, or 41%, for the three months ended June 30, 2025 compared to the three months ended June 30, 2024. This increase was primarily due to an increase of $90.6 million in personnel costs including allocated overhead costs for our engineering, product and design teams as a result of increased headcount and an increase of $19.0 million in cloud infrastructure-related investments.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gridSpan w:val="2"/>
          </w:tcPr>
          <w:p>
            <w:pPr>
              <w:jc w:val="center"/>
              <w:ind w:left="62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6"/>
                <w:szCs w:val="16"/>
                <w:color w:val="auto"/>
              </w:rPr>
            </w:pPr>
          </w:p>
        </w:tc>
        <w:tc>
          <w:tcPr>
            <w:tcW w:w="106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gridSpan w:val="3"/>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239,026</w:t>
            </w:r>
          </w:p>
        </w:tc>
        <w:tc>
          <w:tcPr>
            <w:tcW w:w="44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187,005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52,021</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r>
        <w:trPr>
          <w:trHeight w:val="24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Sales and marketing expense increased by $52.0 million, or 28%, for the three months ended June 30, 2025 compared to the three months ended June 30, 2024. This increase was primarily due to an increase of $42.3 million in personnel costs including allocated overhead costs for our sales and marketing organization as a result of increased headcount and increased variable compensation for our sales personnel and an increase of $8.2 million in advertising, sales, marketing and promotional activities.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4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80" w:type="dxa"/>
            <w:vAlign w:val="bottom"/>
            <w:gridSpan w:val="2"/>
          </w:tcPr>
          <w:p>
            <w:pPr>
              <w:ind w:left="8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6"/>
                <w:szCs w:val="16"/>
                <w:color w:val="auto"/>
              </w:rPr>
            </w:pPr>
          </w:p>
        </w:tc>
        <w:tc>
          <w:tcPr>
            <w:tcW w:w="104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gridSpan w:val="3"/>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69,774</w:t>
            </w:r>
          </w:p>
        </w:tc>
        <w:tc>
          <w:tcPr>
            <w:tcW w:w="44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47,558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22,216</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4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40" w:type="dxa"/>
            <w:vAlign w:val="bottom"/>
          </w:tcPr>
          <w:p>
            <w:pPr>
              <w:spacing w:after="0"/>
              <w:rPr>
                <w:sz w:val="21"/>
                <w:szCs w:val="21"/>
                <w:color w:val="auto"/>
              </w:rPr>
            </w:pPr>
          </w:p>
        </w:tc>
        <w:tc>
          <w:tcPr>
            <w:tcW w:w="11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8 %</w:t>
            </w: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increased by $22.2 million, or 47%, for the three months ended June 30, 2025 compared to the three months ended June 30, 2024. This increase was primarily due to an increase of $18.9 million in personnel costs including allocated overhead costs as a result of increased headcount.</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0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36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4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Pr>
          <w:p>
            <w:pPr>
              <w:spacing w:after="0"/>
              <w:rPr>
                <w:sz w:val="16"/>
                <w:szCs w:val="16"/>
                <w:color w:val="auto"/>
              </w:rPr>
            </w:pPr>
          </w:p>
        </w:tc>
        <w:tc>
          <w:tcPr>
            <w:tcW w:w="104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gridSpan w:val="3"/>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41,588</w:t>
            </w:r>
          </w:p>
        </w:tc>
        <w:tc>
          <w:tcPr>
            <w:tcW w:w="70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35,175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4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40" w:type="dxa"/>
            <w:vAlign w:val="bottom"/>
          </w:tcPr>
          <w:p>
            <w:pPr>
              <w:spacing w:after="0"/>
              <w:rPr>
                <w:sz w:val="21"/>
                <w:szCs w:val="21"/>
                <w:color w:val="auto"/>
              </w:rPr>
            </w:pPr>
          </w:p>
        </w:tc>
        <w:tc>
          <w:tcPr>
            <w:tcW w:w="1580" w:type="dxa"/>
            <w:vAlign w:val="bottom"/>
            <w:gridSpan w:val="2"/>
          </w:tcPr>
          <w:p>
            <w:pPr>
              <w:jc w:val="right"/>
              <w:ind w:right="439"/>
              <w:spacing w:after="0"/>
              <w:rPr>
                <w:sz w:val="20"/>
                <w:szCs w:val="20"/>
                <w:color w:val="auto"/>
              </w:rPr>
            </w:pPr>
            <w:r>
              <w:rPr>
                <w:rFonts w:ascii="Times New Roman" w:cs="Times New Roman" w:eastAsia="Times New Roman" w:hAnsi="Times New Roman"/>
                <w:sz w:val="18"/>
                <w:szCs w:val="18"/>
                <w:color w:val="auto"/>
              </w:rPr>
              <w:t>5 %</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Other income, net increased by $6.4 million, or 18%, for the three months ended June 30, 2025 compared to the three months ended June 30, 2024. This increase was primarily driven by an increase of $13.5 million in interest income, mainly due to income earned from investments in marketable securities. This amount was partially offset by a decrease of $5.5 million in other income mainly due to fluctuations related to foreign currency exchange rates.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Six Months Ended June 30, 2025 and 2024</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ectPr>
          <w:pgSz w:w="11900" w:h="16838" w:orient="portrait"/>
          <w:cols w:equalWidth="0" w:num="1">
            <w:col w:w="11240"/>
          </w:cols>
          <w:pgMar w:left="320" w:top="1235"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5" w:right="339"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2"/>
          </w:tcPr>
          <w:p>
            <w:pPr>
              <w:jc w:val="center"/>
              <w:ind w:left="564"/>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5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6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6"/>
                <w:szCs w:val="16"/>
                <w:color w:val="auto"/>
              </w:rPr>
            </w:pPr>
          </w:p>
        </w:tc>
        <w:tc>
          <w:tcPr>
            <w:tcW w:w="9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420" w:type="dxa"/>
            <w:vAlign w:val="bottom"/>
            <w:tcBorders>
              <w:bottom w:val="single" w:sz="8" w:color="auto"/>
            </w:tcBorders>
            <w:gridSpan w:val="3"/>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1,588,313</w:t>
            </w:r>
          </w:p>
        </w:tc>
        <w:tc>
          <w:tcPr>
            <w:tcW w:w="4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1,256,532</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331,781</w:t>
            </w:r>
          </w:p>
        </w:tc>
        <w:tc>
          <w:tcPr>
            <w:tcW w:w="10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7"/>
        </w:trPr>
        <w:tc>
          <w:tcPr>
            <w:tcW w:w="552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44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46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Revenue increased by $331.8 million, or 26%, in the six months ended June 30, 2025 compared to the six months ended June 30, 2024. Approximately 80% of the increase in revenue was attributable to growth from existing customers, and the remaining 20% was attributable to growth from new customers.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40" w:type="dxa"/>
            <w:vAlign w:val="bottom"/>
            <w:gridSpan w:val="2"/>
          </w:tcPr>
          <w:p>
            <w:pPr>
              <w:jc w:val="center"/>
              <w:ind w:left="48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40" w:type="dxa"/>
            <w:vAlign w:val="bottom"/>
            <w:gridSpan w:val="2"/>
          </w:tcPr>
          <w:p>
            <w:pPr>
              <w:jc w:val="center"/>
              <w:ind w:left="46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6"/>
                <w:szCs w:val="16"/>
                <w:color w:val="auto"/>
              </w:rPr>
            </w:pPr>
          </w:p>
        </w:tc>
        <w:tc>
          <w:tcPr>
            <w:tcW w:w="9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gridSpan w:val="3"/>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shd w:val="clear" w:color="auto" w:fill="CFF0FC"/>
          </w:tcPr>
          <w:p>
            <w:pPr>
              <w:jc w:val="right"/>
              <w:ind w:right="102"/>
              <w:spacing w:after="0"/>
              <w:rPr>
                <w:sz w:val="20"/>
                <w:szCs w:val="20"/>
                <w:color w:val="auto"/>
              </w:rPr>
            </w:pPr>
            <w:r>
              <w:rPr>
                <w:rFonts w:ascii="Times New Roman" w:cs="Times New Roman" w:eastAsia="Times New Roman" w:hAnsi="Times New Roman"/>
                <w:sz w:val="18"/>
                <w:szCs w:val="18"/>
                <w:color w:val="auto"/>
              </w:rPr>
              <w:t>323,606</w:t>
            </w:r>
          </w:p>
        </w:tc>
        <w:tc>
          <w:tcPr>
            <w:tcW w:w="600" w:type="dxa"/>
            <w:vAlign w:val="bottom"/>
            <w:tcBorders>
              <w:bottom w:val="single" w:sz="8" w:color="CFF0FC"/>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233,597</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90,009</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4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6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Cost of revenue increased by $90.0 million, or 39%, in the six months ended June 30, 2025 compared to the six months ended June 30, 2024. This increase was primarily due to an increase of $81.1 million in third-party cloud infrastructure hosting and software costs.</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gross margin decreased for the six months ended June 30, 2025 compared to the six months ended June 30, 2024, primarily as a result of increased spend with our third-party cloud infrastructure providers.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40" w:type="dxa"/>
            <w:vAlign w:val="bottom"/>
            <w:gridSpan w:val="2"/>
          </w:tcPr>
          <w:p>
            <w:pPr>
              <w:jc w:val="center"/>
              <w:ind w:left="48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40" w:type="dxa"/>
            <w:vAlign w:val="bottom"/>
            <w:gridSpan w:val="2"/>
          </w:tcPr>
          <w:p>
            <w:pPr>
              <w:jc w:val="center"/>
              <w:ind w:left="48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6"/>
                <w:szCs w:val="16"/>
                <w:color w:val="auto"/>
              </w:rPr>
            </w:pPr>
          </w:p>
        </w:tc>
        <w:tc>
          <w:tcPr>
            <w:tcW w:w="9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gridSpan w:val="3"/>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ind w:right="102"/>
              <w:spacing w:after="0"/>
              <w:rPr>
                <w:sz w:val="20"/>
                <w:szCs w:val="20"/>
                <w:color w:val="auto"/>
              </w:rPr>
            </w:pPr>
            <w:r>
              <w:rPr>
                <w:rFonts w:ascii="Times New Roman" w:cs="Times New Roman" w:eastAsia="Times New Roman" w:hAnsi="Times New Roman"/>
                <w:sz w:val="18"/>
                <w:szCs w:val="18"/>
                <w:color w:val="auto"/>
              </w:rPr>
              <w:t>728,543</w:t>
            </w:r>
          </w:p>
        </w:tc>
        <w:tc>
          <w:tcPr>
            <w:tcW w:w="600" w:type="dxa"/>
            <w:vAlign w:val="bottom"/>
            <w:tcBorders>
              <w:bottom w:val="single" w:sz="8" w:color="CFF0FC"/>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544,587</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183,956</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6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increased by $184.0 million, or 34%, in the six months ended June 30, 2025 compared to the six months ended June 30, 2024. This increase was primarily due to an increase of $144.9 million in personnel costs including allocated overhead costs for our engineering, product and design teams as a result of increased headcount and an increase of $35.2 million in cloud infrastructure-related investments.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40" w:type="dxa"/>
            <w:vAlign w:val="bottom"/>
            <w:gridSpan w:val="2"/>
          </w:tcPr>
          <w:p>
            <w:pPr>
              <w:jc w:val="center"/>
              <w:ind w:left="48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90"/>
        </w:trPr>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40" w:type="dxa"/>
            <w:vAlign w:val="bottom"/>
            <w:gridSpan w:val="2"/>
          </w:tcPr>
          <w:p>
            <w:pPr>
              <w:jc w:val="center"/>
              <w:ind w:left="46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50"/>
        </w:trPr>
        <w:tc>
          <w:tcPr>
            <w:tcW w:w="53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gridSpan w:val="2"/>
          </w:tcPr>
          <w:p>
            <w:pPr>
              <w:spacing w:after="0"/>
              <w:rPr>
                <w:sz w:val="4"/>
                <w:szCs w:val="4"/>
                <w:color w:val="auto"/>
              </w:rPr>
            </w:pPr>
          </w:p>
        </w:tc>
        <w:tc>
          <w:tcPr>
            <w:tcW w:w="1420" w:type="dxa"/>
            <w:vAlign w:val="bottom"/>
          </w:tcPr>
          <w:p>
            <w:pPr>
              <w:spacing w:after="0"/>
              <w:rPr>
                <w:sz w:val="4"/>
                <w:szCs w:val="4"/>
                <w:color w:val="auto"/>
              </w:rPr>
            </w:pPr>
          </w:p>
        </w:tc>
      </w:tr>
      <w:tr>
        <w:trPr>
          <w:trHeight w:val="200"/>
        </w:trPr>
        <w:tc>
          <w:tcPr>
            <w:tcW w:w="5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7"/>
                <w:szCs w:val="17"/>
                <w:color w:val="auto"/>
              </w:rPr>
            </w:pPr>
          </w:p>
        </w:tc>
        <w:tc>
          <w:tcPr>
            <w:tcW w:w="9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5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6"/>
        </w:trPr>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37"/>
        </w:trPr>
        <w:tc>
          <w:tcPr>
            <w:tcW w:w="5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50"/>
        </w:trPr>
        <w:tc>
          <w:tcPr>
            <w:tcW w:w="5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FF0FC"/>
            </w:tcBorders>
            <w:shd w:val="clear" w:color="auto" w:fill="CFF0FC"/>
          </w:tcPr>
          <w:p>
            <w:pPr>
              <w:jc w:val="right"/>
              <w:ind w:right="102"/>
              <w:spacing w:after="0"/>
              <w:rPr>
                <w:sz w:val="20"/>
                <w:szCs w:val="20"/>
                <w:color w:val="auto"/>
              </w:rPr>
            </w:pPr>
            <w:r>
              <w:rPr>
                <w:rFonts w:ascii="Times New Roman" w:cs="Times New Roman" w:eastAsia="Times New Roman" w:hAnsi="Times New Roman"/>
                <w:sz w:val="18"/>
                <w:szCs w:val="18"/>
                <w:color w:val="auto"/>
              </w:rPr>
              <w:t>453,317</w:t>
            </w:r>
          </w:p>
        </w:tc>
        <w:tc>
          <w:tcPr>
            <w:tcW w:w="600" w:type="dxa"/>
            <w:vAlign w:val="bottom"/>
            <w:tcBorders>
              <w:bottom w:val="single" w:sz="8" w:color="CFF0FC"/>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360,886</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92,431</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34"/>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6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r>
    </w:tbl>
    <w:p>
      <w:pPr>
        <w:spacing w:after="0" w:line="27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Sales and marketing expense increased by $92.4 million, or 26%, in the six months ended June 30, 2025 compared to the six months ended June 30, 2024. This increase was primarily due to an increase of $71.8 million in personnel costs including allocated overhead costs for our sales and marketing organization as a result of increased headcount and increased variable compensation for our sales personnel and an increase of $16.4 million in advertising, sales, marketing and promotional activities.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ectPr>
          <w:pgSz w:w="11900" w:h="16838" w:orient="portrait"/>
          <w:cols w:equalWidth="0" w:num="1">
            <w:col w:w="11240"/>
          </w:cols>
          <w:pgMar w:left="320" w:top="1235"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5" w:right="339" w:bottom="1440" w:gutter="0" w:footer="0" w:header="0"/>
          <w:type w:val="continuous"/>
        </w:sectPr>
      </w:pPr>
    </w:p>
    <w:bookmarkStart w:id="33" w:name="page34"/>
    <w:bookmarkEnd w:id="33"/>
    <w:tbl>
      <w:tblPr>
        <w:tblLayout w:type="fixed"/>
        <w:tblInd w:w="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2"/>
          </w:tcPr>
          <w:p>
            <w:pPr>
              <w:jc w:val="center"/>
              <w:ind w:left="46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40" w:type="dxa"/>
            <w:vAlign w:val="bottom"/>
            <w:gridSpan w:val="2"/>
          </w:tcPr>
          <w:p>
            <w:pPr>
              <w:jc w:val="center"/>
              <w:ind w:left="46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36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6"/>
                <w:szCs w:val="16"/>
                <w:color w:val="auto"/>
              </w:rPr>
            </w:pPr>
          </w:p>
        </w:tc>
        <w:tc>
          <w:tcPr>
            <w:tcW w:w="88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gridSpan w:val="3"/>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FF0FC"/>
            </w:tcBorders>
            <w:shd w:val="clear" w:color="auto" w:fill="CFF0FC"/>
          </w:tcPr>
          <w:p>
            <w:pPr>
              <w:jc w:val="right"/>
              <w:ind w:right="102"/>
              <w:spacing w:after="0"/>
              <w:rPr>
                <w:sz w:val="20"/>
                <w:szCs w:val="20"/>
                <w:color w:val="auto"/>
              </w:rPr>
            </w:pPr>
            <w:r>
              <w:rPr>
                <w:rFonts w:ascii="Times New Roman" w:cs="Times New Roman" w:eastAsia="Times New Roman" w:hAnsi="Times New Roman"/>
                <w:sz w:val="18"/>
                <w:szCs w:val="18"/>
                <w:color w:val="auto"/>
              </w:rPr>
              <w:t>130,767</w:t>
            </w:r>
          </w:p>
        </w:tc>
        <w:tc>
          <w:tcPr>
            <w:tcW w:w="600" w:type="dxa"/>
            <w:vAlign w:val="bottom"/>
            <w:tcBorders>
              <w:bottom w:val="single" w:sz="8" w:color="CFF0FC"/>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92,848</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37,919</w:t>
            </w:r>
          </w:p>
        </w:tc>
        <w:tc>
          <w:tcPr>
            <w:tcW w:w="10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7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40" w:type="dxa"/>
            <w:vAlign w:val="bottom"/>
          </w:tcPr>
          <w:p>
            <w:pPr>
              <w:spacing w:after="0"/>
              <w:rPr>
                <w:sz w:val="23"/>
                <w:szCs w:val="23"/>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8 %</w:t>
            </w:r>
          </w:p>
        </w:tc>
        <w:tc>
          <w:tcPr>
            <w:tcW w:w="6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increased by $37.9 million, or 41%, in the six months ended June 30, 2025 compared to the six months ended June 30, 2024. This increase was primarily due to an increase of $28.0 million in personnel costs including allocated overhead costs as a result of increased headcount, and an increase of $6.5 million in legal and other professional services expenses.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40" w:type="dxa"/>
            <w:vAlign w:val="bottom"/>
            <w:gridSpan w:val="2"/>
          </w:tcPr>
          <w:p>
            <w:pPr>
              <w:jc w:val="center"/>
              <w:ind w:left="48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4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60" w:type="dxa"/>
            <w:vAlign w:val="bottom"/>
          </w:tcPr>
          <w:p>
            <w:pPr>
              <w:spacing w:after="0"/>
              <w:rPr>
                <w:sz w:val="16"/>
                <w:szCs w:val="16"/>
                <w:color w:val="auto"/>
              </w:rPr>
            </w:pPr>
          </w:p>
        </w:tc>
        <w:tc>
          <w:tcPr>
            <w:tcW w:w="90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gridSpan w:val="3"/>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85,804</w:t>
            </w:r>
          </w:p>
        </w:tc>
        <w:tc>
          <w:tcPr>
            <w:tcW w:w="860" w:type="dxa"/>
            <w:vAlign w:val="bottom"/>
            <w:tcBorders>
              <w:bottom w:val="single" w:sz="8" w:color="CFF0FC"/>
            </w:tcBorders>
            <w:shd w:val="clear" w:color="auto" w:fill="CFF0FC"/>
          </w:tcPr>
          <w:p>
            <w:pPr>
              <w:jc w:val="right"/>
              <w:ind w:right="35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FF0FC"/>
            </w:tcBorders>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69,364</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16,440</w:t>
            </w:r>
          </w:p>
        </w:tc>
        <w:tc>
          <w:tcPr>
            <w:tcW w:w="100" w:type="dxa"/>
            <w:vAlign w:val="bottom"/>
            <w:tcBorders>
              <w:bottom w:val="single" w:sz="8" w:color="CFF0FC"/>
            </w:tcBorders>
            <w:shd w:val="clear" w:color="auto" w:fill="CFF0FC"/>
          </w:tcPr>
          <w:p>
            <w:pPr>
              <w:spacing w:after="0"/>
              <w:rPr>
                <w:sz w:val="21"/>
                <w:szCs w:val="21"/>
                <w:color w:val="auto"/>
              </w:rPr>
            </w:pPr>
          </w:p>
        </w:tc>
        <w:tc>
          <w:tcPr>
            <w:tcW w:w="14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70"/>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40" w:type="dxa"/>
            <w:vAlign w:val="bottom"/>
          </w:tcPr>
          <w:p>
            <w:pPr>
              <w:spacing w:after="0"/>
              <w:rPr>
                <w:sz w:val="23"/>
                <w:szCs w:val="23"/>
                <w:color w:val="auto"/>
              </w:rPr>
            </w:pPr>
          </w:p>
        </w:tc>
        <w:tc>
          <w:tcPr>
            <w:tcW w:w="1740" w:type="dxa"/>
            <w:vAlign w:val="bottom"/>
            <w:gridSpan w:val="2"/>
          </w:tcPr>
          <w:p>
            <w:pPr>
              <w:jc w:val="right"/>
              <w:ind w:right="579"/>
              <w:spacing w:after="0"/>
              <w:rPr>
                <w:sz w:val="20"/>
                <w:szCs w:val="20"/>
                <w:color w:val="auto"/>
              </w:rPr>
            </w:pPr>
            <w:r>
              <w:rPr>
                <w:rFonts w:ascii="Times New Roman" w:cs="Times New Roman" w:eastAsia="Times New Roman" w:hAnsi="Times New Roman"/>
                <w:sz w:val="18"/>
                <w:szCs w:val="18"/>
                <w:color w:val="auto"/>
              </w:rPr>
              <w:t>5 %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Other income, net increased by $16.4 million, or 24%, in the six months ended June 30, 2025 compared to the six months ended June 30, 2024. This increase was primarily driven by an increase of $28.8 million in interest income, mainly due to income earned from investments in marketable securities. This amount was partially offset by a decrease of $9.1 million in other income mainly due to fluctuations related to foreign currency exchange rates.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largest source of operating cash is cash collection from sales of subscriptions to our customers. Our primary uses of cash from operating activities are for personnel expenses, hosting expenses, facility expenses, and marketing expenses. We generated positive cash flows from operations during the six months ended June 30, 2025 and 2024. When assessing sources of liquidity, we also include cash and cash equivalents of $489.0 million and marketable securities of $3.4 billion as of June 30, 2025. We believe that our existing cash and cash equivalents, marketable securities and cash flow from operations will be sufficient to support our cash requirements for the next 12 months and beyond.</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working capital requirements principally consist of workforce salaries, bonuses, commissions, and benefits and, to a lesser extent, cancellable and non-cancelable licenses and services arrangements that are integral to our business operations, and operating lease obligations. Our principal commitments consist of purchase commitments for business operations, operating lease obligations, and obligations to pay the Notes’ coupons and principal. Purchase commitments for business operations are primarily related to cloud hosting and other software-based services.</w:t>
      </w:r>
    </w:p>
    <w:p>
      <w:pPr>
        <w:spacing w:after="0" w:line="18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have also issued long-term debt to finance our business. In June 2020 and December 2024, we issued $747.5 million aggregate principal amount of the 2025 Notes and $1.0 billion aggregate principal amount of the 2029 Notes, respectively, in private placements to qualified institutional buyers pursuant to Rule 144A under the Securities Act. The total net proceeds from the sale of the 2025 Notes and the 2029 Notes, after deducting the initial purchasers’ discounts and debt issuance costs, were approximately $730.2 million and $979.1 million, respectively. We used $196.8 million of the net proceeds from the offering of the 2029 Notes to repurchase approximately $112.0 million in aggregate principal amount of the 2025 Notes, including accrued and unpaid interest, in privately negotiated transactions. In connection with the partial retirement of the 2025 Notes, we entered into a termination agreement relating to a number of options corresponding to the number of 2025 Notes retired. We received approximately $54.7 million in connection with such termination agreements. In addition, we may from time to time seek to retire or purchase the 2029 Notes, through cash purchases and/or exchanges for equity securities, in open market purchases, privately negotiated transactions or otherwise.</w:t>
      </w:r>
    </w:p>
    <w:p>
      <w:pPr>
        <w:spacing w:after="0" w:line="18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2025 Notes matured on June 15, 2025. During the period from April 1, 2025 through the close of business on June 12, 2025, holders of the 2025 Notes elected to convert all outstanding aggregate principal amount of 2025 Notes in accordance with the terms of the indenture governing the 2025 Notes. We settled these conversions with aggregate cash payments totaling approximately $634.1 million and the issuance of approximately 1,354,569 shares of our Class A common stock. In June 2025,</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5" w:right="339" w:bottom="1440" w:gutter="0" w:footer="0" w:header="0"/>
        </w:sectPr>
      </w:pPr>
    </w:p>
    <w:bookmarkStart w:id="34" w:name="page35"/>
    <w:bookmarkEnd w:id="34"/>
    <w:p>
      <w:pPr>
        <w:jc w:val="both"/>
        <w:spacing w:after="0" w:line="282" w:lineRule="auto"/>
        <w:rPr>
          <w:sz w:val="20"/>
          <w:szCs w:val="20"/>
          <w:color w:val="auto"/>
        </w:rPr>
      </w:pPr>
      <w:r>
        <w:rPr>
          <w:rFonts w:ascii="Times New Roman" w:cs="Times New Roman" w:eastAsia="Times New Roman" w:hAnsi="Times New Roman"/>
          <w:sz w:val="18"/>
          <w:szCs w:val="18"/>
          <w:color w:val="auto"/>
        </w:rPr>
        <w:t>we received approximately 1,360,738 million shares of Class A common stock from the settlement of the capped call transactions we entered into in connection with the issuance of the 2025 Notes with the relevant option counterparties, which we retired.</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2025, there have been no material changes outside the ordinary course of business to our contractual obligations and commitments, as disclosed in Part II, Item 7, “Management’s Discussion and Analysis of Financial Condition and Results of Operations” of the Annual Report.</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periods presented:</w:t>
      </w:r>
    </w:p>
    <w:p>
      <w:pPr>
        <w:spacing w:after="0" w:line="130"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8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7"/>
                <w:szCs w:val="17"/>
                <w:color w:val="auto"/>
              </w:rPr>
            </w:pPr>
          </w:p>
        </w:tc>
      </w:tr>
      <w:tr>
        <w:trPr>
          <w:trHeight w:val="23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center"/>
              <w:ind w:left="157"/>
              <w:spacing w:after="0"/>
              <w:rPr>
                <w:sz w:val="20"/>
                <w:szCs w:val="20"/>
                <w:color w:val="auto"/>
              </w:rPr>
            </w:pPr>
            <w:r>
              <w:rPr>
                <w:rFonts w:ascii="Times New Roman" w:cs="Times New Roman" w:eastAsia="Times New Roman" w:hAnsi="Times New Roman"/>
                <w:sz w:val="18"/>
                <w:szCs w:val="18"/>
                <w:color w:val="auto"/>
                <w:w w:val="99"/>
              </w:rPr>
              <w:t>471,596</w:t>
            </w:r>
          </w:p>
        </w:tc>
        <w:tc>
          <w:tcPr>
            <w:tcW w:w="5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376,694</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320" w:type="dxa"/>
            <w:vAlign w:val="bottom"/>
          </w:tcPr>
          <w:p>
            <w:pPr>
              <w:spacing w:after="0"/>
              <w:rPr>
                <w:sz w:val="19"/>
                <w:szCs w:val="19"/>
                <w:color w:val="auto"/>
              </w:rPr>
            </w:pPr>
          </w:p>
        </w:tc>
        <w:tc>
          <w:tcPr>
            <w:tcW w:w="1060" w:type="dxa"/>
            <w:vAlign w:val="bottom"/>
          </w:tcPr>
          <w:p>
            <w:pPr>
              <w:jc w:val="center"/>
              <w:ind w:left="117"/>
              <w:spacing w:after="0"/>
              <w:rPr>
                <w:sz w:val="20"/>
                <w:szCs w:val="20"/>
                <w:color w:val="auto"/>
              </w:rPr>
            </w:pPr>
            <w:r>
              <w:rPr>
                <w:rFonts w:ascii="Times New Roman" w:cs="Times New Roman" w:eastAsia="Times New Roman" w:hAnsi="Times New Roman"/>
                <w:sz w:val="18"/>
                <w:szCs w:val="18"/>
                <w:color w:val="auto"/>
                <w:w w:val="99"/>
              </w:rPr>
              <w:t>(634,475)</w:t>
            </w: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(320,919)</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provided by financing activities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117"/>
              <w:spacing w:after="0"/>
              <w:rPr>
                <w:sz w:val="20"/>
                <w:szCs w:val="20"/>
                <w:color w:val="auto"/>
              </w:rPr>
            </w:pPr>
            <w:r>
              <w:rPr>
                <w:rFonts w:ascii="Times New Roman" w:cs="Times New Roman" w:eastAsia="Times New Roman" w:hAnsi="Times New Roman"/>
                <w:sz w:val="18"/>
                <w:szCs w:val="18"/>
                <w:color w:val="auto"/>
                <w:w w:val="99"/>
              </w:rPr>
              <w:t>(603,801)</w:t>
            </w: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26,426</w:t>
            </w:r>
          </w:p>
        </w:tc>
      </w:tr>
    </w:tbl>
    <w:p>
      <w:pPr>
        <w:spacing w:after="0" w:line="2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for the six months ended June 30, 2025 increased by $94.9 million compared to the six months ended June 30, 2024, primarily driven by an increase in non-cash charges of $93.6 million and an increase in accounts payable of $54.1 million due to the timing of invoices received and paid. The increase in non-cash charges related primarily to an increase of $75.0 million in stock-based compensation as we continued to increase headcount to support the growth of the business. The increase in cash provided by operating activities was partially offset by a decrease in net income of $59.2 million.</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for the six months ended June 30, 2025 increased by $313.6 million compared to the six months ended June 30, 2024, primarily driven by an increase of $481.5 million in the purchases of marketable securities and an increase of $116.6 million in cash paid for the acquisition of businesses net of cash acquired. The increase in cash used in investing activities was partially offset by an increase of $287.1 million in proceeds from maturities of marketable securities.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Net cash (used in) provided by financing activities for the six months ended June 30, 2025 decreased $630.2 million compared to the six months ended June 30, 2024, primarily due to the repayment of the 2025 Notes for $635.5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Free Cash Flow</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report our financial results in accordance with GAAP. To supplement our condensed consolidated financial statements, we provide investors with the amount of free cash flow, which is a non-GAAP financial measure. Free cash flow represents net cash provided by operating activities, reduced by capital expenditures and capitalized software development costs, if any. Free cash flow is a measure used by management to understand and evaluate the strength of our liquidity and future ability to generate cash that can be used for strategic opportunities or investing in our business. The reduction of capital expenditures and amounts capitalized for software development facilitates comparisons of our liquidity on a period-to-period basis and excludes items that we do not consider to be indicative of our liquidity. Nevertheless, our use of free cash flow has limitations as an analytical tool, and you should not consider it in isolation or as a substitute for analysis of our financial results as reported under GAAP. Further, our definition of free cash flow may differ from the definitions used by other companies and therefore comparability may be limited. You should consider free cash flow alongside our other GAAP-based financial performance measures, such as net cash used in operating activities, and our other GAAP financial results.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5" w:name="page36"/>
    <w:bookmarkEnd w:id="35"/>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free cash flow to net cash provided by operating activities, the most directly comparable financial measure calculated in accordance with GAAP, for each of the periods indicated:</w:t>
      </w:r>
    </w:p>
    <w:p>
      <w:pPr>
        <w:spacing w:after="0" w:line="6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8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7"/>
                <w:szCs w:val="17"/>
                <w:color w:val="auto"/>
              </w:rPr>
            </w:pPr>
          </w:p>
        </w:tc>
      </w:tr>
      <w:tr>
        <w:trPr>
          <w:trHeight w:val="23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471,596</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376,694</w:t>
            </w:r>
          </w:p>
        </w:tc>
      </w:tr>
      <w:tr>
        <w:trPr>
          <w:trHeight w:val="229"/>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Less: Purchases of property and equipment</w:t>
            </w:r>
          </w:p>
        </w:tc>
        <w:tc>
          <w:tcPr>
            <w:tcW w:w="320" w:type="dxa"/>
            <w:vAlign w:val="bottom"/>
          </w:tcPr>
          <w:p>
            <w:pPr>
              <w:spacing w:after="0"/>
              <w:rPr>
                <w:sz w:val="19"/>
                <w:szCs w:val="19"/>
                <w:color w:val="auto"/>
              </w:rPr>
            </w:pPr>
          </w:p>
        </w:tc>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(23,900)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(18,573)</w:t>
            </w:r>
          </w:p>
        </w:tc>
      </w:tr>
      <w:tr>
        <w:trPr>
          <w:trHeight w:val="22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Capitalized software development costs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(37,952)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(27,594)</w:t>
            </w: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409,744</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330,527</w:t>
            </w:r>
          </w:p>
        </w:tc>
      </w:tr>
      <w:tr>
        <w:trPr>
          <w:trHeight w:val="20"/>
        </w:trPr>
        <w:tc>
          <w:tcPr>
            <w:tcW w:w="8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GAAP. The preparation of these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from those disclosed in Part II, Item 7, “Management’s Discussion and Analysis of Financial Condition and Results of Operations” of the Annual Report, except as noted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Accounting Estimate</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January 2025, we completed an assessment of the useful life of our capitalized software development costs, resulting in an increase in the estimated useful life of capitalized software development costs from two to three years. This change in accounting estimate was effective beginning fiscal year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7"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Basis of Presentation and Summary of Significant Accounting Policies</w:t>
      </w:r>
      <w:r>
        <w:rPr>
          <w:rFonts w:ascii="Times New Roman" w:cs="Times New Roman" w:eastAsia="Times New Roman" w:hAnsi="Times New Roman"/>
          <w:sz w:val="18"/>
          <w:szCs w:val="18"/>
          <w:color w:val="auto"/>
        </w:rPr>
        <w:t>, in our Notes to Unaudited Condensed Consolidated Financial Statements included in Part I, Item 1 of this Quarterly Report on Form 10-Q for a discussion of recent accounting pronouncements.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As of June 30, 2025, we had $439.5 million in cash equivalents and $3.4 billion in marketable securities, </w:t>
      </w:r>
      <w:r>
        <w:rPr>
          <w:rFonts w:ascii="Times New Roman" w:cs="Times New Roman" w:eastAsia="Times New Roman" w:hAnsi="Times New Roman"/>
          <w:sz w:val="18"/>
          <w:szCs w:val="18"/>
          <w:color w:val="333333"/>
        </w:rPr>
        <w:t>which consisted</w:t>
      </w:r>
      <w:r>
        <w:rPr>
          <w:rFonts w:ascii="Times New Roman" w:cs="Times New Roman" w:eastAsia="Times New Roman" w:hAnsi="Times New Roman"/>
          <w:sz w:val="18"/>
          <w:szCs w:val="18"/>
          <w:color w:val="auto"/>
        </w:rPr>
        <w:t xml:space="preserve"> of commercial debt, commercial paper, U.S. government treasury securities, certificates of deposit, and U.S. government agency securities</w:t>
      </w:r>
      <w:r>
        <w:rPr>
          <w:rFonts w:ascii="Times New Roman" w:cs="Times New Roman" w:eastAsia="Times New Roman" w:hAnsi="Times New Roman"/>
          <w:sz w:val="18"/>
          <w:szCs w:val="18"/>
          <w:color w:val="333333"/>
        </w:rPr>
        <w:t>.</w:t>
      </w:r>
      <w:r>
        <w:rPr>
          <w:rFonts w:ascii="Times New Roman" w:cs="Times New Roman" w:eastAsia="Times New Roman" w:hAnsi="Times New Roman"/>
          <w:sz w:val="18"/>
          <w:szCs w:val="18"/>
          <w:color w:val="auto"/>
        </w:rPr>
        <w:t xml:space="preserve"> Our cash and cash equivalents are held for working capital purposes. We do not enter into investments for trading or speculative purposes. </w:t>
      </w:r>
      <w:r>
        <w:rPr>
          <w:rFonts w:ascii="Times New Roman" w:cs="Times New Roman" w:eastAsia="Times New Roman" w:hAnsi="Times New Roman"/>
          <w:sz w:val="18"/>
          <w:szCs w:val="18"/>
          <w:color w:val="333333"/>
        </w:rPr>
        <w:t>Our investments are exposed to market risk due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 xml:space="preserve">a fluctuation in interest rates, which may affect our interest income and the fair market value of our investments. </w:t>
      </w:r>
      <w:r>
        <w:rPr>
          <w:rFonts w:ascii="Times New Roman" w:cs="Times New Roman" w:eastAsia="Times New Roman" w:hAnsi="Times New Roman"/>
          <w:sz w:val="18"/>
          <w:szCs w:val="18"/>
          <w:color w:val="000000"/>
        </w:rPr>
        <w:t>As of June 30, 2025, a hypothetical 10%</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relative change in interest rates would not have a material impact on our condensed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reporting currency and the functional currency of our wholly-owned foreign subsidiaries is the U.S. dollar. All of our sales are denominated in U.S. dollars, and therefore our revenue is not currently subject to significant foreign currency risk. Our operating expenses are denominated in the currencies of the countries in which our operations are located, which are primarily in the United States, France, Ireland, and the United Kingdom. Our consolidated results of operations and cash flows are, therefore, subject to fluctuations due to changes in foreign currency exchange rates and may be adversely affected in the</w:t>
      </w:r>
    </w:p>
    <w:p>
      <w:pPr>
        <w:sectPr>
          <w:pgSz w:w="11900" w:h="16838" w:orient="portrait"/>
          <w:cols w:equalWidth="0" w:num="1">
            <w:col w:w="11240"/>
          </w:cols>
          <w:pgMar w:left="320" w:top="1309"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36" w:name="page37"/>
    <w:bookmarkEnd w:id="36"/>
    <w:p>
      <w:pPr>
        <w:jc w:val="both"/>
        <w:spacing w:after="0" w:line="266" w:lineRule="auto"/>
        <w:rPr>
          <w:sz w:val="20"/>
          <w:szCs w:val="20"/>
          <w:color w:val="auto"/>
        </w:rPr>
      </w:pPr>
      <w:r>
        <w:rPr>
          <w:rFonts w:ascii="Times New Roman" w:cs="Times New Roman" w:eastAsia="Times New Roman" w:hAnsi="Times New Roman"/>
          <w:sz w:val="18"/>
          <w:szCs w:val="18"/>
          <w:color w:val="auto"/>
        </w:rPr>
        <w:t>future due to changes in foreign exchange rates. To date, we have not entered into any hedging arrangements with respect to foreign currency risk or other derivative financial instruments, although we may choose to do so in the future. A hypothetical 10% increase or decrease in the relative value of the U.S. dollar to other currencies would not have a material effect on our operating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evaluated the effectiveness of our disclosure controls and procedures as of June 30, 2025. Based on the evaluation of our disclosure controls and procedures as of June 30, 2025, our Chief Executive Officer and Chief Financial Officer concluded that, as of such date, our disclosure controls and procedures were effective at the reasonable assurance level.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identified in connection with the evaluation required by Rule 13a-15(d) and 15d-15(d) of the Exchange Act that occurred during the period covered by this Quarterly Report on Form 10-Q that has materially affected, or is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or be subject to claims arising in the ordinary course of our business. We are not presently a party to any legal proceedings that, if determined adversely to us, would individually or taken together have a material adverse effect on our business, operating results, cash flows or financial condition. Defending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Our operations and financial results are subject to various risks and uncertainties including those described below. You should consider carefully the risks and uncertainties described below, in addition to other information contained in this Quarterly Report on Form 10-Q, including our condensed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Class A common stock could decline.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is a summary of the principal risks associated with an investment in our Class A common stock:</w:t>
      </w:r>
    </w:p>
    <w:p>
      <w:pPr>
        <w:spacing w:after="0" w:line="117" w:lineRule="exact"/>
        <w:rPr>
          <w:sz w:val="20"/>
          <w:szCs w:val="20"/>
          <w:color w:val="auto"/>
        </w:rPr>
      </w:pPr>
    </w:p>
    <w:p>
      <w:pPr>
        <w:ind w:left="980" w:hanging="486"/>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conditions in our industry or the global economy, or reductions in information technology spending, could limit our ability to grow our business and negatively affect our results of operations.</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recent rapid growth may not be indicative of our future growth. Our rapid growth also makes it difficult to evaluate our future prospects and may increase the risk that we will not be successful.</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operating losses and may not achieve or sustain profitability in the future.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which makes it difficult to forecast our future results of operations.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require additional capital to support the growth of our business, and this capital might not be available on acceptable terms, if at all.</w:t>
      </w:r>
    </w:p>
    <w:p>
      <w:pPr>
        <w:spacing w:after="0" w:line="117"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our existing customers purchasing additional subscriptions and products from us and renewing their subscriptions. If our customers do not renew or expand their subscriptions with us, or decrease their spend on our products, our future operating results would be harmed.</w:t>
      </w:r>
    </w:p>
    <w:p>
      <w:pPr>
        <w:spacing w:after="0" w:line="6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new customers, our business, financial condition and results of operations will be adversely affected.</w:t>
      </w:r>
    </w:p>
    <w:p>
      <w:pPr>
        <w:spacing w:after="0" w:line="117"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develop and expand our sales and marketing capabilities could harm our ability to increase our customer base and achieve broader market acceptance of our products.</w:t>
      </w:r>
    </w:p>
    <w:p>
      <w:pPr>
        <w:spacing w:after="0" w:line="53" w:lineRule="exact"/>
        <w:rPr>
          <w:rFonts w:ascii="Times New Roman" w:cs="Times New Roman" w:eastAsia="Times New Roman" w:hAnsi="Times New Roman"/>
          <w:sz w:val="18"/>
          <w:szCs w:val="18"/>
          <w:color w:val="auto"/>
        </w:rPr>
      </w:pPr>
    </w:p>
    <w:p>
      <w:pPr>
        <w:jc w:val="both"/>
        <w:ind w:left="980" w:hanging="486"/>
        <w:spacing w:after="0" w:line="261"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third-party service providers experience, or are unable to protect against cyber-attacks, ransomware, security incidents, or security breaches, or if unauthorized parties otherwise obtain access to our customers’ data, our data, or our platform and information technology systems, then our solution may be perceived as not being secure, our reputation may be harmed, demand for our platform and products may be reduced, and we may incur significant liabilities or additional expenses.</w:t>
      </w:r>
    </w:p>
    <w:p>
      <w:pPr>
        <w:spacing w:after="0" w:line="71"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performance problems associated with our products and platform capabilities may adversely affect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manage our growth, and if we are not able to grow efficiently, our business, financial condition and results of operations could be harmed.</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adapt and respond effectively to rapidly changing technology, evolving industry standards, changing regulations, or to changing customer needs, requirements or preferences, our platform and products may become less competitive.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8" w:name="page39"/>
    <w:bookmarkEnd w:id="38"/>
    <w:p>
      <w:pPr>
        <w:ind w:left="980" w:hanging="486"/>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in which we participate are competitive, and if we do not compete effectively, our business, financial condition and results of operations could be harmed.</w:t>
      </w:r>
    </w:p>
    <w:p>
      <w:pPr>
        <w:spacing w:after="0" w:line="53"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third-party service providers are subject to stringent and changing laws, regulations standards, and contractual obligations related to data privacy and security. Actual or perceived failure by us or our third-party service providers to comply with such laws, regulations, standards, or contractual obligations could harm our business.</w:t>
      </w:r>
    </w:p>
    <w:p>
      <w:pPr>
        <w:spacing w:after="0" w:line="67"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has the effect of concentrating voting control with holders of our Class B common stock, including our executive officers, directors and their affiliates, which will limit the ability of holders of our Class A common stock to influence the outcome of important transactions.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our Growth</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conditions in our industry or the global economy, or reductions in information technology spending, could limit our ability to grow our business and negatively affect our results of operations.</w:t>
      </w:r>
    </w:p>
    <w:p>
      <w:pPr>
        <w:spacing w:after="0" w:line="15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Our results of operations may vary based on the impact of unfavorable changes in our industry or the global economy on us or our customers and potential customers. Unfavorable conditions in the economy both in the United States and abroad, including conditions resulting from changes in gross domestic product growth in the United States or abroad, changes in trade policies, such as trade wars, tariffs or other trade restrictions or the threat of such actions, financial and credit market fluctuations, fluctuating inflation and interest rates, international trade relations, political turmoil, natural catastrophes, outbreaks of contagious diseases, warfare and terrorist attacks on the United States, Europe, the Asia Pacific region or elsewhere, such as the conflicts in Ukraine and the Middle East, could cause a decrease in business investments, including spending on information technology, disrupt the timing and cadence of key industry events, and negatively affect the growth of our business and our results of operations. Such catastrophic and disruptive events have and may adversely affect workforces, economies and financial markets globally, leading to a reduction in the ability of, or the inability of, customers, partners, suppliers, vendors or other parties to meet their contractual obligations, and for a period of time, a reduction in customer spending on technology, and such conditions have and may reoccur in the future. For instance, there is currently significant uncertainty about trade policies, treaties, tariffs and taxes. Even in the absence of tariffs or other trade restrictions, the related uncertainty with respect to international trade may lead to continuing volatility in U.S. and global financial and economic conditions and commodity markets, declining consumer confidence, significant inflation and diminished expectations for the economy, and ultimately reduced usage and demand for our products. The war in Ukraine, conflicts in the Middle East and related political and economic responses such as sanctions imposed on Russia, may also exacerbate these issues and trends especially in these regions. In addition interest rates remain elevated, which may dampen economic growth and cause companies to moderate spending on information technology. These types of unfavorable conditions could disrupt the timing of and attendance at key industry events, which we rely upon in part to generate sales of our products. If those events are disrupted, our marketing investments, sales pipeline and ability to generate new customers and sales of our products could be negatively and adversely affected. Our competitors, many of which are larger and have greater financial resources than we do, may respond to challenging market conditions by lowering prices in an attempt to attract our customers and may be less dependent on key industry events to generate sales for their products. The increased pace of consolidation in certain industries may result in reduced overall spending on our products and solutions. We cannot predict the timing, strength, or duration of any economic slowdown, instability, or recovery, generally or how any such event may impact our business.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recent rapid growth may not be indicative of our future growth. Our rapid growth also makes it difficult to evaluate our future prospects and may increase the risk that we will not be successful.</w:t>
      </w:r>
    </w:p>
    <w:p>
      <w:pPr>
        <w:spacing w:after="0" w:line="15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revenue was $1,588.3 million and $1,256.5 million for the six months ended June 30, 2025 and 2024, respectively. You should not rely on the revenue growth of any prior quarterly or annual period as an indication of our future performance. Even if our revenue continues to increase, we expect that our revenue growth rate will decline in the future as a result of a variety of factors, including the maturation of our business. Overall growth of our revenue depends on a number of factors, including our ability to:</w:t>
      </w:r>
    </w:p>
    <w:p>
      <w:pPr>
        <w:spacing w:after="0" w:line="72" w:lineRule="exact"/>
        <w:rPr>
          <w:sz w:val="20"/>
          <w:szCs w:val="20"/>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our products effectively so that we are able to attract new customers and expand sales to our existing customers;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the functionality and use cases for the products we offer on our platform;</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expand the rates at which customers purchase and renew subscriptions to our platform;</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our customers with support that meets their needs;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9" w:name="page40"/>
    <w:bookmarkEnd w:id="39"/>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introduce our products to new markets outside of the United States;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identify and acquire or invest in businesses, products or technologies that we believe could complement or expand our platform; and</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awareness of our brand on a global basis and successfully compete with other companies.</w:t>
      </w:r>
    </w:p>
    <w:p>
      <w:pPr>
        <w:spacing w:after="0" w:line="2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may not successfully accomplish any of these objectives, and as a result, it is difficult for us to forecast our future results of operations. If the assumptions that we use to plan our business are incorrect or change in reaction to changes in our market, or if we are unable to maintain consistent revenue or revenue growth, our stock price could be volatile, and it may be difficult to achieve and maintain profitability. You should not rely on our revenue for any prior quarterly or annual periods as any indication of our future revenue or revenue growth.</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addition, we expect to continue to expend substantial financial and other resources on:</w:t>
      </w:r>
    </w:p>
    <w:p>
      <w:pPr>
        <w:spacing w:after="0" w:line="117" w:lineRule="exact"/>
        <w:rPr>
          <w:sz w:val="20"/>
          <w:szCs w:val="20"/>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technology infrastructure, including systems architecture, scalability, availability, performance and security;</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and marketing organization to engage our existing and prospective customers, increase brand awareness and drive adoption of our products;</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development, including investments in our product development team and the development of new products and new functionality for our platform as well as investments in further optimizing our existing products and infrastructure;</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or strategic investments;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expansion;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administration.</w:t>
      </w:r>
    </w:p>
    <w:p>
      <w:pPr>
        <w:spacing w:after="0" w:line="2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These investments may not result in increased revenue growth in our business. Additionally, we may encounter unforeseen operating expenses, difficulties, complications, delays, and other unknown factors that may result in losses in future periods. In future periods if our revenue growth does not meet our expectations or increase at a rate sufficient to offset the expected increase in our costs, our business, financial position and results of operations may be harmed, and we may not maintain profitability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may not sustain profitability in the future.</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Prior to the year ended December 31, 2023, we incurred net losses in each fiscal year since our inception, including a net loss of $(50.2) million in the year ended December 31, 2022. While we have experienced significant revenue growth in recent periods and periods of profitability, we are not certain whether or when we will obtain a high enough volume of sales to sustain or increase our growth or maintain profitability in the future. We also expect our costs and expenses to increase in future periods, which could negatively affect our future results of operations if our revenue does not increase. In particular, we intend to continue to expend significant funds to further develop our platform, including by introducing new products and functionality, and to expand our inside and field sales teams and customer success team to drive new customer adoption, expand use cases and integrations, and support international expansion. We will also face increased compliance costs associated with growth and the expansion of our customer base. Our efforts to grow our business may be costlier than we expect, or the rate of our growth in revenue may be slower than we expect, and we may not be able to increase our revenue enough to offset our increased operating expenses. We may incur significant losses in the future for a number of reasons, including the other risks described herein, and unforeseen expenses, difficulties, complications or delays, and other unknown events. If we are unable to sustain profitability, the value of our business and Class A common stock may significantly decrease.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at our current scale, which makes it difficult to forecast our future results of operations.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As a result of our limited operating history at our current scale and the introduction of several new products in recent years, our ability to accurately forecast our future results of operations is limited and subject to a number of uncertainties, including our ability to plan for and model future growth. Our historical revenue growth should not be considered indicative of our future performance. Further, in future periods, our revenue growth could slow or our revenue could decline for a number of reasons, including slowing demand for our products, increasing competition, changes to technology, a decrease in the growth of our overall market, or our failure, for any reason, to continue to take advantage of growth opportunities. We have also encountered, and will continue to encounter, risks and uncertainties frequently experienced by growing companies in rapidly changing industries, such as the risks and uncertainties described herein. If our assumptions regarding these risks and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0" w:name="page41"/>
    <w:bookmarkEnd w:id="40"/>
    <w:p>
      <w:pPr>
        <w:jc w:val="both"/>
        <w:spacing w:after="0" w:line="282" w:lineRule="auto"/>
        <w:rPr>
          <w:sz w:val="20"/>
          <w:szCs w:val="20"/>
          <w:color w:val="auto"/>
        </w:rPr>
      </w:pPr>
      <w:r>
        <w:rPr>
          <w:rFonts w:ascii="Times New Roman" w:cs="Times New Roman" w:eastAsia="Times New Roman" w:hAnsi="Times New Roman"/>
          <w:sz w:val="18"/>
          <w:szCs w:val="18"/>
          <w:color w:val="auto"/>
        </w:rPr>
        <w:t>uncertainties and our future revenue growth are incorrect or change, or if we do not address these risks successfully, our operating and financial results could differ materially from our expectations, and our business could suffer.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the growth of our business, and this capital might not be available on acceptable terms, if at all.</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have funded our operations since inception primarily through equity and debt financings and sales of our products. We cannot be certain if our operations will continue to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on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 See also "Risks Related to Our Outstanding Notes."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and Operational Risks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existing customers purchasing additional subscriptions and products from us and renewing their subscriptions. If our customers do not renew or expand their subscriptions with us, or decrease their spend on our products, our future operating results would be harmed.</w:t>
      </w:r>
    </w:p>
    <w:p>
      <w:pPr>
        <w:spacing w:after="0" w:line="15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Our future success depends in part on our ability to sell additional subscriptions and products to our existing customers, and our customers renewing their subscriptions when the contract term expires. The terms of our subscription agreements are primarily monthly or annual, with some quarterly, semiannual and multi-year. Our customers have no obligation to renew their subscriptions for our products after the expiration of their subscription period. In order for us to maintain or improve our results of operations, it is important that our customers renew or expand their subscriptions with us. Whether our customers renew or expand their subscriptions with us may be impacted by a number of factors, including business strength or weakness of our customers, customer usage, customer satisfaction with our products and platform capabilities and customer support, our prices, the capabilities and prices of competing products, mergers and acquisitions affecting our customer base, consolidation of affiliates’ multiple paid business accounts into a single paid business account, or reductions in our customers’ spending on IT solutions or their spending levels generally. These factors may be exacerbated by unfavorable conditions in the economy, see “Risks Associated with our Growth—Unfavorable conditions in our industry or the global economy, or reductions in information technology spending, could limit our ability to grow our business and negatively affect our results of operations” above. These factors may also be exacerbated if, consistent with our growth strategy, our customer base continues to grow to encompass larger enterprises, which may also require more sophisticated and costly sales efforts. Certain customers and cohorts of customers in specific industries have or in the future may increase usage of our product and then seek to optimize their usage, renew their subscriptions on terms less favorable to us, or not renew their subscriptions, which may result in revenue volatility. For example, in prior periods customers in our cloud-native cohort, and more recently larger customers in our AI-native cohort, which cohort includes our largest customer and represented approximately ten percentage points of our year-over-year revenue growth for the quarter ended June 30, 2025, have rapidly increased their usage of our product and then optimized or may in the future optimize their usage or fail to renew their subscriptions. If our customers do not purchase additional subscriptions and products from us, reduce their usage, fail to renew their subscriptions or renew on different terms, our revenue and dollar-based net retention may decline and our business, financial condition and results of operations may be harmed.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new customers, our business, financial condition and results of operations will be adversely affected.</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To increase our revenue, we must continue to attract new customers. Our success will depend to a substantial extent on the widespread adoption of our platform and products as an alternative to existing solutions. Many enterprises have invested substantial personnel and financial resources to integrate traditional on-premise architectures into their businesses and, therefore, may be reluctant or unwilling to migrate to cloud computing. Further, the adoption of SaaS business software may be slower in industries with heightened data security interests or business practices requiring highly-customizable application software. In addition, as our market matures, our products evolve, and competitors introduce lower cost or differentiated products that are perceived to compete with our platform and products, our ability to sell subscriptions for our products could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1" w:name="page42"/>
    <w:bookmarkEnd w:id="41"/>
    <w:p>
      <w:pPr>
        <w:jc w:val="both"/>
        <w:spacing w:after="0" w:line="261" w:lineRule="auto"/>
        <w:rPr>
          <w:sz w:val="20"/>
          <w:szCs w:val="20"/>
          <w:color w:val="auto"/>
        </w:rPr>
      </w:pPr>
      <w:r>
        <w:rPr>
          <w:rFonts w:ascii="Times New Roman" w:cs="Times New Roman" w:eastAsia="Times New Roman" w:hAnsi="Times New Roman"/>
          <w:sz w:val="18"/>
          <w:szCs w:val="18"/>
          <w:color w:val="auto"/>
        </w:rPr>
        <w:t>be impaired. Similarly, our subscription sales could be adversely affected if customers or users within these organizations perceive that features incorporated into competitive products reduce the need for our products or if they prefer to purchase other products that are bundled with solutions offered by other companies that operate in adjacent markets and compete with our products. As a result of these and other factors, we may be unable to attract new customers, which may have an adverse effect on our business, financial condition and results of operations.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expand our sales and marketing capabilities could harm our ability to increase our customer base and achieve broader market acceptance of our products.</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ability to increase our customer base and achieve broader market acceptance of our products and platform capabilities will depend to a significant extent on our ability to expand our sales and marketing organization. We plan to continue expanding our direct sales force, both domestically and internationally. We also plan to dedicate significant resources to sales and marketing programs. All of these efforts will require us to invest significant financial and other resources, including in channels in which we have limited or no experience to date. Our business and results of operations will be harmed if our sales and marketing efforts do not generate significant increases in revenue or increases in revenue that are smaller than anticipated. We may not achieve anticipated revenue growth from expanding our sales force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or the third-parties with whom we work experience, or are unable to protect against cyber-attacks, ransomware, security incidents, or security breaches, or if unauthorized parties otherwise obtain access to or otherwise compromise our customers’ data, our data, or our platform and information technology systems, then our solution may be perceived as not being secure, our reputation may be harmed, demand for our platform and products may be reduced, and we may incur significant liabilities or additional expenses.</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collect, receive, store, process, generate, use, transfer, disclose, make accessible, protect, secure, dispose of and share personal, confidential and proprietary information and other information (collectively, sensitive information) necessary to provide our services, to operate our business, for legal and marketing purposes, and for other business-related purposes.</w:t>
      </w:r>
    </w:p>
    <w:p>
      <w:pPr>
        <w:spacing w:after="0" w:line="17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platform and products involve the storage and transmission of data, including personal information, and security breaches or unauthorized access to our platform and products, or those of the third-parties with whom we work, could result in the unauthorized, unlawful, or accidental acquisition, modification, destruction, loss, alteration, encryption, disclosure of, or access to sensitive information including our customers’ data. Consequently, we may be subject to significant litigation, indemnity obligations, fines, penalties, disputes, investigations and other liabilities. We have previously and may in the future become the target of cyber-attacks by third parties, including without limitation nation-state actors, seeking to gain unauthorized access to and exfiltrate our or our customers’ data, including confidential and personal information, or to disrupt our ability to provide our services. In addition, many of our employees work remotely and utilize network connections, computers and devices outside our premises or network, which may pose additional data security risks (including, for example, the increasing number of phishing and malicious emails we continue to receive). The reliability and continuous availability of our platform is critical to our success.</w:t>
      </w:r>
    </w:p>
    <w:p>
      <w:pPr>
        <w:spacing w:after="0" w:line="188"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use third-parties, including sub-processors, to help us deliver services to our customers. These vendors, such as cloud infrastructure providers, store or process personal and confidential information for us or our customers. We use third-party technology, systems and services in a variety of contexts, including, without limitation, cloud infrastructure, encryption and authentication technology, employee email, content delivery to customers, back-office support, credit card processing and other functions. While we have taken steps designed to protect the confidential and personal information that we have access to, our security measures or those of the third-parties with whom we work that store or otherwise process certain of our and our customers’ data on our behalf could be breached or we could suffer a loss of our or our customers’ data. Our ability to monitor these third-parties’ data security is limited, and they may not have adequate information security measures in place. Cyber-attacks, computer malware, viruses, employee mistakes or malfeasance, social engineering (including through deep fakes and spear phishing), malicious code, denial-of-service attacks, credential harvesting and general hacking have become more prevalent in our industry, particularly against cloud services, and have become enhanced or facilitated by artificial intelligence. Ransomware attacks, including those from organized criminal threat actors, nation-states and nation-state supported actors, are prevalent and can lead to significant interruptions, delays, or outages in our operations, loss of data (including customer data), loss of income, significant extra expenses to restore data or systems, reputational loss and the diversion of funds. To alleviate the financial, operational and reputational impact of a ransomware attack it may be preferable to make extortion payments, but we may be unwilling or unable to do so (including, for example, if applicable laws or regulations prohibit such payments). Similarly, supply chain attacks have increased in frequency and severity, and we cannot guarantee that third parties and infrastructure in our supply chain have not been compromised or that they do not contain exploitable defects or bugs that could</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result in a breach of or disruption to our platform, systems and networks or the systems and networks of third parties that support us and our services.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Despite the security controls we have in place, such attacks are very difficult to avoid.</w:t>
      </w:r>
    </w:p>
    <w:p>
      <w:pPr>
        <w:spacing w:after="0" w:line="20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There can be no assurance that any security measures that we or the third-parties with whom we work have implemented will be effective against current or future security threats. While we have developed systems and processes designed to protect the integrity, confidentiality, and security of our and our customers’ data, our security measures or those of the third-parties with whom we work could fail and result in unauthorized access to or disclosure, modification, misuse, loss or destruction of such data.</w:t>
      </w:r>
    </w:p>
    <w:p>
      <w:pPr>
        <w:spacing w:after="0" w:line="18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Third parties may also conduct attacks designed to temporarily deny customers access to our cloud services. Any security breach or other security incident, or the perception that one has occurred, could result in a loss of customer confidence in the security of our platform and damage to our brand, reduce the demand for our products, disrupt normal business operations, require us to spend material resources to investigate or correct the breach and to prevent future security breaches and incidents, expose us to legal liabilities, including litigation, regulatory enforcement, and indemnity obligations, and adversely affect our business, financial condition and results of operations. These risks are likely to increase as we continue to grow and process, store, and transmit increasingly large amounts of data.</w:t>
      </w:r>
    </w:p>
    <w:p>
      <w:pPr>
        <w:spacing w:after="0" w:line="18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addition, we do not directly control content that our customers store in our products. If our customers use our products for the collection, transmission or storage of personal information and our security measures are or are believed to have been breached as a result of third-party action, employee error, malfeasance or otherwise, our reputation could be damaged, our business may suffer, and we could incur significant liability. Our remediation efforts may not be successful. We employ a shared responsibility model where our customers are responsible for using, configuring, and otherwise implementing security measures related to our platform, services, and products. As part of this shared responsibility security model, we make certain security features available to our customers that can be implemented at our customers’ discretion, or identify security areas or measures for which our customers are responsible. In certain cases our customers may choose not to implement, or may incorrectly implement, those features or measures, misuse our services, or otherwise experience their own vulnerabilities, policy violations, credential exposure, or security incidents. Even if we are not the cause of a resulting customer security issue or incident, our customer relationships, reputation, and business may be adversely impacted.</w:t>
      </w:r>
    </w:p>
    <w:p>
      <w:pPr>
        <w:spacing w:after="0" w:line="18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also process, store and transmit our own data as part of our business and operations. This data includes personal, confidential or proprietary information. We may expend significant resources, fundamentally change our business activities and practices, or modify our operations or information technology in an effort to protect against security incidents and to mitigate, detect, and remediate actual and potential vulnerabilities.</w:t>
      </w:r>
    </w:p>
    <w:p>
      <w:pPr>
        <w:spacing w:after="0" w:line="176"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take steps designed to detect, mitigate, and remediate vulnerabilities in our information systems (such as our hardware and/or software, including that of third parties with whom we work). We may not, however, detect and remediate all such vulnerabilities on a timely basis. Among other things, our applications, systems, networks, software, other computer assets and physical facilities could be breached or could otherwise malfunction or fail, or the sensitive information that we store could be otherwise compromised due to employee error or malfeasance, if, for example, third parties fraudulently induce our employees or our members to disclose information or user names and/or passwords, or otherwise compromise the security of our networks, systems and/or physical facilities. For example, in April 2025, we notified customers of access by an unauthorized third party to a number of Datadog source code repositories arising from compromised employee account credentials. After discovering the access, we revoked the credentials and terminated the unauthorized access. However, such unauthorized access may increase our vulnerability to certain attacks at a later date through exploitation of our source code, including the exploitation of potential vulnerabilities in the Datadog platform or products, or information stored within the source code. Additionally, from time to time employees or service providers may inadvertently misconfigure resources or misdirect certain communications, leading to security vulnerabilities or incidents that we must then expend effort and incur expenses to correct.</w:t>
      </w:r>
    </w:p>
    <w:p>
      <w:pPr>
        <w:spacing w:after="0" w:line="19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may have contractual and other legal obligations, or we may voluntarily choose, to notify relevant stakeholders of security incidents. For instance, most jurisdictions have enacted laws, such as the U.S. Health Insurance Portability and Accountability Act of 1996, or HIPAA, requiring companies to notify individuals, regulatory authorities, and others of security breaches involving certain types of data. Such mandatory contractual and legal disclosures are costly, could lead to negative publicity, may cause our customers to lose confidence in the effectiveness of our security measures and require us to expend significant capital and other resources to respond to and/or alleviate problems caused by the actual or perceived security breach, and any failure to provide appropriate notice may violate the terms of our customer contracts. Applicable laws, our contracts and our representations require us to implement and maintain industry-standard or reasonable measures to safeguard personal information or confidential information. A security breach could lead to claims by our customers, or other relevant stakeholders, that we have failed to comply with such legal or contractual obligations. As a result, we could be subject to legal</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3" w:name="page44"/>
    <w:bookmarkEnd w:id="43"/>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action or our customers could end their relationships with us. Further, our contracts may not contain limitations of liability, and even where they do, there can be no assurance that any limitations of liability would be enforceable or adequate or would otherwise protect us from liabilities or damages.</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costs to respond to a security breach and/or mitigate any security vulnerabilities that may be identified could be significant, our efforts to address these problems may not be successful, and these problems could result in unexpected interruptions, delays, cessation of service, negative publicity, and other harm to our business and our competitive position. We could be required to fundamentally change our business activities and practices in response to a security breach or related regulatory actions or litigation, which could have an adverse effect on our business.</w:t>
      </w:r>
    </w:p>
    <w:p>
      <w:pPr>
        <w:spacing w:after="0" w:line="18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Additionally, we cannot be certain that our insurance coverage will be adequate or sufficient for fines, judgments, settlements, penalties, costs, attorney fees and other impacts that arise out of privacy or security incidents or breaches. If the impacts of a privacy or security incident or breach, or the successful assertion of one or more large claims against us that exceeds our available insurance coverage, or results in changes to our insurance policies (including premium increases or the imposition of large deductible or co-insurance requirements), it could have an adverse effect on our business. In addition, we cannot be sure that our existing insurance coverage, cyber coverage and coverage for errors and omissions will continue to be available on acceptable terms or that our insurers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 Our risks are likely to increase as we continue to expand, grow our customer base, and process, store, and transmit increasingly large amounts of sensitive information.</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Real or perceived errors, failures or bugs in our software could adversely affect our business, results of operations, financial condition and growth prospects.</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software is complex and therefore, undetected errors, failures or bugs have occurred in the past and may occur in the future. Our software is used in IT environments with different operating systems, system management software, applications, devices, databases, servers, storage, middleware, custom and third-party applications and equipment and networking configurations, which may cause errors or failures in the IT environment into which our software is deployed. This diversity increases the likelihood of errors or failures in those IT environments. Despite testing by us, real or perceived errors, failures or bugs may not be found until our customers use our software. Our systems could also be negatively affected by vulnerabilities present in acquired or integrated entities’ systems and technologies, and such vulnerabilities may not be discovered during our due diligence. Real or perceived errors, failures or bugs in our products could result in negative publicity, security breaches or other security incidents, loss of or delay in market acceptance of our software, regulatory investigations and enforcement actions, harm to our brand, weakening of our competitive position, or claims by customers for losses sustained by them or failure to meet the stated service level commitments in our customer agreements. In such an event, we may be required, or may choose, for customer relations or other reasons, to expend significant additional resources in order to help correct the problem. Any real or perceived errors, failures or bugs in our software could also impair our ability to attract new customers, retain existing customers or expand their use of our software, which would adversely affect our business, results of operations and financial condition.</w:t>
      </w:r>
    </w:p>
    <w:p>
      <w:pPr>
        <w:spacing w:after="0" w:line="18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Interruptions or performance problems associated with our products and platform capabilities may adversely affect our business, financial condition and results of operations.</w:t>
      </w:r>
    </w:p>
    <w:p>
      <w:pPr>
        <w:spacing w:after="0" w:line="15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continued growth depends in part on the ability of our existing and potential customers to access our products and platform capabilities at any time and within an acceptable amount of time. We have experienced, and may in the future experience, disruptions, outages, and other performance problems due to a variety of factors, including infrastructure changes, introductions of new functionality, human or software errors, capacity constraints due to an overwhelming number of users accessing our products and platform capabilities simultaneously, denial of service attacks, or other security-related incidents. For example, in March 2023, our platform experienced widespread outages across multiple products and regions, which was substantially resolved in approximately a day.</w:t>
      </w:r>
    </w:p>
    <w:p>
      <w:pPr>
        <w:spacing w:after="0" w:line="18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It may become increasingly difficult to maintain and improve our performance, especially during peak usage times and as our products and platform capabilities become more complex and our user traffic increases. If our products and platform capabilities are unavailable or if our users are unable to access our products and platform capabilities within a reasonable amount of time or at all, we may experience a loss of customers, lost or delayed market acceptance of our platform and products, delays in payment to us by customers, injury to our reputation and brand, legal claims against us, and the diversion of our resources. In addition, to the extent that we do not effectively address capacity constraints, upgrade our systems as needed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4" w:name="page45"/>
    <w:bookmarkEnd w:id="44"/>
    <w:p>
      <w:pPr>
        <w:jc w:val="both"/>
        <w:spacing w:after="0" w:line="282" w:lineRule="auto"/>
        <w:rPr>
          <w:sz w:val="20"/>
          <w:szCs w:val="20"/>
          <w:color w:val="auto"/>
        </w:rPr>
      </w:pPr>
      <w:r>
        <w:rPr>
          <w:rFonts w:ascii="Times New Roman" w:cs="Times New Roman" w:eastAsia="Times New Roman" w:hAnsi="Times New Roman"/>
          <w:sz w:val="18"/>
          <w:szCs w:val="18"/>
          <w:color w:val="auto"/>
        </w:rPr>
        <w:t>and continually develop our technology and network architecture to accommodate actual and anticipated changes in technology, our business, financial condition and results of operations may be adversely affected.</w:t>
      </w:r>
    </w:p>
    <w:p>
      <w:pPr>
        <w:spacing w:after="0" w:line="185"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manage our growth, and if we are not able to grow efficiently, our business, financial condition and results of operations could be harmed.</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As usage of our platform capabilities grow, we will need to devote additional resources to improving and maintaining our infrastructure and integrating with third-party applications. In addition, we will need to appropriately scale our internal business systems and our services organization, including customer support and professional services, to serve our growing customer base. Any failure of or delay in these efforts could result in impaired system performance and reduced customer satisfaction, resulting in decreased sales to new customers, lower dollar-based net retention rates or, the issuance of service credits or requested refunds, which would hurt our revenue growth and our reputation. Further, any failure in optimizing our spend on third-party cloud services as we scale could negatively impact our gross margins. Even if we are successful in our expansion efforts, they will be expensive and complex, and require the dedication of significant management time and attention. We could also face inefficiencies or service disruptions as a result of our efforts to scale our internal infrastructure. We cannot be sure that the expansion of and improvements to our internal infrastructure will be effectively implemented on a timely basis, if at all, and such failures could harm our business, financial condition and results of operations.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upon third-party providers of cloud-based infrastructure to host our products. Any disruption in the operations of these third-party providers, limitations on capacity or interference with our use could adversely affect our business, financial condition and results of operations.</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outsource substantially all of the infrastructure relating to our cloud solution to third-party hosting services. Customers of our cloud-based products need to be able to access our platform at any time, without interruption or degradation of performance, and we provide them with service-level commitments with respect to uptime. Our cloud-based products depend on protecting the virtual cloud infrastructure hosted by third-party hosting services by maintaining its configuration, architecture, features and interconnection specifications, as well as the information stored in these virtual data centers, which is transmitted by third-party internet service providers. Any limitation on the capacity of our third-party hosting services could impede our ability to onboard new customers or expand the usage of our existing customers, which could adversely affect our business, financial condition and results of operations. In addition, any incident affecting our third-party hosting services’ infrastructure that may be caused by cyber-attacks, natural disasters, fire, flood, severe storm, earthquake, power loss, telecommunications failures, outbreaks of contagious diseases, terrorist or other attacks, and other similar events beyond our control could negatively affect our cloud-based products. A prolonged service disruption affecting our cloud-based solution for any of the foregoing reasons would negatively impact our ability to serve our customers and could damage our reputation with current and potential customers, expose us to liability, cause us to lose customers or otherwise harm our business. We may also incur significant costs for using alternative equipment or taking other actions in preparation for, or in reaction to, events that damage the third-party hosting services we use.</w:t>
      </w:r>
    </w:p>
    <w:p>
      <w:pPr>
        <w:spacing w:after="0" w:line="19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the event that our service agreements with our third-party hosting services are terminated, or there is a lapse of service, elimination of services or features that we utilize, interruption of internet service provider connectivity or damage to such facilities, we could experience interruptions in access to our platform as well as significant delays and additional expense in arranging or creating new facilities and services and/or re-architecting our cloud solution for deployment on a different cloud infrastructure service provider, which could adversely affect our business, financial condition and results of operations.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offer free trials and a free tier of our platform to drive developer awareness of our products, and encourage usage and adoption. If these marketing strategies fail to lead to customers purchasing paid subscriptions, our ability to grow our revenue will be adversely affected.</w:t>
      </w:r>
    </w:p>
    <w:p>
      <w:pPr>
        <w:spacing w:after="0" w:line="18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To encourage awareness, usage, familiarity and adoption of our platform and products, we offer free trials and a free tier of our platform. These strategies may not be successful in leading customers to purchase our products, as users of our free tier may not lead to them or others within their organization purchasing and deploying our platform. To the extent that users do not become, or we are unable to successfully attract paying customers, we will not realize the intended benefits of these marketing strategies and our ability to grow our revenue will be adversely affected.</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fluctuations in our financial results, making it difficult to project future results, and if we fail to meet the expectations of securities analysts or investors with respect to our results of operations, our stock price could decline.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5" w:name="page46"/>
    <w:bookmarkEnd w:id="45"/>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results of operations have fluctuated in the past and are expected to fluctuate in the future due to a variety of factors, many of which are outside of our control. As a result, our past results may not be indicative of our future performance. In addition to the other risks described herein, factors that may affect our results of operations include the following:</w:t>
      </w:r>
    </w:p>
    <w:p>
      <w:pPr>
        <w:spacing w:after="0" w:line="68" w:lineRule="exact"/>
        <w:rPr>
          <w:sz w:val="20"/>
          <w:szCs w:val="20"/>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or pricing of our platform and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usage of our platform and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existing customers;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expansion rates and the pricing and quantity of subscriptions renewed;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subscriptions from customers in our cloud-provider marketplaces;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amount of our investments to expand the capacity of our third-party cloud infrastructure providers;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driven by industry conferences;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in new products and features relative to investments in our existing infrastructure and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customer purchases;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or delays in purchasing decisions in anticipation of new products or enhancements by us or our competitors;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customers’ budgets and in the timing of their budget cycles and purchasing decisions;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including our operating expenses;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payment for operating expenses, particularly research and development and sales and marketing expenses, including commissions;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non-cash expenses, including stock-based compensation, goodwill impairments and other non-cash charges;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costs associated with recruiting, training and integrating new employees and retaining and motivating existing employees;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acquisitions and their integration;</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both domestically and internationally, as well as economic conditions specifically affecting regions and industries in which our customers participate, including those impacted by the war in Ukraine and conflicts in the Middle East;</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trade policies, such as trade wars, tariffs or other trade restrictions or the threat of such actions;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other economic factors, including inflation, pricing and currency fluctuations;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accounting pronouncements;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or legal environments that may cause us to incur, among other elements, expenses associated with compliance;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market, including consolidation among competitors or customers;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security breaches of, technical difficulties with, or interruptions to, the delivery and use of our products and platform capabilities.</w:t>
      </w:r>
    </w:p>
    <w:p>
      <w:pPr>
        <w:spacing w:after="0" w:line="22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global economy, including credit and financial markets, has experienced extreme volatility and disruptions, including severely diminished liquidity and credit availability, declines in consumer confidence, declines in economic growth, increases in unemployment rates, fluctuating inflation and interest rates, and uncertainty about economic stability. For a discussion of certain of these economic, political, regulatory, and market risks, see “Risks Associated with our Growth—Unfavorable conditions in our industry or the global economy, or reductions in information technology spending, could limit our ability to grow our business and negatively affect our results of operations”. Any such volatility and disruptions may have adverse consequences on us or the third parties on whom we rely. If the equity and credit markets deteriorate, or do not improve, including as a result of political unrest or war, it may make any necessary debt or equity financing more difficult to obtain in a timely manner or on favorable terms, more costly or more dilutive. Increased inflation rates can adversely affect us by increasing our costs, including personnel costs.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6" w:name="page47"/>
    <w:bookmarkEnd w:id="46"/>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Any of these and other factors, or the cumulative effect of some of these factors, may cause our results of operations to vary significantly. If our quarterly results of operations fall below the expectations of investors and securities analysts who follow our stock, the price of our Class A common stock could decline substantially, and we could face costly lawsuits, including securities class action suits.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 may cause fluctuations in our sales and results of operations.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Historically, we have experienced seasonality in new customer bookings, as we typically enter into a higher percentage of subscription agreements with new customers and renewals with existing customers in the fourth quarter of the year. We believe that this results from the procurement, budgeting, and deployment cycles of many of our customers, particularly our enterprise customers. We expect that this seasonality will continue to affect our bookings and our results of operations in the future, and might become more pronounced as we continue to target larger enterprise customers.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Downturns or upturns in our sales may not be immediately reflected in our financial position and results of operations.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Because we recognize a large portion of our revenue ratably over the term of the subscription agreement, any decreases in new subscriptions or renewals in any one period may not be immediately reflected as a decrease in revenue for that period, but could negatively affect our revenue in future quarters. This also makes it difficult for us to rapidly increase our revenue through the sale of additional subscriptions in any period, as revenue is recognized over the term of the subscription agreement. In addition, fluctuations in monthly subscriptions based on usage could affect our revenue on a period-over-period basis. If our quarterly results of operations fall below the expectations of investors and securities analysts who follow our stock, the price of our Class A common stock would decline substantially, and we could face costly lawsuits, including securities class actions.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target enterprise customers, and sales to these customers involve risks that may not be present or that are present to a lesser extent with sales to smaller entities.</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have a field sales team that targets enterprise customers. Sales to large customers involve risks that may not be present or that are present to a lesser extent with sales to smaller entities, such as longer sales cycles, more complex customer requirements, substantial upfront sales costs, and less predictability in completing some of our sales. For example, enterprise customers may require considerable time to evaluate and test our solutions and those of our competitors prior to making a purchase decision and placing an order. A number of factors influence the length and variability of our sales cycle, including the need to educate potential customers about the uses and benefits of our solutions, the discretionary nature of purchasing and budget cycles, and the competitive nature of evaluation and purchasing approval processes. As a result, the length of our sales cycle, from identification of the opportunity to deal closure, may vary significantly from customer to customer, with sales to large enterprises typically taking longer to complete. Moreover, large enterprise customers often begin to deploy our products on a limited basis, but nevertheless demand configuration, integration services and pricing negotiations, which increase our upfront investment in the sales effort with no guarantee that these customers will deploy our products widely enough across their organization to justify our substantial upfront investment.</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and motivate members of our management team or other key employees, or fail to attract additional qualified personnel to support our operations, our business and future growth prospects would be harmed.</w:t>
      </w:r>
    </w:p>
    <w:p>
      <w:pPr>
        <w:spacing w:after="0" w:line="15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success and future growth depend largely upon the continued services of our executive officers, particularly Olivier Pomel, our co-founder and Chief Executive Officer, Alexis Lê-Quôc, our co-founder and Chief Technology Officer, and David Obstler, our Chief Financial Officer, as well as our other key employees in the areas of research and development and sales and marketing functions. From time to time, there may be changes in our executive management team or other key employees resulting from the hiring or departure of these personnel. Our executive officers and other key employees are employed on an at-will basis, which means that these personnel could terminate their employment with us at any time. The loss of one or more of our executive officers, or the failure by our executive team to effectively work with our employees and lead our company, could harm our business. We also are dependent on the continued service of our existing software engineers because of the complexity of our products and platform capabilities.</w:t>
      </w:r>
    </w:p>
    <w:p>
      <w:pPr>
        <w:spacing w:after="0" w:line="18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In addition, to execute our growth plan, we must attract and retain highly qualified personnel. Competition for these personnel is intense, especially for engineers experienced in designing and developing SaaS applications, those experienced with artificial intelligence and machine learning, and experienced sales professionals. If we are unable to attract such personnel in cities where we are located, we may need to hire in other locations which may add to the complexity and costs of our business operations. We have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7" w:name="page48"/>
    <w:bookmarkEnd w:id="47"/>
    <w:p>
      <w:pPr>
        <w:jc w:val="both"/>
        <w:spacing w:after="0" w:line="258" w:lineRule="auto"/>
        <w:rPr>
          <w:sz w:val="20"/>
          <w:szCs w:val="20"/>
          <w:color w:val="auto"/>
        </w:rPr>
      </w:pPr>
      <w:r>
        <w:rPr>
          <w:rFonts w:ascii="Times New Roman" w:cs="Times New Roman" w:eastAsia="Times New Roman" w:hAnsi="Times New Roman"/>
          <w:sz w:val="18"/>
          <w:szCs w:val="18"/>
          <w:color w:val="auto"/>
        </w:rPr>
        <w:t>to assert that these employees or we have breached their legal obligations, resulting in a diversion of our time and resources. In addition, prospective and existing employees often consider the value of the equity awards they receive in connection with their employment. If the value or perceived value of our equity awards declines, experiences significant volatility, or increases such that prospective employees believe there is limited upside to the value of our equity awards, it may adversely affect our ability to recruit and retain key employees. If we fail to attract new personnel or fail to retain and motivate our current personnel, our business and future growth prospects would be harmed.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and enhance our brand, our ability to expand our customer base will be impaired and our business, financial condition and results of operations may suffer.</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believe that maintaining and enhancing the Datadog brand is important to support the marketing and sale of our existing and future products to new customers and expand sales of our platform and products to existing customers. We also believe that the importance of brand recognition will increase as competition in our market increases. Successfully maintaining and enhancing our brand will depend largely on the effectiveness of our marketing efforts, our ability to provide reliable products that continue to meet the needs of our customers at competitive prices, our ability to maintain our customers’ trust, our ability to continue to develop new functionality and use cases, and our ability to successfully differentiate our products and platform capabilities from competitive products. Our brand promotion activities may not generate customer awareness or yield increased revenue, and even if they do, any increased revenue may not offset the expenses we incur in building our brand. If we fail to successfully promote and maintain our brand, our business, financial condition and results of operations may suffer.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cannot maintain our company culture as we grow, our success and our business and competitive position may be harmed.</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believe our culture has been a key contributor to our success to date and that the critical nature of the platform that we provide promotes a sense of greater purpose and fulfillment in our employees. Any failure to preserve our culture could negatively affect our ability to retain and recruit personnel, which is critical to our growth, and to effectively focus on and pursue our corporate objectives. As we continue to grow and expand globally, we may find it difficult to maintain these important aspects of our culture particularly given remote or hybrid work arrangements. If we fail to maintain our company culture, our business and competitive position may be harmed.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offer high-quality support, our reputation could suffer.</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customers rely on our customer support personnel to resolve issues and realize the full benefits that our platform provides. High-quality support is also important for the renewal and expansion of our subscriptions with existing customers. The importance of our support function will increase as we expand our business and pursue new customers. If we do not help our customers quickly resolve issues and provide effective ongoing support, our ability to maintain and expand our subscriptions to existing and new customers could suffer, and our reputation with existing or potential customers could suffer.</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Acquisitions, strategic investments, partnerships, or alliances could be difficult to identify, pose integration challenges, divert the attention of management, disrupt our business, dilute stockholder value, and adversely affect our business, financial condition and results of operations.</w:t>
      </w:r>
    </w:p>
    <w:p>
      <w:pPr>
        <w:spacing w:after="0" w:line="15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have in the past and may in the future seek to acquire or invest in businesses, joint ventures, products and platform capabilities, or technologies that we believe could complement or expand our services and platform capabilities, enhance our technical capabilities, or otherwise offer growth opportunities. Any such acquisition or investment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and platform capabilities, personnel, internal controls or operations of any acquired companies, particularly if the key personnel of an acquired company choose not to work for us, their software is not easily adapted to work with our platform, or we have difficulty retaining the customers of any acquired business due to changes in ownership, management or otherwise. These transactions may also disrupt our business, divert our resources, and require significant management attention that would otherwise be available for development of our existing business. Any such transactions that we are able to complete may not result in any synergies or other benefits we had expected to achieve, which could result in impairment charges that could be substantial. In addition, we may not be able to find and identify desirable acquisition targets or business opportunities or be successful in entering into an agreement with any particular strategic partner. These transactions could also result in dilutive issuances of equity securities or the incurrence of debt, which could adversely affect our results of operations. In addition, if the resulting business from such a transaction fails to meet our expectations, our business, financial condition and results of operations may be adversely affected or we may be exposed to unknown risks or liabilities.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Industry and Competitive Risks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adapt and respond effectively to rapidly changing technology, evolving industry standards, changing regulations, or to changing customer needs, requirements or preferences, our platform and products may become less competitive.</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ability to attract new users and customers and increase revenue from existing customers depends in large part on our ability to enhance and improve our existing products, increase adoption and usage of our products, and introduce new products and capabilities. The market in which we compete is relatively new and subject to rapid technological change, evolving industry standards, and changing regulations, as well as changing customer needs, requirements and preferences. The success of our business will depend, in part, on our ability to adapt and respond effectively to these changes on a timely basis. For example, some of our products use artificial intelligence, or AI, and machine learning, and we are making investments in expanding our artificial intelligence capabilities, which will require significant investment in infrastructure and personnel. However, AI technologies are complex and rapidly evolving in a changing competitive market and market acceptance of AI technologies remains uncertain, see “Industry and Competitive Risks—We use artificial intelligence in our products and services which may result in operational challenges, legal liability, reputational harm, competitive risks and regulatory concerns that could adversely affect our business and results of operations.” below. If we were unable to enhance our products and platform capabilities to keep pace with rapid technological and regulatory change, or if new technologies emerge that are able to deliver competitive products at lower prices, more efficiently, more conveniently, or more securely than our products, our business, financial condition and results of operations could be adversely affected.</w:t>
      </w:r>
    </w:p>
    <w:p>
      <w:pPr>
        <w:spacing w:after="0" w:line="19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success of our platform depends, in part, on its ability to be deployed in a self-service installation process. We currently offer more than 900 out-of-the-box integrations to assist customers in deploying Datadog, and we need to continuously modify and enhance our products to adapt to changes and innovation in existing and new technologies to maintain and grow our integrations. We expect that the number of integrations we will need to support will continue to expand as developers adopt new software platforms, and we will have to develop new versions of our products to work with those new platforms. This development effort may require significant engineering, sales and marketing resources, all of which would adversely affect our business. Any failure of our products to operate effectively with future infrastructure platforms and technologies could reduce the demand for our products. If we are unable to respond to these changes in a cost-effective manner, our products may become less marketable and less competitive or obsolete, and our business, financial condition and results of operations could be adversely affected.</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markets in which we participate are competitive, and if we do not compete effectively, our business, financial condition and results of operations could be harmed.</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unified platform combines functionality from numerous traditional product categories, and hence we compete in each of these categories with home-grown and open-source technologies, as well as a number of different vendors. With respect to on-premise infrastructure monitoring, we compete with diversified technology companies and systems management vendors including IBM, Microsoft Corporation, and SolarWinds Corporation. With respect to APM, we compete with companies including Cisco Systems, Inc., New Relic, Inc. and Dynatrace Software Inc. With respect to log management, we compete with companies including Cisco Systems, Inc. and Elastic N.V. With respect to cloud monitoring, we compete with native solutions from cloud providers such as AWS, GCP and Microsoft Azure. In addition, we may increasingly choose to allow these third-party hosting providers to offer our solutions directly through their customer marketplaces. An increasing number of sales through cloud provider marketplaces could reduce both the number of customers with whom we have direct commercial relationships as well as our profit margins on sales made through such marketplaces.</w:t>
      </w:r>
    </w:p>
    <w:p>
      <w:pPr>
        <w:spacing w:after="0" w:line="19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With the introduction of new technologies and market entrants, we expect that the competitive environment will remain intense going forward. Some of our actual and potential competitors have been acquired by other larger enterprises and have made or may make acquisitions or may enter into partnerships or other strategic relationships that may provide more comprehensive offerings than they individually had offered or achieve greater economies of scale than us. In addition, new entrants not currently considered to be competitors may enter the market through acquisitions, partnerships or strategic relationships. As we look to market and sell our products and platform capabilities to potential customers with existing internal solutions, we must convince their internal stakeholders that our products and platform capabilities are superior to their current solutions.</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compete on the basis of a number of factors, including:</w:t>
      </w:r>
    </w:p>
    <w:p>
      <w:pPr>
        <w:spacing w:after="0" w:line="117" w:lineRule="exact"/>
        <w:rPr>
          <w:sz w:val="20"/>
          <w:szCs w:val="20"/>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provide unified, real-time observability of IT environments;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operate in dynamic and elastic environments;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9" w:name="page50"/>
    <w:bookmarkEnd w:id="49"/>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extensibility across the enterprise, including development, operations and business users;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propensity to enable collaboration between development, operations and business users;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monitor any combination of public clouds, private clouds, on-premise and multi-cloud hybrids;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provide advanced analytics and machine learning;</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deployment, implementation and use;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operate across a broad range of geographies in compliance with local regulations;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of offering and key technology integrations;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security, scalability and reliability;</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of service and customer satisfaction;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cost of ownership;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 and reputation.</w:t>
      </w:r>
    </w:p>
    <w:p>
      <w:pPr>
        <w:spacing w:after="0" w:line="22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competitors vary in size and in the breadth and scope of the products offered. Many of our competitors and potential competitors have greater name recognition, longer operating histories, more established customer relationships and installed customer bases, larger marketing budgets and greater resources than we do. Further, other potential competitors not currently offering competitive solutions may expand their product or service offerings to compete with our products and platform capabilities, or our current and potential competitors may establish cooperative relationships among themselves or with third parties that may further enhance their resources and product offerings in our addressable market. Our competitors may be able to respond more quickly and effectively than we can to new or changing opportunities, technologies, standards, and customer requirements. An existing competitor or new entrant could introduce new technology that reduces demand for our products and platform capabilities. In addition to product and technology competition, we face pricing competition. Some of our competitors offer their solutions at a lower price, which has resulted in, and may continue to result in, pricing pressures.</w:t>
      </w:r>
    </w:p>
    <w:p>
      <w:pPr>
        <w:spacing w:after="0" w:line="18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all of these reasons, we may not be able to compete successfully against our current or future competitors, and this competition could result in the failure of our platform to continue to achieve or maintain market acceptance, any of which would harm our business, results of operations, and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for our solutions may develop more slowly or differently than we expect.</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It is difficult to predict customer adoption rates and demand for our products, the entry of competitive products or the future growth rate and size of the cloud-based software and SaaS business software markets. The expansion of these markets depends on a number of factors, including: the cost, performance, and perceived value associated with cloud-based and SaaS business software as an alternative to legacy systems, as well as the ability of cloud-based software and SaaS providers to address heightened data security and privacy concerns. If we have a security incident or other cloud-based software and SaaS providers experience security incidents, loss of customer data, disruptions in delivery or other similar problems, which is an increasing focus of the public and investors in recent years, the market for these applications as a whole, including our platform and products, may be negatively affected. If cloud-based and SaaS business software does not continue to achieve market acceptance, or there is a reduction in demand caused by a lack of customer acceptance, technological challenges, weakening economic conditions, data security or privacy concerns, governmental regulation, competing technologies and products, or decreases in information technology spending or otherwise, the market for our platform and products might not continue to develop or might develop more slowly than we expect, which would adversely affect our business, financial condition and results of operations.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artificial intelligence in our products and services which may result in operational challenges, legal liability, reputational harm, competitive risks and regulatory concerns that could adversely affect our business and results of operations.</w:t>
      </w:r>
    </w:p>
    <w:p>
      <w:pPr>
        <w:spacing w:after="0" w:line="15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incorporate AI, including generative AI, into our products. These technologies are complex and rapidly evolving and building them requires significant investment in infrastructure and personnel with no assurance that we will realize the desired or anticipated benefits. Our competitors may more successfully incorporate AI into their products and achieve higher market acceptance of their AI solutions, which could impair our ability to compete effectively and adversely affect our results of operations.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0" w:name="page51"/>
    <w:bookmarkEnd w:id="50"/>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may also encounter new risks, challenges, and unintended consequences as a result of our use of AI. For example, the issue of intellectual property ownership and license rights surrounding AI technologies has not been fully addressed by U.S. courts or federal or state laws and regulations, and the incorporation of AI technologies into our products and services could expose us to intellectual property claims or mandatory compliance with open source software or other license terms. Our use of AI may also lead to novel cybersecurity or privacy risks which may adversely affect our operations and reputation. Several jurisdictions around the globe, including Europe and certain U.S. states, have proposed, enacted, or are considering laws governing the development and use of AI and machine learning technologies. For example, the European Union's Artificial Intelligence Act, which would apply beyond the European Union’s borders, came into effect in August 2024. It contains numerous requirements regarding the development and use of AI and imposes significant monetary fines. In addition, the Federal Trade Commission has required other companies to disgorge valuable insights or trainings generated through the use of AI or machine learning technologies where they allege the company has violated privacy and consumer protection laws. Compliance with regulations as well as social and ethical standards relating to AI may require significant research and development costs as well as management and employee attention. Any actual or perceived failure to comply with these laws, regulations or ethical standards could include severe penalties, reputational harm, and slow adoption of AI in our products and services. In addition, our business may be disrupted if any of the third-party AI services we use become unavailable due to extended outages or commercially unreasonable terms of service.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Regulatory Risks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typically provide service-level commitments under our subscription agreements. If we fail to meet these contractual commitments, we could be obligated to provide credits for future service or face subscription termination with refunds of prepaid amounts, which would lower our revenue and harm our business, financial condition and results of operations.</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subscription agreements typically contain service-level commitments. If we are unable to meet the stated service-level commitments, including failure to meet the uptime and response time requirements under our customer subscription agreements, we may be contractually obligated to provide these customers with service credits which could significantly affect our revenue in the periods in which the failure occurs and the credits are applied. We could also face subscription terminations and a reduction in renewals, which could significantly affect both our current and future revenue. Any service-level failures could also damage our reputation, which could also adversely affect our business, financial condition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Indemnity provisions in various agreements to which we are party potentially expose us to substantial liability for infringement, misappropriation or other violation of intellectual property rights, data protection and other losses.</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agreements with our customers and other third parties may include indemnification provisions under which we agree to indemnify or otherwise be liable to them for losses suffered or incurred as a result of claims of infringement, misappropriation or other violation of intellectual property rights, data protection, damages caused by us to property or persons, or other liabilities relating to or arising from our software, services, platform, our acts or omissions under such agreements or other contractual obligations. Some of these indemnity agreements provide for uncapped liability and some indemnity provisions survive termination or expiration of the applicable agreement. Large indemnity payments could harm our business, financial condition and results of operations. Although we attempt to contractually limit our liability with respect to such indemnity obligations, we are not always successful and may still incur substantial liability related to them, and we may be required to cease use of certain functions of our platform or products as a result of any such claims. Any dispute with a customer or other third party with respect to such obligations could have adverse effects on our relationship with such customer or other third party and other existing or prospective customers, reduce demand for our products and services and adversely affect our business, financial conditions and results of operations. In addition, although we carry general liability insurance, our insurance may not be adequate to indemnify us for all liability that may be imposed or otherwise protect us from liabilities or damages with respect to claims alleging compromises of customer data, and any such coverage may not continue to be available to us on acceptable terms or at all.</w:t>
      </w:r>
    </w:p>
    <w:p>
      <w:pPr>
        <w:spacing w:after="0" w:line="18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the third-parties with whom we work are subject to stringent and changing laws, regulations, standards, and contractual obligations related to data privacy and security. Actual or perceived failure by us or the third-parties with whom we work to comply with such laws, regulations, standards, or contractual obligations could harm our business.</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have legal, contractual and other applicable obligations regarding the protection and appropriate use of sensitive information that we and the third-parties with whom we work process. We are subject to a variety of federal, state, local and foreign laws, directives, regulations, and industry standards, relating to the collection, use, retention, security, disclosure, transfer and other processing of personal information. The regulatory framework for and users' expectations around privacy and security issues worldwide is rapidly evolving and as a result, implementation standards and enforcement practices are likely to remain uncertain for the foreseeable future resulting in possible significant operational costs for compliance and risk to our</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1" w:name="page52"/>
    <w:bookmarkEnd w:id="51"/>
    <w:p>
      <w:pPr>
        <w:jc w:val="both"/>
        <w:spacing w:after="0" w:line="266" w:lineRule="auto"/>
        <w:rPr>
          <w:sz w:val="20"/>
          <w:szCs w:val="20"/>
          <w:color w:val="auto"/>
        </w:rPr>
      </w:pPr>
      <w:r>
        <w:rPr>
          <w:rFonts w:ascii="Times New Roman" w:cs="Times New Roman" w:eastAsia="Times New Roman" w:hAnsi="Times New Roman"/>
          <w:sz w:val="18"/>
          <w:szCs w:val="18"/>
          <w:color w:val="auto"/>
        </w:rPr>
        <w:t>business. In addition, new technologies we use in our products or in our business, like AI and machine learning, may also subject us to new or enhanced governmental or regulatory scrutiny, litigation, ethical concerns, or other complications that could adversely affect our business, reputation, or financial results.</w:t>
      </w:r>
    </w:p>
    <w:p>
      <w:pPr>
        <w:spacing w:after="0" w:line="17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Internationally, nearly every jurisdiction in which we operate has established its own data security and privacy legal framework with which we, the third-parties with whom we work, or our customers must comply. For example, the European Union's General Data Protection Regulation, or EU GDPR, and the United Kingdom's General Data Protection Regulation, or UK GDPR, contain numerous requirements and changes from previously existing law, including more robust obligations on data processors and heavier documentation requirements for data protection compliance programs by companies and data protection authorities. Under both the EU GDPR and UK GDPR, companies may face temporary or definitive bans on data processing and other corrective actions, significant monetary fines, and private litigation related to processing of personal data brought by classes of data subjects or consumer protection organizations authorized at law to represent their interests.</w:t>
      </w:r>
    </w:p>
    <w:p>
      <w:pPr>
        <w:spacing w:after="0" w:line="18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 addition, Europe and other jurisdictions have enacted data localization laws and cross-border personal data transfer laws. For example, the European Economic Area (EEA) and the United Kingdom have significantly restricted the transfer of personal data to the United States and other countries whose privacy laws it generally believes are inadequate. Although there are currently various mechanisms that may be used to transfer personal data from the EEA and United Kingdom to the United States in compliance with law, such as the EEA standard contractual clauses, the United Kingdom’s International Data Transfer Agreement/Addendum, and the EU-U.S. Data Privacy Framework and the United Kingdom extension thereto (which allows for transfers for relevant U.S.-based organizations who self-certify compliance and participate in the Framework), these mechanisms are subject to legal challenges, and there is no assurance that we can satisfy or rely on these measures to lawfully transfer personal data to the United States.</w:t>
      </w:r>
    </w:p>
    <w:p>
      <w:pPr>
        <w:spacing w:after="0" w:line="18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Additionally, other countries outside of Europe have enacted or are considering enacting similar cross-border data transfer restrictions and laws requiring local data residency, and strict limitations to the processing of personal information, which could increase the cost and complexity of delivering our services and operating our business. For example, Brazil enacted the General Data Protection Law, New Zealand enacted the New Zealand Privacy Act, China enacted its Personal Information Protection Law, Canada introduced the Digital Charter Implementation Act and India enacted the Information Technology Act.</w:t>
      </w:r>
    </w:p>
    <w:p>
      <w:pPr>
        <w:spacing w:after="0" w:line="18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If we are unable to implement a valid compliance mechanism for cross-border personal information transfers, we may face increased exposure to regulatory actions, substantial fines and injunctions against processing or transferring personal information from Europe or elsewhere. Inability to import personal information from other jurisdictions to the United States may significantly and negatively impact our business operations, including by lowering sales on our platform due to the difficulty of establishing a lawful mechanism for personal information transfers out of Europe or other jurisdictions, or requiring us to increase our data processing capabilities in Europe or elsewhere at significant expense. Some European regulators have ordered certain companies to suspend or permanently cease certain transfers out of Europe for allegedly violating the GDPR’s cross-border data transfer limitations.</w:t>
      </w:r>
    </w:p>
    <w:p>
      <w:pPr>
        <w:spacing w:after="0" w:line="18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Additionally, European legislative proposals and present laws and regulations apply to cookies and similar tracking technologies, electronic communications, and marketing. In the EU and the United Kingdom, regulators are increasingly focusing on compliance with requirements related to the online behavioral advertising ecosystem and requirements around consent and have issued significant fines when consent was not obtained. It is anticipated that the ePrivacy Regulation will replace the current national laws that implement the ePrivacy Directive that governs electronic communications. Outside of Europe, other laws and regulations, including legislative proposals, individual behavior and industry practices are increasingly resistant to the use of personal information to deliver targeted advertising, making certain online advertising activities more difficult and subject to additional scrutiny. For example, the California Consumer Privacy Act, or CCPA, grants California residents the right to opt-out of a company’s sharing of personal information for cross-context behavioral advertising purposes. Other comprehensive U.S. state privacy laws extend similar rights to residents. As a result of these developments, we may be required to change the way we market our products, which would impair our ability to reach new or existing customers.</w:t>
      </w:r>
    </w:p>
    <w:p>
      <w:pPr>
        <w:spacing w:after="0" w:line="18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Complying with these and other applicable laws may cause us to incur substantial operational costs or require us to change our business practices. Despite our efforts to bring practices into compliance with all applicable laws, we may not be successful in our efforts to achieve compliance either due to internal or external factors such as resource allocation limitations or a lack of vendor cooperation. Non-compliance could result in proceedings against us by governmental entities, customers, data subjects or others. We may also experience difficulty retaining or obtaining new European or multi-national customers due to the legal requirements, compliance cost, potential risk exposure, and uncertainty for these entities, and we may experience significantly increased liability with respect to these customers pursuant to the terms set forth in our engagements with them. While we utilize a data center in the EEA to maintain certain customer data (which may include personal information)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2" w:name="page53"/>
    <w:bookmarkEnd w:id="52"/>
    <w:p>
      <w:pPr>
        <w:jc w:val="both"/>
        <w:spacing w:after="0" w:line="282" w:lineRule="auto"/>
        <w:rPr>
          <w:sz w:val="20"/>
          <w:szCs w:val="20"/>
          <w:color w:val="auto"/>
        </w:rPr>
      </w:pPr>
      <w:r>
        <w:rPr>
          <w:rFonts w:ascii="Times New Roman" w:cs="Times New Roman" w:eastAsia="Times New Roman" w:hAnsi="Times New Roman"/>
          <w:sz w:val="18"/>
          <w:szCs w:val="18"/>
          <w:color w:val="auto"/>
        </w:rPr>
        <w:t>originating from the EEA, we may find it necessary to establish additional systems and processes to maintain such data in the EEA, which may involve substantial expense and distraction from other aspects of our business.</w:t>
      </w:r>
    </w:p>
    <w:p>
      <w:pPr>
        <w:spacing w:after="0" w:line="16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Domestic laws in this area are also complex and developing rapidly, and we are, or may become, subject to numerous U.S. data privacy and security laws. In the United States, laws governing data privacy and security include those promulgated under the authority of the Federal Trade Commission Act, the Electronic Communications Privacy Act, the Computer Fraud and Abuse Act, the CCPA, HIPAA, and numerous other state and federal laws relating to privacy and data security. Many state legislatures have adopted legislation that regulates how businesses operate online, including measures relating to privacy, data security and data breaches. Laws in all 50 states require businesses to provide notice to customers whose personal information has been disclosed as a result of a data breach. The laws are not consistent, and compliance in the event of a widespread data breach is costly. States are also constantly amending existing laws, requiring attention to frequently changing legal requirements.</w:t>
      </w:r>
    </w:p>
    <w:p>
      <w:pPr>
        <w:spacing w:after="0" w:line="18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CCPA, which became effective on January 1, 2020, gives California residents (including consumers, employees, job applicants and business representatives) expanded rights to access and delete their personal information, opt out of the sale of personal information, and receive detailed information about how their personal information is used. The CCPA provides a private right of action and statutory damages for data breaches and may increase our compliance costs and potential liability with respect to other personal information we collect about California residents. In addition, the amendments to the CCPA made by the California Privacy Rights Act, or the CPRA, went into effect on January 1, 2023. The CPRA amends the CCPA to give California residents the ability to limit the use of their sensitive personal information, provide additional penalties for CPRA violations concerning California residents under the age of 16, and establish a new California Privacy Protection Agency to implement and enforce the law. These changes to the CCPA could impact our business activities depending on how they are interpreted. Many other states have enacted or proposed comprehensive privacy laws, which either have gone into effect or are expected to go into effect over the next several years. These laws exemplify the vulnerability of our business to the evolving regulatory environment related to the protection of personal information.</w:t>
      </w:r>
    </w:p>
    <w:p>
      <w:pPr>
        <w:spacing w:after="0" w:line="194"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Because the interpretation and application of many privacy and data protection laws and regulations, along with contractually imposed industry standards are uncertain, it is possible that they may be interpreted and applied in a manner that is inconsistent with our existing data management practices or the features of our products and platform capabilities. If so, in addition to the possibility of fines, lawsuits, mass arbitration demands, regulatory investigations and imprisonment of company officials, other claims and penalties, significant costs for remediation and damage to our reputation, we could be required to fundamentally change our business activities and practices or modify our products and platform capabilities, any of which could have an adverse effect on our business.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inability to adequately address privacy and security concerns, even if unfounded, or comply with applicable privacy and data security laws, regulations, or contractual obligations, could result in additional cost and liability to us, damage our reputation, inhibit sales, and adversely affect our business. Furthermore, the costs of compliance with, and other burdens imposed by, the laws, regulations, and contractual obligations that are applicable to the businesses of our customers may limit the use and adoption of, and reduce the overall demand for, our products. Privacy and data security concerns, whether valid or not valid, may inhibit market adoption of our products, particularly in certain industries and foreign countries. If we are not able to adjust to these changing laws, regulations, and contractual obligations, our business may be harmed.</w:t>
      </w:r>
    </w:p>
    <w:p>
      <w:pPr>
        <w:spacing w:after="0" w:line="19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publicly post our policies and other documentation regarding our practices concerning the collection, processing, use, transfer, and disclosure of data. Although we endeavor to comply with our published policies and documentation, we may at times fail to do so or be alleged to have failed to do so. The publication of our policies and other documentation that provide promises and assurances about privacy and security can subject us to potential state and federal action if they are found to be deceptive, unfair, or misrepresentative of our actual practices. Any failure by us, our third-party service providers or other parties with whom we do business to comply with our policies or other documentation could result in proceedings against us by governmental entities, private parties or others. We are or may also be subject to the terms of our external and internal privacy and security policies, codes, representations, certifications, industry standards, publications and frameworks and contractual obligations to third parties related to privacy, information security, including contractual obligations to indemnify and hold harmless third parties from the costs or consequences of non-compliance with data protection laws or other obligations.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anti-bribery, anti-money laundering, and similar laws, and non-compliance with such laws can subject us to criminal or civil liability and harm our business, financial condition and results of operations.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3" w:name="page54"/>
    <w:bookmarkEnd w:id="53"/>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are subject to the U.S. Foreign Corrupt Practices Act, or FCPA, U.S. domestic bribery laws, the UK Bribery Act, and other anti-corruption and anti-money laundering laws in the countries in which we conduct activities.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or private sector. As we increase our international sales and business and sales to the public sector, we may engage with business partners and third-party intermediaries to market our products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w:t>
      </w:r>
    </w:p>
    <w:p>
      <w:pPr>
        <w:spacing w:after="0" w:line="1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While we have policies and procedures to address compliance with such laws, we cannot assure you that all of our employees and agents will not take actions in violation of our policies and applicable law, for which we may be ultimately held responsible. As we increase our international sales and business, our risks under these laws may increase.</w:t>
      </w:r>
    </w:p>
    <w:p>
      <w:pPr>
        <w:spacing w:after="0" w:line="17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Detecting, investigating, and resolving actual or alleged violations of anti-corruption laws can require a significant diversion of time, resources, and attention from senior management. In addition, noncompliance with anti-corruption, anti-bribery, or anti-money laundering laws could subject us to whistleblower complaints, investigations, sanctions, settlements, prosecution, enforcement actions,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possible civil or criminal proceeding, our business, financial condition and results of operations could be harmed. In addition, responding to any action will likely result in a materially significant diversion of management’s attention and resources and significant defense costs and other professional fees.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to government entities and highly regulated organizations are subject to a number of challenges and risks.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 portion of our sales are to U.S. federal, state, and local, as well as foreign, governmental agency customers, as well as to customers in highly regulated industries such as financial services, telecommunications and healthcare. Sales to such entities are subject to a number of challenges and risks. Selling to such entities can be highly competitive, expensive, and time-consuming, often requiring significant upfront time and expense without any assurance that these efforts will generate a sale. Government contracting requirements may change which may restrict our ability to sell into the government sector until we are able to comply with the revised contracting requirements. Government demand and payment for our products are affected by public sector budgetary cycles and funding authorizations, with funding reductions or delays adversely affecting public sector demand for our products.</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Further, governmental and highly regulated entities may demand contract terms that differ from our standard arrangements and are less favorable than terms agreed with private sector customers. Such entities may have statutory, contractual, or other legal rights to terminate contracts with us or our partners for convenience or for other reasons. Any such termination may adversely affect our ability to contract with other government customers as well as our reputation, business, financial condition and results of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impair our ability to compete in international markets or subject us to liability if we violate the controls.</w:t>
      </w:r>
    </w:p>
    <w:p>
      <w:pPr>
        <w:spacing w:after="0" w:line="15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platform and products are subject to U.S. export controls, including the Export Administration Regulations, and we incorporate encryption technology into certain of our products. These encryption products and the underlying technology may be exported outside of the United States only with the required export authorizations, including by license, a license exception, or other appropriate government authorizations, including the filing of an encryption classification request or self-classification report.</w:t>
      </w:r>
    </w:p>
    <w:p>
      <w:pPr>
        <w:spacing w:after="0" w:line="1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Furthermore, our activities are subject to U.S. economic sanctions laws and regulations administered by the Office of Foreign Assets Control that prohibit the shipment of most products and services to embargoed jurisdictions or sanctioned parties without the required export authorizations. Obtaining the necessary export license or other authorization for a particular sale may be time-consuming and may result in the delay or loss of sales opportunities. Violations of U.S. sanctions or export control regulations can result in significant fines or penalties and possible incarceration for responsible employees and managers.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4" w:name="page55"/>
    <w:bookmarkEnd w:id="54"/>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If our channel partners fail to obtain appropriate import, export, or re-export licenses or permits, we may also be adversely affected through reputational harm, as well as other negative consequences, including government investigations and penalties.</w:t>
      </w:r>
    </w:p>
    <w:p>
      <w:pPr>
        <w:spacing w:after="0" w:line="16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Also, various countries, in addition to the United States, regulate the import and export of certain encryption and other technology, including import and export licensing requirements, and have enacted laws that could limit our ability to distribute our products or could limit our end-customers’ ability to implement our products in those countries. Changes in our products or future changes in export and import regulations may create delays in the introduction of our platform in international markets, prevent our end-customers with international operations from deploying our platform globally or, in some cases, prevent the export or import of our products to certain countries, governments, or persons altogether. From time to time, various governmental agencies have proposed additional regulation of encryption technology. Any change in export or import regulations, economic sanctions or related legislation, increased export and import controls, or change in the countries, governments, persons, or technologies targeted by such regulations, could result in decreased use of our platform by, or in our decreased ability to export or sell our products to, existing or potential end-customers with international operations. Any decreased use of our platform or limitation on our ability to export or sell our products would adversely affect our business, results of operations, and growth prospects.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future litigation against us could be costly and time-consuming to defend.</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are and in the future may become subject to legal proceedings and claims that arise in the ordinary course of business, such as claims brought by our customers in connection with commercial disputes or employment claims made by our current or former employees. Litigation might result in substantial costs and may divert management’s attention and resources, which might seriously harm our business, financial condition and results of operations.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potentially harming our business, financial position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our environmental, social, and governance practices and disclosures.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There is an increasing focus from regulators, certain investors and other stakeholders concerning environmental, social, and governance, or ESG, matters, both in the United States and internationally. In response, we are in the process of evaluating and developing our ESG practices. Any of our current or future ESG practices and initiatives, if any, could be difficult to achieve and costly to implement. Furthermore, if these practices are not perceived to be adequate, or if the initiatives and positions we take (or choose not to take) on ESG issues are unpopular with some of our employees, customers or potential customers, our reputation could be harmed, which could negatively impact our ability to attract or retain employees or customers.</w:t>
      </w:r>
    </w:p>
    <w:p>
      <w:pPr>
        <w:spacing w:after="0" w:line="18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Standards for tracking and reporting ESG matters continue to evolve. Our interpretation or application of frameworks and standards may change from time to time or differ from those of others. This may result in a lack of consistent or meaningful comparative data from period to period or between us and other companies in the same industry. In addition, our processes and controls may not comply with evolving standards for identifying, measuring and reporting ESG metrics, including ESG-related disclosures that may be required by various regulators, and such standards may change over time, which could result in significant revisions to our ESG metrics. New legal and regulatory ESG requirements and disclosures in the United States, Europe and elsewhere may lead to significant compliance costs, may heighten scrutiny of our ESG practices and may require us to change our current practices.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required to collect additional sales taxes or be subject to other tax liabilities that may increase the costs our clients would have to pay for our products and adversely affect our results of operations.</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An increasing number of states have considered or adopted laws that attempt to impose tax collection obligations on out-of-state companies. Additionally, the Supreme Court of the United States ruled in </w:t>
      </w:r>
      <w:r>
        <w:rPr>
          <w:rFonts w:ascii="Times New Roman" w:cs="Times New Roman" w:eastAsia="Times New Roman" w:hAnsi="Times New Roman"/>
          <w:sz w:val="18"/>
          <w:szCs w:val="18"/>
          <w:i w:val="1"/>
          <w:iCs w:val="1"/>
          <w:color w:val="auto"/>
        </w:rPr>
        <w:t>South Dakota v. Wayfair, Inc. et al</w:t>
      </w:r>
      <w:r>
        <w:rPr>
          <w:rFonts w:ascii="Times New Roman" w:cs="Times New Roman" w:eastAsia="Times New Roman" w:hAnsi="Times New Roman"/>
          <w:sz w:val="18"/>
          <w:szCs w:val="18"/>
          <w:color w:val="auto"/>
        </w:rPr>
        <w:t>, or Wayfair, that online sellers can be required to collect sales and use tax despite not having a physical presence in the buyer’s state. In response to Wayfair, or otherwise, states or local governments may adopt, or begin to enforce, laws requiring us to calculate, collect, and remit taxes on sales in their jurisdictions. A successful assertion by one or more states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competitive disadvantage if they do not impose similar obligations on our competitors, and decrease our future sales, which could have a material adverse effect on our business and results of operations.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to offset future taxable income may be subject to certain limitations.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As of December 31, 2024, we have approximately $263.0 million of net operating loss carryforwards, or NOLs, for state income tax purposes, which begin to expire in 2028 if not utilized. We have fully utilized all of our existing NOLs for federal income tax purposes, other than certain NOLs of entities that we have acquired, which are subject to annual limitation under Section 382 of the Internal Revenue Code of 1986, as amended, or the Code, as discussed below. We are evaluating the impact of any Section 382 limitation on our utilization of these acquired NOLs. Unused U.S. federal NOLs for taxable years beginning before January 1, 2018, may be carried forward to offset future taxable income, if any, until such unused NOLs expire. Under current law, U.S. federal NOLs incurred in taxable years after December 31, 2017, can be carried forward indefinitely, but the deductibility of such U.S. federal NOLs in a particular taxable year is limited to 80% of taxable income in such year. A lack of future taxable income would adversely affect our ability to utilize portions of these NOLs before they expire.</w:t>
      </w:r>
    </w:p>
    <w:p>
      <w:pPr>
        <w:spacing w:after="0" w:line="19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general, under Sections 382 and 383 of the Code, a corporation that undergoes an “ownership change” (as defined under Section 382 of the Code and applicable Treasury Regulations) is subject to limitations on its ability to utilize its pre-change NOLs and tax credits to offset post-change taxable income or taxes. Our ability to utilize NOLs and tax credits of companies that we have acquired or may acquire in the future may be subject to limitations. Furthermore, if we generate NOLs in the future, and we experience a future ownership change under Section 382 of the Code, our ability to utilize our NOLs and tax credits to offset our income may be subject to limitation. There is also a risk that due to regulatory changes, such as suspensions on the use of NOLs or other unforeseen reasons, our future NOLs or the NOLs of companies that we have acquired or may acquire in the future could expire or otherwise be unavailable to reduce future income tax liabilities, including for state tax purposes. For these reasons, we may not be able to utilize NOLs and tax credits that are or may in the future be reflected on our balance sheets, even if we attain profitability, which could potentially result in increased future tax liability to us and could adversely affect our operating results and financial condition.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effective tax rate or tax liability may have an adverse effect on our results of operations.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effective tax rate or tax liability could change due to several factors, including:</w:t>
      </w:r>
    </w:p>
    <w:p>
      <w:pPr>
        <w:spacing w:after="0" w:line="117" w:lineRule="exact"/>
        <w:rPr>
          <w:sz w:val="20"/>
          <w:szCs w:val="20"/>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relative amounts of income before taxes in the various jurisdictions in which we operate that have differing statutory tax rates;</w:t>
      </w:r>
    </w:p>
    <w:p>
      <w:pPr>
        <w:spacing w:after="0" w:line="117"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tax treaties, and regulations or the interpretation of them, including changes under the U.S. Tax Cuts and Jobs Act, the Inflation Reduction Act, and the OBBBA;</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substantiate and utilize research and development tax credits to offset our future tax liabilities, taking into account any limitations under Section 382 of the code;</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implementation of the Organization for Economic Co-operation and Development’s (OECD) international tax framework, including the Pillar Two minimum tax regime;</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current and future tax audits, examinations, or administrative appeals;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adverse findings regarding our ability to do business in some jurisdictions.</w:t>
      </w:r>
    </w:p>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OECD's Pillar Two model rules introduced a global minimum tax of 15%. These model rules have been adopted by various governments around the world, some of which are effective for tax periods beginning on or after December 31, 2023. There is no material impact on our financial statements for the tax period ending June 30, 2025.</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will continue to monitor these developments and pending legislation, and evaluate any potential impact on our results of operations. Any of these developments could adversely affect our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reported financial results may be adversely affected by changes in accounting principles generally accepted in the United States.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GAAP is subject to interpretation by the Financial Accounting Standards Board, the SEC and various bodies formed to promulgate and interpret applicable accounting principles. A change in these principles or interpretations could have a significant effect on our reported results of operations and could affect the reporting of transactions already completed before the announcement of a change.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our results of operations could be adversely affected.</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in our unaudited condensed consolidated financial statements and accompanying notes. We base our estimates on historical experience and on various other assumptions that we believe to be reasonable under the circumstances, as described in Note 2 in the Notes to Consolidated Financial Statements included in “Part II, Item 8. Financial Statements and Supplementary Data” of our Annual Report on Form 10-K. The results of these estimates form the basis for making judgments about the carrying values of assets, liabilities and equity, and the amount of revenue and expenses that are not readily apparent from other sources. Significant estimates and judgments involve revenue recognition, business combinations, and internal-use software development costs.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Class A common stock.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obtain, maintain, protect or enforce our intellectual property and proprietary rights could impair our ability to protect our proprietary technology and our brand.</w:t>
      </w:r>
    </w:p>
    <w:p>
      <w:pPr>
        <w:spacing w:after="0" w:line="159" w:lineRule="exact"/>
        <w:rPr>
          <w:sz w:val="20"/>
          <w:szCs w:val="20"/>
          <w:color w:val="auto"/>
        </w:rPr>
      </w:pPr>
    </w:p>
    <w:p>
      <w:pPr>
        <w:jc w:val="both"/>
        <w:ind w:firstLine="486"/>
        <w:spacing w:after="0" w:line="251" w:lineRule="auto"/>
        <w:rPr>
          <w:sz w:val="20"/>
          <w:szCs w:val="20"/>
          <w:color w:val="auto"/>
        </w:rPr>
      </w:pPr>
      <w:r>
        <w:rPr>
          <w:rFonts w:ascii="Times New Roman" w:cs="Times New Roman" w:eastAsia="Times New Roman" w:hAnsi="Times New Roman"/>
          <w:sz w:val="18"/>
          <w:szCs w:val="18"/>
          <w:color w:val="auto"/>
        </w:rPr>
        <w:t>Our success depends to a significant degree on our ability to obtain, maintain, protect and enforce our intellectual property rights, including our proprietary technology, know-how and our brand. We rely on a combination of trademarks, trade secrets, patents, copyrights, contractual restrictions, and other intellectual property laws and confidentiality procedures to establish and protect our proprietary rights. However, the steps we take to obtain, maintain, protect and enforce our intellectual property rights may be inadequate. We will not be able to protect our intellectual property rights if we are unable to enforce our rights or if we do not detect unauthorized use of our intellectual property rights. If we fail to protect our intellectual property rights adequately, our competitors may gain access to our proprietary technology and develop and commercialize substantially identical products, services or technologies, our business, financial condition, results of operations or prospects may be harmed. In addition, defending our intellectual property rights might entail significant expense. Any patents, trademarks, or other intellectual property rights that we have or may obtain may be challenged or circumvented by others or invalidated or held unenforceable through administrative processes, including re-examination, inter partes review, interference and derivation proceedings and equivalent proceedings in foreign jurisdictions (e.g., opposition proceedings) or litigation. Despite our pending patent applications, there can be no assurance that our patent applications will result in issued patents. Even if we continue to seek patent protection in the future, we may be unable to obtain or maintain patent protection for our technology. In addition, any patents issued from pending or future patent applications or licensed to us in the future may not provide us with competitive advantages, or may be successfully challenged by third parties. There may be issued patents of which we are not aware, held by third parties that, if found to be valid and enforceable, could be alleged to be infringed by our current or future technologies or products. There also may be pending patent applications of which we are not aware that may result in issued patents, which could be alleged to be infringed by our current or future technologies or products. Furthermore, legal standards relating to the validity, enforceability, and scope of protection of intellectual property rights are uncertain. Despite our precautions, it may be possible for unauthorized third parties to copy our products and platform capabilities and use information that we regard as proprietary to create products that compete with ours. Patent, trademark, copyright, and trade secret protections may not be available to us in every country in which our products are available. For example, as we have expanded internationally, we have been unable to register and obtain the exclusive right to use the Datadog trademark in certain jurisdictions, including certain European countries outside of the EU, and as we continue to expand, we may face similar issues in other jurisdictions. The value of our intellectual property could diminish if others assert rights in or ownership of our trademarks and other intellectual property rights, or trademarks that are similar to our trademarks. We may be unable to successfully resolve these types of conflicts to our satisfaction. In some cases, litigation or other actions may be necessary to protect or enforce our trademarks and other intellectual property rights. Furthermore, third parties may assert intellectual property claims against us, and we may be subject to liability, required to enter into costly license agreements, or required to rebrand our products and/or prevented from selling some of our products if third parties successfully claim that we infringe, misappropriate or otherwise violate their trademarks or other intellectual property rights. In addition, the laws of some foreign countries may not be as protective of intellectual property rights as those in the United States, and mechanisms for enforcement of intellectual property rights may be inadequate. As we expand our international activities, our exposure to unauthorized copying and use of our products and platform capabilities and proprietary information will likely increase. Moreover, policing unauthorized use of our technologies, trade secrets, and intellectual property may be difficult, expensive, and time-consuming, particularly in foreign countries where the laws may not be as protective of intellectual property rights as those in the United States and where mechanisms for enforcement of intellectual property rights may be weak. Accordingly, despite our efforts, we may be unable to prevent third parties from infringing upon, misappropriating or otherwise violating our intellectual property rights.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7" w:name="page58"/>
    <w:bookmarkEnd w:id="57"/>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enter into confidentiality and invention assignment agreements with our employees and consultants and enter into confidentiality agreements with other third parties, including suppliers and other partners. However, we cannot guarantee that we have entered into such agreements with each party that has or may have had access to our proprietary information, know-how and trade secrets. Moreover, no assurance can be given that these agreements will be effective in controlling access to, distribution, use, misuse, misappropriation, reverse engineering or disclosure of our proprietary information, know-how and trade secrets. Further, these agreements may not prevent our competitors from independently developing technologies that are substantially equivalent or superior to our products and platform capabilities. These agreements may be breached, and we may not have adequate remedies for any such breach.</w:t>
      </w:r>
    </w:p>
    <w:p>
      <w:pPr>
        <w:spacing w:after="0" w:line="18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order to protect our intellectual property rights, we may be required to spend significant resources to monitor and protect our intellectual property rights. Litigation may be necessary in the future to enforce our intellectual property rights and to protect our trade secrets. Litigation brought to protect and enforce our intellectual property rights could be costly, time-consuming, and distracting to management, and could result in the impairment or loss of portions of our intellectual property. Further, our efforts to enforce our intellectual property rights may be met with defenses, counterclaims, and countersuits attacking the validity and enforceability of our intellectual property rights, and if such defenses, counterclaims or countersuits are successful, we could lose valuable intellectual property rights. Our inability to protect our proprietary technology against unauthorized copying or use, as well as any costly litigation or diversion of our management’s attention and resources, could delay further sales or the implementation of our products and platform capabilities, impair the functionality of our products and platform capabilities, delay introductions of new solutions, result in our substituting inferior or more costly technologies into our products, or injure our reputation.</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intellectual property disputes, which are costly and may subject us to significant liability and increased costs of doing business.</w:t>
      </w:r>
    </w:p>
    <w:p>
      <w:pPr>
        <w:spacing w:after="0" w:line="15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have been and may continue to be subject to intellectual property disputes. Our success depends, in part, on our ability to develop and commercialize our products and services without infringing, misappropriating or otherwise violating the intellectual property rights of third parties. However, we may not be aware that our products or services are infringing, misappropriating or otherwise violating third-party intellectual property rights and such third parties may bring claims alleging such infringement, misappropriation or violation. Lawsuits are time-consuming and expensive to resolve and they divert management’s time and attention. The software industry is characterized by the existence of a large number of patents, copyrights, trademarks, trade secrets, and other intellectual and proprietary rights. Companies in the software industry are often required to defend against litigation claims based on allegations of infringement, misappropriation or other violations of intellectual property rights. Our technologies may not be able to withstand any third-party claims against their use. In addition, many companies have the capability to dedicate substantially greater resources to enforce their intellectual property rights and to defend claims that may be brought against them. We do not currently have a large patent portfolio, which could prevent us from deterring patent infringement claims through our own patent portfolio, and our competitors and others may now and in the future have significantly larger and more mature patent portfolios than we have. Any litigation may also involve patent holding companies or other adverse patent owners that have no relevant product revenue, and therefore, our patent portfolio may provide little or no deterrence as we would not be able to assert them against such entities or individuals. If a third party is able to obtain an injunction preventing us from accessing such third-party intellectual property rights, or if we cannot license or develop alternative technology for any infringing aspect of our business, we would be forced to limit or stop sales of our products and platform capabilities or cease business activities related to such intellectual property. Although we carry general liability insurance, our insurance may not cover potential claims of this type or may not be adequate to indemnify us for all liability that may be imposed. We cannot predict the outcome of lawsuits and cannot ensure that the results of any such actions will not have an adverse effect on our business, financial condition or results of operations. Any intellectual property litigation to which we might become a party, or for which we have been or may continue to be required to provide indemnification, may require us to do one or more of the following:</w:t>
      </w:r>
    </w:p>
    <w:p>
      <w:pPr>
        <w:spacing w:after="0" w:line="191" w:lineRule="exact"/>
        <w:rPr>
          <w:sz w:val="20"/>
          <w:szCs w:val="20"/>
          <w:color w:val="auto"/>
        </w:rPr>
      </w:pPr>
    </w:p>
    <w:p>
      <w:pPr>
        <w:ind w:left="660" w:hanging="166"/>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selling or using products or services that incorporate the intellectual property rights that we allegedly infringe, misappropriate or violate;</w:t>
      </w:r>
    </w:p>
    <w:p>
      <w:pPr>
        <w:spacing w:after="0" w:line="225"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substantial payments for legal fees, settlement payments or other costs or damages;</w:t>
      </w:r>
    </w:p>
    <w:p>
      <w:pPr>
        <w:spacing w:after="0" w:line="225"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which may not be available on reasonable terms or at all, to sell or use the relevant technology; or</w:t>
      </w:r>
    </w:p>
    <w:p>
      <w:pPr>
        <w:spacing w:after="0" w:line="225" w:lineRule="exact"/>
        <w:rPr>
          <w:rFonts w:ascii="Times New Roman" w:cs="Times New Roman" w:eastAsia="Times New Roman" w:hAnsi="Times New Roman"/>
          <w:sz w:val="18"/>
          <w:szCs w:val="18"/>
          <w:color w:val="auto"/>
        </w:rPr>
      </w:pPr>
    </w:p>
    <w:p>
      <w:pPr>
        <w:ind w:firstLine="494"/>
        <w:spacing w:after="0" w:line="282" w:lineRule="auto"/>
        <w:tabs>
          <w:tab w:leader="none" w:pos="64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the allegedly infringing products to avoid infringement, misappropriation or violation, which could be costly, time-consuming or impossible.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8" w:name="page59"/>
    <w:bookmarkEnd w:id="58"/>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Even if the claims do not result in litigation or are resolved in our favor, these claims, and the time and resources necessary to resolve them, could divert the resources of our management and harm our business and operating results. Moreover, there could be public announcements of the results of hearings, motions or other interim proceedings or developments and if securities analysts or investors perceive these results to be negative, it could have a substantial adverse effect on the price of our common stock. We expect that the occurrence of infringement claims is likely to grow as the market for our platform and products grows. Accordingly, our exposure to damages resulting from infringement claims could increase and this could further exhaust our financial and management resources.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use open source software in our products, which could negatively affect our ability to sell our services or subject us to litigation or other actions.</w:t>
      </w:r>
    </w:p>
    <w:p>
      <w:pPr>
        <w:spacing w:after="0" w:line="22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use open source software in our products and we expect to continue to incorporate open source software in our services in the future. Few of the licenses applicable to open source software have been interpreted by courts, and there is a risk that these licenses could be construed in a manner that could impose unanticipated conditions or restrictions on our ability to commercialize our products. Moreover, we cannot ensure that we have not incorporated additional open source software in our software in a manner that is inconsistent with the terms of the applicable license or our current policies and procedures. If we fail to comply with these licenses, we may be subject to certain requirements, including requirements that we offer our solutions that incorporate the open source software for no cost, that we make available source code for modifications or derivative works we create based upon, incorporating or using the open source software and that we license such modifications or derivative works under the terms of applicable open source licenses. 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the sale of our products that contained the open source software and required to comply with onerous conditions or restrictions on these products, which could disrupt the distribution and sale of these products. From time to time, there have been claims challenging the ownership rights in open source software against companies that incorporate it into their products and the licensors of such open source software provide no warranties or indemnities with respect to such claims. As a result, we and our customers could be subject to lawsuits by parties claiming ownership of what we believe to be open source software. Litigation could be costly for us to defend, have a negative effect on our business, financial condition and results of operations, or require us to devote additional research and development resources to change our products. In addition, although we employ open source software license screening measures, if we were to combine our proprietary software products with open source software in a certain manner we could, under certain open source licenses, be required to release the source code of our proprietary software products. Some open source projects have known vulnerabilities and architectural instabilities and are provided on an “as-is” basis which, if not properly addressed, could negatively affect the performance of our product. If we inappropriately use or incorporate open source software subject to certain types of open source licenses that challenge the proprietary nature of our products, we may be required to re-engineer such products, discontinue the sale of such products or take other remedial 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our International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current operations are international in scope, and we plan further geographic expansion, creating a variety of operational challenges.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 component of our growth strategy involves the further expansion of our operations and customer base internationally. Revenue, as determined based on the billing address of our customers, from regions outside of North America was 29% and 30% for the six months ended June 30, 2025 and 2024, respectively. Beyond North America, we now have sales presence internationally, including in Amsterdam, Dublin, London, Paris, Seoul, Singapore, Sydney, and Tokyo. We are continuing to adapt to and develop strategies to address international markets, but there is no guarantee that such efforts will have the desired effect. For example, we anticipate that we will need to establish relationships with new partners in order to expand into certain countries, and if we fail to identify, establish and maintain such relationships, we may be unable to execute on our expansion plans. As of June 30, 2025, approximately 42% of our full-time employees were located outside of the United States, 33% of whom were located in France. We expect that our international activities will continue to grow for the foreseeable future as we continue to pursue opportunities in existing and new international markets, which will require significant dedication of management attention and financial resources.</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current and future international business and operations involve a variety of risks, including:</w:t>
      </w:r>
    </w:p>
    <w:p>
      <w:pPr>
        <w:spacing w:after="0" w:line="117" w:lineRule="exact"/>
        <w:rPr>
          <w:sz w:val="20"/>
          <w:szCs w:val="20"/>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anticipated availability and adoption of cloud and hybrid IT infrastructures by international businesses;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 specific country’s or region’s political or economic conditions;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9" w:name="page60"/>
    <w:bookmarkEnd w:id="59"/>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adapt and localize our products for specific countries;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collecting accounts receivable and longer payment cycles;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in trade relations, sanctions, regulations, or laws including changes in trade policies, such as trade wars, tariffs or other trade restrictions or the threat of such actions;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laws, regulatory requirements, or tax laws;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stringent regulations relating to privacy and data security and the unauthorized use of, or access to, commercial and personal information, particularly in Europe and the United Kingdom;</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and potentially more onerous labor regulations, especially in Europe, where labor laws are generally more advantageous to employees as compared to the United States, including deemed hourly wage and overtime regulations in these locations;</w:t>
      </w:r>
    </w:p>
    <w:p>
      <w:pPr>
        <w:spacing w:after="0" w:line="53" w:lineRule="exact"/>
        <w:rPr>
          <w:rFonts w:ascii="Times New Roman" w:cs="Times New Roman" w:eastAsia="Times New Roman" w:hAnsi="Times New Roman"/>
          <w:sz w:val="18"/>
          <w:szCs w:val="18"/>
          <w:color w:val="auto"/>
        </w:rPr>
      </w:pPr>
    </w:p>
    <w:p>
      <w:pPr>
        <w:ind w:left="980" w:right="60" w:hanging="486"/>
        <w:spacing w:after="0" w:line="266"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inherent in efficiently managing, and the increased costs associated with, an increased number of employees over large geographic distances, including the need to implement appropriate systems, policies, benefits, and compliance programs that are specific to each jurisdiction;</w:t>
      </w:r>
    </w:p>
    <w:p>
      <w:pPr>
        <w:spacing w:after="0" w:line="6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in laws, regulations and costs affecting our U.K. operations and local employees due to Brexit;</w:t>
      </w:r>
    </w:p>
    <w:p>
      <w:pPr>
        <w:spacing w:after="0" w:line="117"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a business in new markets with diverse cultures, languages, customs, legal systems, alternative dispute systems, and regulatory systems;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travel, real estate, infrastructure, and legal compliance costs associated with international operations;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and the resulting effect on our revenue and expenses, and the cost and risk of entering into hedging transactions if we chose to do so in the future;</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reinvest earnings from operations in one country to fund the capital needs of our operations in other countries;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competitors or general market preferences for local vendors;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or insufficient intellectual property protection or difficulties obtaining, maintaining, protecting or enforcing our intellectual property rights, including our trademarks and patents;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terrorist activities and military conflict, including the war in Ukraine and conflicts in the Middle East;</w:t>
      </w:r>
    </w:p>
    <w:p>
      <w:pPr>
        <w:spacing w:after="0" w:line="117" w:lineRule="exact"/>
        <w:rPr>
          <w:rFonts w:ascii="Times New Roman" w:cs="Times New Roman" w:eastAsia="Times New Roman" w:hAnsi="Times New Roman"/>
          <w:sz w:val="18"/>
          <w:szCs w:val="18"/>
          <w:color w:val="auto"/>
        </w:rPr>
      </w:pPr>
    </w:p>
    <w:p>
      <w:pPr>
        <w:ind w:left="980" w:right="340" w:hanging="486"/>
        <w:spacing w:after="0" w:line="282"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outbreak of a contagious disease, which may cause us or our third-party providers and/or customers to temporarily suspend our or their respective operations in the affected city or country;</w:t>
      </w:r>
    </w:p>
    <w:p>
      <w:pPr>
        <w:spacing w:after="0" w:line="53"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liabilities under anti-corruption and anti-money laundering laws, including the FCPA, U.S. bribery laws, the UK Bribery Act, and similar laws and regulations in other jurisdictions; and</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burdens and foreign exchange controls that could make it difficult to repatriate earnings and cash.</w:t>
      </w:r>
    </w:p>
    <w:p>
      <w:pPr>
        <w:spacing w:after="0" w:line="225"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If we invest substantial time and resources to further expand our international operations and are unable to do so successfully and in a timely manner, our business and results of operations will suffer.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currency exchange rates, which could negatively affect our results of operations.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sales contracts are denominated in U.S. dollars, and therefore, our revenue is not directly subject to foreign currency risk. However, a strengthening of the U.S. dollar could increase the real cost of our products and platform capabilities to our customers outside of the United States, which could adversely affect our results of operations. In addition, an increasing amount of our operating expenses are incurred outside the United States. These operating expenses are denominated in foreign currencies and are subject to fluctuations due to changes in foreign currency exchange rates. Consequently, our results of operations could be adversely affected by fluctuations in foreign currency exchange rates.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may subject us to potential adverse tax consequences.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are expanding our international operations to better support our growth into international markets. Our corporate structure and associated transfer pricing policies contemplate future growth in international markets, and consider the functions, risks, and assets of the various entities involved in intercompany transactions. The amount of taxes we pay in different jurisdictions may depend on the application of the tax laws of the various jurisdictions, including the United States, to our</w:t>
      </w:r>
    </w:p>
    <w:p>
      <w:pPr>
        <w:sectPr>
          <w:pgSz w:w="11900" w:h="16838" w:orient="portrait"/>
          <w:cols w:equalWidth="0" w:num="1">
            <w:col w:w="11240"/>
          </w:cols>
          <w:pgMar w:left="320" w:top="1201"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type w:val="continuous"/>
        </w:sectPr>
      </w:pPr>
    </w:p>
    <w:bookmarkStart w:id="60" w:name="page61"/>
    <w:bookmarkEnd w:id="60"/>
    <w:p>
      <w:pPr>
        <w:jc w:val="both"/>
        <w:spacing w:after="0" w:line="255" w:lineRule="auto"/>
        <w:rPr>
          <w:sz w:val="20"/>
          <w:szCs w:val="20"/>
          <w:color w:val="auto"/>
        </w:rPr>
      </w:pPr>
      <w:r>
        <w:rPr>
          <w:rFonts w:ascii="Times New Roman" w:cs="Times New Roman" w:eastAsia="Times New Roman" w:hAnsi="Times New Roman"/>
          <w:sz w:val="18"/>
          <w:szCs w:val="18"/>
          <w:color w:val="auto"/>
        </w:rPr>
        <w:t>international business activities, changes in tax rates, new or revised tax laws or interpretations of existing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our intercompany arrangements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financial statements could fail to reflect adequate reserves to cover such a contingency.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the value of our Class A common stock may decline.</w:t>
      </w:r>
    </w:p>
    <w:p>
      <w:pPr>
        <w:spacing w:after="0" w:line="2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market price of our Class A common stock may be highly volatile and may fluctuate or decline substantially as a result of a variety of factors, some of which are beyond our control, including:</w:t>
      </w:r>
    </w:p>
    <w:p>
      <w:pPr>
        <w:spacing w:after="0" w:line="54" w:lineRule="exact"/>
        <w:rPr>
          <w:sz w:val="20"/>
          <w:szCs w:val="20"/>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or results of operations;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 in our financial performance from expectations of securities analysts;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pricing of subscriptions to our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projected operating and financial results;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platform and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business developments, acquisitions, or new offerings;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data breaches, disruptions to or other incidents involving our software;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litigation;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Class A common stock by us or our stockholders;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key personnel;</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Class A common stock;</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anticipated future size and growth rate of our market;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w:t>
      </w:r>
    </w:p>
    <w:p>
      <w:pPr>
        <w:spacing w:after="0" w:line="22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Broad market and industry fluctuations, as well as general economic, political, regulatory, and market conditions may also negatively impact the market price of our Class A common stock. Additional risks are described in “Risks Associated with our Growth—Unfavorable conditions in our industry or the global economy, or reductions in information technology spending, could limit our ability to grow our business and negatively affect our results of operations”. In addition, technology stocks have historically experienced high levels of volatility.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183"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has the effect of concentrating voting control with holders of our Class B common stock, including our executive officers, directors and their affiliates, which will limit the ability of holders of our Class A common stock to influence the outcome of important transactions.</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Class B common stock has ten votes per share and our Class A common stock has one vote per share. As of June 30, 2025, our outstanding shares of Class B common stock represented approximately 44% of the voting power of our outstanding capital stock. As a result, the holders of our Class B common stock, which includes certain of our directors, executive officers and their affiliates, exercise considerable influence over matters requiring stockholder approval, including the election of directors and approval of significant corporate transactions, such as a merger or other sale of our company or our assets, even if their stock holdings represent less than 50% of the outstanding shares of our capital stock. This concentration of ownership limits the ability of other stockholders to influence corporate matters and may cause us to make strategic decisions that could involve risks to holders of our Class A common stock or that may not be aligned with the interests of holders of our Class A common stock. This control may adversely affect the market price of our Class A common stock.</w:t>
      </w:r>
    </w:p>
    <w:p>
      <w:pPr>
        <w:sectPr>
          <w:pgSz w:w="11900" w:h="16838" w:orient="portrait"/>
          <w:cols w:equalWidth="0" w:num="1">
            <w:col w:w="11240"/>
          </w:cols>
          <w:pgMar w:left="320" w:top="1309" w:right="33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61" w:name="page62"/>
    <w:bookmarkEnd w:id="61"/>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Further, future transfers by holders of our Class B common stock will generally result in those shares converting into shares of our Class A common stock, subject to limited exceptions, such as certain transfers effected for tax or estate planning purposes. The conversion of shares of our Class B common stock into shares of our Class A common stock has had and will continue to have the effect, over time, of increasing the relative voting power of those holders of Class B common stock who retain their Class B shares.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certain index providers have in the past imposed restrictions on including companies with multiple class share structures in certain of their indexes.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Class A common stock in the public market could cause the market price of our Class A common stock to decline.</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particularly sales by our directors, executive officers, and significant stockholders, or the perception that these sales might occur, could depress the market price of our Class A common stock and could impair our ability to raise capital through the sale of additional equity securities. We are unable to predict the timing of or the effect that such sales may have on the prevailing market price of our Class A common stock.</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have registered all of the shares of Class A common stock and Class B common stock issuable upon exercise of outstanding options or other equity incentives we may grant in the future, for public resale under the Securities Act. The shares of Class A common stock and Class B common stock will become eligible for sale in the public market to the extent such options are exercised, subject to compliance with applicable securities laws.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capital stock in connection with financings, acquisitions, investments, our equity incentive plans or otherwise will dilute all other stockholders.</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expect to issue additional capital stock in the future that will result in dilution to all other stockholders. We expect to continue to grant equity awards to employees, directors and consultants under our equity incentive plans. We may also raise capital through equity financings in the future. As part of our business strategy, we have and may continue to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 Furthermore, if we issue additional equity or convertible debt securities, the new equity securities could have rights senior to those of our Class A common stock. For example, if we elect to settle our conversion obligation under our 0.00% Convertible Senior Notes due 2029, or the 2029 Notes, in shares of our Class A common stock or a combination of cash and shares of our Class A common stock, the issuance of such Class A common stock may dilute the ownership interests of our stockholders and sales in the public market could adversely affect prevailing market prices.</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cease publishing research or publish unfavorable or inaccurate research about our business, or if we fail to meet or significantly exceed our publicly announced financial guidance or the expectations of analysts or public investors, the market price and trading volume of our Class A common stock could decline.</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market price and trading volume of our Class A common stock will be heavily influenced by the way analysts interpret our financial information and other disclosures. We do not have control over these analysts. If securities or industry analysts cease coverage of us, downgrade our Class A common stock, or publish negative reports about our business, our stock price would likely decline. In addition, the stock prices of many companies in the technology industry have declined significantly after those companies have failed to meet, or significantly exceed, the financial guidance publicly announced by those companies or the expectations of analysts. If our financial results fail to meet, or significantly exceed, our announced guidance or the expectations or analysts or public investors, analysts could downgrade our Class A common stock or publish unfavorable research on us. As a result, demand for our Class A common stock could decrease, which might cause our stock price to decline and could decrease the trading volume of our Class A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intend to pay any cash dividends in the foreseeable future.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determination to pay dividends in the future will be at the discretion of our board of directors.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2" w:name="page63"/>
    <w:bookmarkEnd w:id="62"/>
    <w:p>
      <w:pPr>
        <w:jc w:val="both"/>
        <w:spacing w:after="0" w:line="282" w:lineRule="auto"/>
        <w:rPr>
          <w:sz w:val="20"/>
          <w:szCs w:val="20"/>
          <w:color w:val="auto"/>
        </w:rPr>
      </w:pPr>
      <w:r>
        <w:rPr>
          <w:rFonts w:ascii="Times New Roman" w:cs="Times New Roman" w:eastAsia="Times New Roman" w:hAnsi="Times New Roman"/>
          <w:sz w:val="18"/>
          <w:szCs w:val="18"/>
          <w:color w:val="auto"/>
        </w:rPr>
        <w:t>Accordingly, holders of our Class A common stock may need to rely on sales of their holdings of Class A common stock after price appreciation, which may never occur, as the only way to realize any future gains on their investment.</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obligated to develop and maintain proper and effective internal controls over financial reporting, and any failure to maintain the adequacy of these internal controls may adversely affect investor confidence in our company and, as a result, the value of our Class A common stock.</w:t>
      </w:r>
    </w:p>
    <w:p>
      <w:pPr>
        <w:spacing w:after="0" w:line="15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are required, pursuant to Section 404 of the Sarbanes-Oxley Act, to furnish a report by management on, among other things, the effectiveness of our internal control over financial reporting on an annual basis. This assessment must include disclosure of any material weaknesses identified by our management in our internal control over financial reporting. In addition, our independent registered public accounting firm is required to attest to the effectiveness of our internal control over financial reporting. Our compliance with Section 404 requires that we incur substantial expenses and expend significant management efforts. We have hired, and need to continue to hire, additional accounting and financial staff with appropriate public company experience and technical accounting knowledge to comply with Section 404.</w:t>
      </w:r>
    </w:p>
    <w:p>
      <w:pPr>
        <w:spacing w:after="0" w:line="18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During the evaluation and testing process of our internal controls in future years, if we identify one or more material weaknesses in our internal control over financial reporting, we will be unable to certify that our internal control over financial reporting is effective. We cannot assure you that there will not be material weaknesses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in our internal control over financial reporting, we could lose investor confidence in the accuracy and completeness of our financial reports, the market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Class A common stock.</w:t>
      </w:r>
    </w:p>
    <w:p>
      <w:pPr>
        <w:spacing w:after="0" w:line="15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spacing w:after="0" w:line="68" w:lineRule="exact"/>
        <w:rPr>
          <w:sz w:val="20"/>
          <w:szCs w:val="20"/>
          <w:color w:val="auto"/>
        </w:rPr>
      </w:pPr>
    </w:p>
    <w:p>
      <w:pPr>
        <w:ind w:left="980" w:hanging="486"/>
        <w:spacing w:after="0" w:line="282"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the stockholders, shares of undesignated preferred stock with terms, rights, and preferences determined by our board of directors that may be senior to our Class A common stock;</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be effected at a duly called annual or special meeting and not by written consent;</w:t>
      </w:r>
    </w:p>
    <w:p>
      <w:pPr>
        <w:spacing w:after="0" w:line="117"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the chairperson of our board of directors, or our chief executive officer;</w:t>
      </w:r>
    </w:p>
    <w:p>
      <w:pPr>
        <w:spacing w:after="0" w:line="53"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proposals to be brought before an annual meeting, including proposed nominations of persons for election to our board of directors;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that our board of directors is divided into three classes, with each class serving three-year staggered terms;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in the election of directors;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for cause only upon the vote of at least 66 2/3% of our outstanding shares of voting stock;</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 and</w:t>
      </w:r>
    </w:p>
    <w:p>
      <w:pPr>
        <w:spacing w:after="0" w:line="53"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our board of directors or the holders of at least 66 2/3% of our outstanding shares of voting stock to amend our bylaws and certain provisions of our certificate of incorporation.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3" w:name="page64"/>
    <w:bookmarkEnd w:id="63"/>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Class A common stock, and they could deter potential acquirers of our company, thereby reducing the likelihood that holders of our Class A common stock would receive a premium for their shares of our Class A common stock in an acquisition.</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Court of Chancery of the State of Delaware and the federal district courts of the United States of America as the exclusive forums for substantially all disputes between us and our stockholders, which could restrict our stockholders’ ability to choose the judicial forum for disputes with us or our directors, officers, or employees.</w:t>
      </w:r>
    </w:p>
    <w:p>
      <w:pPr>
        <w:spacing w:after="0" w:line="1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is the exclusive forum for the following types of actions or proceedings under Delaware statutory or common law: any derivative action or proceeding brought on our behalf; any action asserting a breach of a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The provisions would not apply to suits brought to enforce a duty or liability created by the Exchange Act. In addition, our amended and restated certificate of incorporation provides that the federal district courts of the United States of America will be the exclusive forum for resolving any complaint asserting a cause of action arising under the Securities Act.</w:t>
      </w:r>
    </w:p>
    <w:p>
      <w:pPr>
        <w:spacing w:after="0" w:line="18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These choice of forum provisions may limit a stockholder’s ability to bring a claim in a judicial forum that it finds favorable for disputes with us or our directors, officers, or other employees.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Outstanding Notes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have sufficient cash flow from our business to make payments on our significant debt when due, and we may incur additional indebtedness in the future.</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issued the 2029 Notes in a private placement in December 2024. We may be required to use a substantial portion of our cash flows from operations to pay principal on our indebtedness. Our ability to make scheduled payments of the principal of or to refinance our indebtedness, including the 2029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w:t>
      </w:r>
    </w:p>
    <w:p>
      <w:pPr>
        <w:spacing w:after="0" w:line="19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addition, we may incur substantial additional debt in the future, subject to the restrictions contained in our future debt agreements, some of which may be secured debt. We are not restricted under the terms of the indenture governing the 2029 Notes, from incurring additional debt, securing existing or future debt, recapitalizing our debt, repurchasing our stock, pledging our assets, making investments, paying dividends, guaranteeing debt or taking a number of other actions that are not limited by the terms of the indenture governing the 2029 Notes that could have the effect of diminishing our ability to make payments on the 2029 Notes when due.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conditional conversion feature of the 2029 Notes may adversely affect our financial condition and operating results.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2029 Notes are convertible at the option of their holders prior to their scheduled maturity in the event one or more of the conditional conversion features of the 2029 Notes are triggered. If one or more holders elect to convert their 2029 Notes, unless we elect to satisfy our conversion obligation by delivering solely shares of our Class A common stock (other than paying</w:t>
      </w:r>
    </w:p>
    <w:p>
      <w:pPr>
        <w:sectPr>
          <w:pgSz w:w="11900" w:h="16838" w:orient="portrait"/>
          <w:cols w:equalWidth="0" w:num="1">
            <w:col w:w="11240"/>
          </w:cols>
          <w:pgMar w:left="320" w:top="1309"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64" w:name="page65"/>
    <w:bookmarkEnd w:id="64"/>
    <w:p>
      <w:pPr>
        <w:jc w:val="both"/>
        <w:spacing w:after="0" w:line="261" w:lineRule="auto"/>
        <w:rPr>
          <w:sz w:val="20"/>
          <w:szCs w:val="20"/>
          <w:color w:val="auto"/>
        </w:rPr>
      </w:pPr>
      <w:r>
        <w:rPr>
          <w:rFonts w:ascii="Times New Roman" w:cs="Times New Roman" w:eastAsia="Times New Roman" w:hAnsi="Times New Roman"/>
          <w:sz w:val="18"/>
          <w:szCs w:val="18"/>
          <w:color w:val="auto"/>
        </w:rPr>
        <w:t>cash in lieu of delivering any fractional share), we would be required to settle a portion or all of our conversion obligation through the payment of cash, which could adversely affect our liquidity. In addition, even if holders do not elect to convert their 2029 Notes, we could be required under applicable accounting rules to reclassify the outstanding principal of the 2029 Notes as a current rather than long-term liability, which would result in a material reduction of our net working capital.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capped call transactions may affect the value of the 2029 Notes and the market price of our Class A common stock.</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connection with the pricing of the 2029 Notes, we entered into capped call transactions with the option counterparties. The capped call transactions cover, subject to customary adjustments substantially similar to those applicable to the 2029 Notes, the number of shares of our Class A common stock that initially underlie the 2029 Notes. The capped call transactions are generally expected to reduce the potential dilution to our Class A common stock upon any conversion of the 2029 Notes and/or offset any cash payments we are required to make in excess of the principal amount of converted 2029 Notes, as the case may be, with such reduction and/or offset subject to a cap. In connection with establishing their initial hedges of the capped call transactions, the option counterparties or their respective affiliates entered into various derivative transactions with respect to our Class A common stock and/or purchased shares of our Class A common stock concurrently with or shortly after the pricing of the 2029 Notes, including with certain investors in the 2029 Notes.</w:t>
      </w:r>
    </w:p>
    <w:p>
      <w:pPr>
        <w:spacing w:after="0" w:line="19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addition, the option counterparties or their respective affiliates may modify their hedge positions by entering into or unwinding various derivatives with respect to our Class A common stock and/or purchasing or selling our Class A common stock or other securities of ours in secondary market transactions following the pricing of the 2029 Notes and prior to the maturity of the 2029 Notes. They are likely to do so during any observation period related to a conversion of the 2029 Notes, or, to the extent we exercise the relevant election under the capped call transactions following any repurchase or redemption of the 2029 Notes. This activity could also cause or avoid an increase or decrease in the market price of our Class A common stock or the trading price of the Notes. The potential effect, if any, of these transactions and activities on the market price of our Class A common stock or the trading price of the Notes will depend in part on market conditions and cannot be ascertained at this time. Any of these activities could adversely affect the value of our Class A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counterparty risk with respect to the capped call transactions.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option counterparties to the capped call transactions are financial institutions, and we will be subject to the risk that any or all of them might default under the capped call transactions. Our exposure to the credit risk of the option counterparties will not be secured by any collateral. Past global economic conditions have resulted in the actual or perceived failure or financial difficulties of many financial institutions and could adversely affect the option counterparties’ performance under the capped call transactions. If an option counterparty becomes subject to insolvency proceedings, we will become an unsecured creditor in those proceedings with a claim equal to our exposure at that time under the capped call transactions with such option counterparty. Our exposure will depend on many factors but, generally, an increase in our exposure will be correlated with an increase in the market price and in the volatility of our Class A common stock. In addition, upon a default by an option counterparty, we may suffer more dilution, the effect of which would not be compensated for, than we currently anticipate with respect to our Class A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Recent Sales of Unregistered Equity Securities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2025, we issued 771,355 shares of Class A common stock as consideration in acquisitions. The issuance was deemed exempt from registration under the Securities Act pursuant to the exemption provided by Section 4(a)(2) of the Securities Act as a transaction by an issuer not involving a public offering.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Issuer Purchases of Equity Securities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In June 2025, in connection with the maturity of the 2025 Notes, the Company received 1,360,738 shares of Class A common stock from the relevant option counterparties upon settlement of the Capped Calls relating to the 2025 Notes and subsequently retired the shares. See Note 8, </w:t>
      </w:r>
      <w:r>
        <w:rPr>
          <w:rFonts w:ascii="Times New Roman" w:cs="Times New Roman" w:eastAsia="Times New Roman" w:hAnsi="Times New Roman"/>
          <w:sz w:val="18"/>
          <w:szCs w:val="18"/>
          <w:i w:val="1"/>
          <w:iCs w:val="1"/>
          <w:color w:val="auto"/>
        </w:rPr>
        <w:t>Convertible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Senior Notes</w:t>
      </w:r>
      <w:r>
        <w:rPr>
          <w:rFonts w:ascii="Times New Roman" w:cs="Times New Roman" w:eastAsia="Times New Roman" w:hAnsi="Times New Roman"/>
          <w:sz w:val="18"/>
          <w:szCs w:val="18"/>
          <w:color w:val="auto"/>
        </w:rPr>
        <w:t>, in our Notes to Unaudited Condensed Consolidated Financial Statements included in Part I, Item 1 of this Quarterly Report on Form 10-Q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discussion of the Capped Calls.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1309"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Arrangements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2025, the Company’s directors and officers (as defined in Rule 16a-1(f) under the Exchange Act) adopted, materially modified or terminated written plans intended to satisfy the affirmative defense conditions of Securities Exchange Act Rule 10b5-1(c) for the sale of the Company’s securities as set forth in the table below.</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6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Action</w:t>
            </w:r>
          </w:p>
        </w:tc>
        <w:tc>
          <w:tcPr>
            <w:tcW w:w="13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Shares of Class A Common</w:t>
            </w: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r>
        <w:trPr>
          <w:trHeight w:val="109"/>
        </w:trPr>
        <w:tc>
          <w:tcPr>
            <w:tcW w:w="1640" w:type="dxa"/>
            <w:vAlign w:val="bottom"/>
            <w:gridSpan w:val="2"/>
            <w:vMerge w:val="continue"/>
          </w:tcPr>
          <w:p>
            <w:pPr>
              <w:spacing w:after="0"/>
              <w:rPr>
                <w:sz w:val="9"/>
                <w:szCs w:val="9"/>
                <w:color w:val="auto"/>
              </w:rPr>
            </w:pPr>
          </w:p>
        </w:tc>
        <w:tc>
          <w:tcPr>
            <w:tcW w:w="2620" w:type="dxa"/>
            <w:vAlign w:val="bottom"/>
            <w:gridSpan w:val="2"/>
            <w:vMerge w:val="continue"/>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2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 to be Sold</w:t>
            </w:r>
          </w:p>
        </w:tc>
        <w:tc>
          <w:tcPr>
            <w:tcW w:w="1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60" w:type="dxa"/>
            <w:vAlign w:val="bottom"/>
            <w:gridSpan w:val="2"/>
            <w:vMerge w:val="continue"/>
          </w:tcPr>
          <w:p>
            <w:pPr>
              <w:spacing w:after="0"/>
              <w:rPr>
                <w:sz w:val="7"/>
                <w:szCs w:val="7"/>
                <w:color w:val="auto"/>
              </w:rPr>
            </w:pPr>
          </w:p>
        </w:tc>
        <w:tc>
          <w:tcPr>
            <w:tcW w:w="1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Kerry Acocella</w:t>
            </w:r>
          </w:p>
        </w:tc>
        <w:tc>
          <w:tcPr>
            <w:tcW w:w="100" w:type="dxa"/>
            <w:vAlign w:val="bottom"/>
            <w:shd w:val="clear" w:color="auto" w:fill="CCEEFF"/>
          </w:tcPr>
          <w:p>
            <w:pPr>
              <w:spacing w:after="0"/>
              <w:rPr>
                <w:sz w:val="19"/>
                <w:szCs w:val="19"/>
                <w:color w:val="auto"/>
              </w:rPr>
            </w:pPr>
          </w:p>
        </w:tc>
        <w:tc>
          <w:tcPr>
            <w:tcW w:w="2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General Counsel and Secretary</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line="223" w:lineRule="exact"/>
              <w:rPr>
                <w:sz w:val="20"/>
                <w:szCs w:val="20"/>
                <w:color w:val="auto"/>
              </w:rPr>
            </w:pPr>
            <w:r>
              <w:rPr>
                <w:rFonts w:ascii="Times New Roman" w:cs="Times New Roman" w:eastAsia="Times New Roman" w:hAnsi="Times New Roman"/>
                <w:sz w:val="16"/>
                <w:szCs w:val="16"/>
                <w:color w:val="auto"/>
                <w:w w:val="96"/>
              </w:rPr>
              <w:t xml:space="preserve">Modification </w:t>
            </w:r>
            <w:r>
              <w:rPr>
                <w:rFonts w:ascii="Times New Roman" w:cs="Times New Roman" w:eastAsia="Times New Roman" w:hAnsi="Times New Roman"/>
                <w:sz w:val="21"/>
                <w:szCs w:val="21"/>
                <w:color w:val="auto"/>
                <w:w w:val="96"/>
                <w:vertAlign w:val="superscript"/>
              </w:rPr>
              <w:t>(1)</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May 30, 2025</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Up to 47,668 shares</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December 31, 2025</w:t>
            </w:r>
          </w:p>
        </w:tc>
        <w:tc>
          <w:tcPr>
            <w:tcW w:w="0" w:type="dxa"/>
            <w:vAlign w:val="bottom"/>
          </w:tcPr>
          <w:p>
            <w:pPr>
              <w:spacing w:after="0"/>
              <w:rPr>
                <w:sz w:val="1"/>
                <w:szCs w:val="1"/>
                <w:color w:val="auto"/>
              </w:rPr>
            </w:pPr>
          </w:p>
        </w:tc>
      </w:tr>
      <w:tr>
        <w:trPr>
          <w:trHeight w:val="230"/>
        </w:trPr>
        <w:tc>
          <w:tcPr>
            <w:tcW w:w="1640" w:type="dxa"/>
            <w:vAlign w:val="bottom"/>
            <w:gridSpan w:val="2"/>
          </w:tcPr>
          <w:p>
            <w:pPr>
              <w:jc w:val="center"/>
              <w:ind w:right="80"/>
              <w:spacing w:after="0" w:line="230" w:lineRule="exact"/>
              <w:rPr>
                <w:sz w:val="20"/>
                <w:szCs w:val="20"/>
                <w:color w:val="auto"/>
              </w:rPr>
            </w:pPr>
            <w:r>
              <w:rPr>
                <w:rFonts w:ascii="Times New Roman" w:cs="Times New Roman" w:eastAsia="Times New Roman" w:hAnsi="Times New Roman"/>
                <w:sz w:val="16"/>
                <w:szCs w:val="16"/>
                <w:color w:val="auto"/>
                <w:w w:val="96"/>
              </w:rPr>
              <w:t xml:space="preserve">Amit Agarwal </w:t>
            </w:r>
            <w:r>
              <w:rPr>
                <w:rFonts w:ascii="Times New Roman" w:cs="Times New Roman" w:eastAsia="Times New Roman" w:hAnsi="Times New Roman"/>
                <w:sz w:val="21"/>
                <w:szCs w:val="21"/>
                <w:color w:val="auto"/>
                <w:w w:val="96"/>
                <w:vertAlign w:val="superscript"/>
              </w:rPr>
              <w:t>(2)</w:t>
            </w:r>
          </w:p>
        </w:tc>
        <w:tc>
          <w:tcPr>
            <w:tcW w:w="26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Director</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Adoption</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June 13, 2025</w:t>
            </w: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133,333</w:t>
            </w:r>
          </w:p>
        </w:tc>
        <w:tc>
          <w:tcPr>
            <w:tcW w:w="10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September 8, 2026</w:t>
            </w:r>
          </w:p>
        </w:tc>
        <w:tc>
          <w:tcPr>
            <w:tcW w:w="0" w:type="dxa"/>
            <w:vAlign w:val="bottom"/>
          </w:tcPr>
          <w:p>
            <w:pPr>
              <w:spacing w:after="0"/>
              <w:rPr>
                <w:sz w:val="1"/>
                <w:szCs w:val="1"/>
                <w:color w:val="auto"/>
              </w:rPr>
            </w:pPr>
          </w:p>
        </w:tc>
      </w:tr>
      <w:tr>
        <w:trPr>
          <w:trHeight w:val="229"/>
        </w:trPr>
        <w:tc>
          <w:tcPr>
            <w:tcW w:w="1640" w:type="dxa"/>
            <w:vAlign w:val="bottom"/>
            <w:gridSpan w:val="2"/>
            <w:shd w:val="clear" w:color="auto" w:fill="CCEEFF"/>
          </w:tcPr>
          <w:p>
            <w:pPr>
              <w:jc w:val="center"/>
              <w:ind w:right="80"/>
              <w:spacing w:after="0" w:line="230" w:lineRule="exact"/>
              <w:rPr>
                <w:sz w:val="20"/>
                <w:szCs w:val="20"/>
                <w:color w:val="auto"/>
              </w:rPr>
            </w:pPr>
            <w:r>
              <w:rPr>
                <w:rFonts w:ascii="Times New Roman" w:cs="Times New Roman" w:eastAsia="Times New Roman" w:hAnsi="Times New Roman"/>
                <w:sz w:val="16"/>
                <w:szCs w:val="16"/>
                <w:color w:val="auto"/>
                <w:w w:val="97"/>
              </w:rPr>
              <w:t xml:space="preserve">Shardul Shah </w:t>
            </w:r>
            <w:r>
              <w:rPr>
                <w:rFonts w:ascii="Times New Roman" w:cs="Times New Roman" w:eastAsia="Times New Roman" w:hAnsi="Times New Roman"/>
                <w:sz w:val="21"/>
                <w:szCs w:val="21"/>
                <w:color w:val="auto"/>
                <w:w w:val="97"/>
                <w:vertAlign w:val="superscript"/>
              </w:rPr>
              <w:t>(3)</w:t>
            </w:r>
          </w:p>
        </w:tc>
        <w:tc>
          <w:tcPr>
            <w:tcW w:w="26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Director</w:t>
            </w:r>
          </w:p>
        </w:tc>
        <w:tc>
          <w:tcPr>
            <w:tcW w:w="15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Adoption</w:t>
            </w: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June 13, 2025</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95,000</w:t>
            </w:r>
          </w:p>
        </w:tc>
        <w:tc>
          <w:tcPr>
            <w:tcW w:w="100" w:type="dxa"/>
            <w:vAlign w:val="bottom"/>
            <w:shd w:val="clear" w:color="auto" w:fill="CCEEFF"/>
          </w:tcPr>
          <w:p>
            <w:pPr>
              <w:spacing w:after="0"/>
              <w:rPr>
                <w:sz w:val="19"/>
                <w:szCs w:val="19"/>
                <w:color w:val="auto"/>
              </w:rPr>
            </w:pP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September 12, 2026</w:t>
            </w:r>
          </w:p>
        </w:tc>
        <w:tc>
          <w:tcPr>
            <w:tcW w:w="0" w:type="dxa"/>
            <w:vAlign w:val="bottom"/>
          </w:tcPr>
          <w:p>
            <w:pPr>
              <w:spacing w:after="0"/>
              <w:rPr>
                <w:sz w:val="1"/>
                <w:szCs w:val="1"/>
                <w:color w:val="auto"/>
              </w:rPr>
            </w:pPr>
          </w:p>
        </w:tc>
      </w:tr>
      <w:tr>
        <w:trPr>
          <w:trHeight w:val="250"/>
        </w:trPr>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Alexis Lê-Quôc</w:t>
            </w:r>
          </w:p>
        </w:tc>
        <w:tc>
          <w:tcPr>
            <w:tcW w:w="26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Chief Technology Officer &amp; Director</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Adoption</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June 13, 2025</w:t>
            </w:r>
          </w:p>
        </w:tc>
        <w:tc>
          <w:tcPr>
            <w:tcW w:w="2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4"/>
              </w:rPr>
              <w:t xml:space="preserve">1,165,632 </w:t>
            </w:r>
            <w:r>
              <w:rPr>
                <w:rFonts w:ascii="Times New Roman" w:cs="Times New Roman" w:eastAsia="Times New Roman" w:hAnsi="Times New Roman"/>
                <w:sz w:val="21"/>
                <w:szCs w:val="21"/>
                <w:color w:val="auto"/>
                <w:w w:val="94"/>
                <w:vertAlign w:val="superscript"/>
              </w:rPr>
              <w:t>(4)</w:t>
            </w:r>
          </w:p>
        </w:tc>
        <w:tc>
          <w:tcPr>
            <w:tcW w:w="100" w:type="dxa"/>
            <w:vAlign w:val="bottom"/>
          </w:tcPr>
          <w:p>
            <w:pPr>
              <w:spacing w:after="0"/>
              <w:rPr>
                <w:sz w:val="21"/>
                <w:szCs w:val="21"/>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October 30, 2026</w:t>
            </w:r>
          </w:p>
        </w:tc>
        <w:tc>
          <w:tcPr>
            <w:tcW w:w="0" w:type="dxa"/>
            <w:vAlign w:val="bottom"/>
          </w:tcPr>
          <w:p>
            <w:pPr>
              <w:spacing w:after="0"/>
              <w:rPr>
                <w:sz w:val="1"/>
                <w:szCs w:val="1"/>
                <w:color w:val="auto"/>
              </w:rPr>
            </w:pPr>
          </w:p>
        </w:tc>
      </w:tr>
    </w:tbl>
    <w:p>
      <w:pPr>
        <w:jc w:val="both"/>
        <w:ind w:left="360" w:right="20" w:hanging="334"/>
        <w:spacing w:after="0" w:line="245" w:lineRule="auto"/>
        <w:tabs>
          <w:tab w:leader="none" w:pos="35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modification under Rule 10b5-1(c)(1)(iv) of a Rule 10b5-1 trading plan adopted on December 13, 2024, which did not result in any change to the total number of shares to be sold under or the expiration date of the plan. The actual number of shares that will be sold under the Rule 10b5-1 trading plan will be reduced by the number of shares sold pursuant to the Company’s election under its equity incentive plans to require the satisfaction of tax withholding obligations realized upon the vesting of RSUs and PSUs to be funded by a sell-to-cover transaction. The number of Company shares to be sold to satisfy the Company’s tax withholding obligation is not known at this time as it is dependent on future events, including the future trading price of the Company’s shares.</w:t>
      </w:r>
    </w:p>
    <w:p>
      <w:pPr>
        <w:spacing w:after="0" w:line="26" w:lineRule="exact"/>
        <w:rPr>
          <w:rFonts w:ascii="Times New Roman" w:cs="Times New Roman" w:eastAsia="Times New Roman" w:hAnsi="Times New Roman"/>
          <w:sz w:val="14"/>
          <w:szCs w:val="14"/>
          <w:color w:val="auto"/>
        </w:rPr>
      </w:pPr>
    </w:p>
    <w:p>
      <w:pPr>
        <w:ind w:left="340" w:hanging="314"/>
        <w:spacing w:after="0"/>
        <w:tabs>
          <w:tab w:leader="none" w:pos="3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will be sold under a Rule 10b5-1 trading plan by the Agarwal 2018 Family Trust.</w:t>
      </w:r>
    </w:p>
    <w:p>
      <w:pPr>
        <w:spacing w:after="0" w:line="55" w:lineRule="exact"/>
        <w:rPr>
          <w:rFonts w:ascii="Times New Roman" w:cs="Times New Roman" w:eastAsia="Times New Roman" w:hAnsi="Times New Roman"/>
          <w:sz w:val="14"/>
          <w:szCs w:val="14"/>
          <w:color w:val="auto"/>
        </w:rPr>
      </w:pPr>
    </w:p>
    <w:p>
      <w:pPr>
        <w:ind w:left="340" w:hanging="314"/>
        <w:spacing w:after="0"/>
        <w:tabs>
          <w:tab w:leader="none" w:pos="3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will be sold under a Rule 10b5-1 trading plan by the 2019 Shah Family Trust.</w:t>
      </w:r>
    </w:p>
    <w:p>
      <w:pPr>
        <w:spacing w:after="0" w:line="55" w:lineRule="exact"/>
        <w:rPr>
          <w:rFonts w:ascii="Times New Roman" w:cs="Times New Roman" w:eastAsia="Times New Roman" w:hAnsi="Times New Roman"/>
          <w:sz w:val="14"/>
          <w:szCs w:val="14"/>
          <w:color w:val="auto"/>
        </w:rPr>
      </w:pPr>
    </w:p>
    <w:p>
      <w:pPr>
        <w:ind w:left="340" w:hanging="314"/>
        <w:spacing w:after="0"/>
        <w:tabs>
          <w:tab w:leader="none" w:pos="3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128,000 shares will be sold in sell-to-cover transactions intended to satisfy tax withholding obligations and exercise costs realized upon the exercise of stock options.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6" w:name="page67"/>
    <w:bookmarkEnd w:id="66"/>
    <w:p>
      <w:pPr>
        <w:spacing w:after="0" w:line="325" w:lineRule="exact"/>
        <w:rPr>
          <w:sz w:val="20"/>
          <w:szCs w:val="20"/>
          <w:color w:val="auto"/>
        </w:rPr>
      </w:pPr>
    </w:p>
    <w:p>
      <w:pPr>
        <w:ind w:left="55"/>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55" w:lineRule="exact"/>
        <w:rPr>
          <w:sz w:val="20"/>
          <w:szCs w:val="20"/>
          <w:color w:val="auto"/>
        </w:rPr>
      </w:pPr>
    </w:p>
    <w:tbl>
      <w:tblPr>
        <w:tblLayout w:type="fixed"/>
        <w:tblInd w:w="55" w:type="dxa"/>
        <w:tblCellMar>
          <w:top w:w="0" w:type="dxa"/>
          <w:left w:w="0" w:type="dxa"/>
          <w:bottom w:w="0" w:type="dxa"/>
          <w:right w:w="0" w:type="dxa"/>
        </w:tblCellMar>
      </w:tblPr>
      <w:tr>
        <w:trPr>
          <w:trHeight w:val="190"/>
        </w:trPr>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580" w:type="dxa"/>
            <w:vAlign w:val="bottom"/>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6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2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12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10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204"/>
        </w:trPr>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6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7"/>
        </w:trPr>
        <w:tc>
          <w:tcPr>
            <w:tcW w:w="10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0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gridSpan w:val="12"/>
          </w:tcPr>
          <w:p>
            <w:pPr>
              <w:spacing w:after="0" w:line="196"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Amended and Restated Certificate of</w:t>
              </w:r>
            </w:hyperlink>
          </w:p>
        </w:tc>
        <w:tc>
          <w:tcPr>
            <w:tcW w:w="960" w:type="dxa"/>
            <w:vAlign w:val="bottom"/>
          </w:tcPr>
          <w:p>
            <w:pPr>
              <w:jc w:val="center"/>
              <w:ind w:right="36"/>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4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001-39051</w:t>
            </w:r>
          </w:p>
        </w:tc>
        <w:tc>
          <w:tcPr>
            <w:tcW w:w="11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6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June 5, 2025</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60" w:type="dxa"/>
            <w:vAlign w:val="bottom"/>
            <w:tcBorders>
              <w:top w:val="single" w:sz="8" w:color="0000FF"/>
            </w:tcBorders>
            <w:gridSpan w:val="4"/>
          </w:tcPr>
          <w:p>
            <w:pPr>
              <w:spacing w:after="0" w:line="196"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Incorporation of Datadog, Inc.</w:t>
              </w:r>
            </w:hyperlink>
          </w:p>
        </w:tc>
        <w:tc>
          <w:tcPr>
            <w:tcW w:w="1060" w:type="dxa"/>
            <w:vAlign w:val="bottom"/>
            <w:gridSpan w:val="8"/>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8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107">
              <w:r>
                <w:rPr>
                  <w:rFonts w:ascii="Times New Roman" w:cs="Times New Roman" w:eastAsia="Times New Roman" w:hAnsi="Times New Roman"/>
                  <w:sz w:val="18"/>
                  <w:szCs w:val="18"/>
                  <w:color w:val="0000FF"/>
                  <w:w w:val="99"/>
                </w:rPr>
                <w:t>Amended and Restated Bylaws of Datadog, Inc.</w:t>
              </w:r>
            </w:hyperlink>
          </w:p>
        </w:tc>
        <w:tc>
          <w:tcPr>
            <w:tcW w:w="240" w:type="dxa"/>
            <w:vAlign w:val="bottom"/>
          </w:tcPr>
          <w:p>
            <w:pPr>
              <w:spacing w:after="0"/>
              <w:rPr>
                <w:sz w:val="21"/>
                <w:szCs w:val="21"/>
                <w:color w:val="auto"/>
              </w:rPr>
            </w:pPr>
          </w:p>
        </w:tc>
        <w:tc>
          <w:tcPr>
            <w:tcW w:w="960" w:type="dxa"/>
            <w:vAlign w:val="bottom"/>
          </w:tcPr>
          <w:p>
            <w:pPr>
              <w:jc w:val="center"/>
              <w:ind w:right="16"/>
              <w:spacing w:after="0"/>
              <w:rPr>
                <w:sz w:val="20"/>
                <w:szCs w:val="20"/>
                <w:color w:val="auto"/>
              </w:rPr>
            </w:pPr>
            <w:r>
              <w:rPr>
                <w:rFonts w:ascii="Times New Roman" w:cs="Times New Roman" w:eastAsia="Times New Roman" w:hAnsi="Times New Roman"/>
                <w:sz w:val="18"/>
                <w:szCs w:val="18"/>
                <w:color w:val="auto"/>
              </w:rPr>
              <w:t>10-Q</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001-39051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August 9, 2023</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1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w:t>
            </w:r>
          </w:p>
        </w:tc>
        <w:tc>
          <w:tcPr>
            <w:tcW w:w="600" w:type="dxa"/>
            <w:vAlign w:val="bottom"/>
            <w:gridSpan w:val="5"/>
          </w:tcPr>
          <w:p>
            <w:pPr>
              <w:spacing w:after="0"/>
              <w:rPr>
                <w:sz w:val="21"/>
                <w:szCs w:val="21"/>
                <w:color w:val="auto"/>
              </w:rPr>
            </w:pPr>
          </w:p>
        </w:tc>
        <w:tc>
          <w:tcPr>
            <w:tcW w:w="9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Pursuant to Rules 13a-14(a) and 15d-14(a)</w:t>
            </w: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under the Securities Exchange Act of 1934, as</w:t>
            </w: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40" w:type="dxa"/>
            <w:vAlign w:val="bottom"/>
            <w:tcBorders>
              <w:top w:val="single" w:sz="8" w:color="0000FF"/>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w:t>
            </w:r>
          </w:p>
        </w:tc>
        <w:tc>
          <w:tcPr>
            <w:tcW w:w="480" w:type="dxa"/>
            <w:vAlign w:val="bottom"/>
            <w:tcBorders>
              <w:top w:val="single" w:sz="8" w:color="0000FF"/>
            </w:tcBorders>
            <w:gridSpan w:val="3"/>
          </w:tcPr>
          <w:p>
            <w:pPr>
              <w:spacing w:after="0"/>
              <w:rPr>
                <w:sz w:val="17"/>
                <w:szCs w:val="17"/>
                <w:color w:val="auto"/>
              </w:rPr>
            </w:pPr>
          </w:p>
        </w:tc>
        <w:tc>
          <w:tcPr>
            <w:tcW w:w="400" w:type="dxa"/>
            <w:vAlign w:val="bottom"/>
            <w:gridSpan w:val="4"/>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1620" w:type="dxa"/>
            <w:vAlign w:val="bottom"/>
            <w:gridSpan w:val="10"/>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w:t>
            </w:r>
          </w:p>
        </w:tc>
        <w:tc>
          <w:tcPr>
            <w:tcW w:w="9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Pursuant to Rules 13a-14(a) and 15d-14(a)</w:t>
            </w: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under the Securities Exchange Act of 1934, as</w:t>
            </w: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40" w:type="dxa"/>
            <w:vAlign w:val="bottom"/>
            <w:tcBorders>
              <w:top w:val="single" w:sz="8" w:color="0000FF"/>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w:t>
            </w:r>
          </w:p>
        </w:tc>
        <w:tc>
          <w:tcPr>
            <w:tcW w:w="480" w:type="dxa"/>
            <w:vAlign w:val="bottom"/>
            <w:tcBorders>
              <w:top w:val="single" w:sz="8" w:color="0000FF"/>
            </w:tcBorders>
            <w:gridSpan w:val="3"/>
          </w:tcPr>
          <w:p>
            <w:pPr>
              <w:spacing w:after="0"/>
              <w:rPr>
                <w:sz w:val="17"/>
                <w:szCs w:val="17"/>
                <w:color w:val="auto"/>
              </w:rPr>
            </w:pPr>
          </w:p>
        </w:tc>
        <w:tc>
          <w:tcPr>
            <w:tcW w:w="400" w:type="dxa"/>
            <w:vAlign w:val="bottom"/>
            <w:gridSpan w:val="4"/>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1620" w:type="dxa"/>
            <w:vAlign w:val="bottom"/>
            <w:gridSpan w:val="10"/>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1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w:t>
            </w:r>
          </w:p>
        </w:tc>
        <w:tc>
          <w:tcPr>
            <w:tcW w:w="600" w:type="dxa"/>
            <w:vAlign w:val="bottom"/>
            <w:gridSpan w:val="5"/>
          </w:tcPr>
          <w:p>
            <w:pPr>
              <w:spacing w:after="0"/>
              <w:rPr>
                <w:sz w:val="21"/>
                <w:szCs w:val="21"/>
                <w:color w:val="auto"/>
              </w:rPr>
            </w:pPr>
          </w:p>
        </w:tc>
        <w:tc>
          <w:tcPr>
            <w:tcW w:w="9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6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18 U.S.C. Section 1350, as Adopted</w:t>
            </w:r>
          </w:p>
        </w:tc>
        <w:tc>
          <w:tcPr>
            <w:tcW w:w="26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906 of the Sarbanes-Oxley</w:t>
            </w: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2460" w:type="dxa"/>
            <w:vAlign w:val="bottom"/>
            <w:tcBorders>
              <w:top w:val="single" w:sz="8" w:color="0000FF"/>
            </w:tcBorders>
            <w:gridSpan w:val="8"/>
          </w:tcPr>
          <w:p>
            <w:pPr>
              <w:spacing w:after="0"/>
              <w:rPr>
                <w:sz w:val="17"/>
                <w:szCs w:val="17"/>
                <w:color w:val="auto"/>
              </w:rPr>
            </w:pPr>
          </w:p>
        </w:tc>
        <w:tc>
          <w:tcPr>
            <w:tcW w:w="360" w:type="dxa"/>
            <w:vAlign w:val="bottom"/>
            <w:gridSpan w:val="3"/>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w:t>
            </w:r>
          </w:p>
        </w:tc>
        <w:tc>
          <w:tcPr>
            <w:tcW w:w="9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60" w:type="dxa"/>
            <w:vAlign w:val="bottom"/>
            <w:gridSpan w:val="6"/>
            <w:shd w:val="clear" w:color="auto" w:fill="0000FF"/>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6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18 U.S.C. Section 1350, as Adopted</w:t>
            </w:r>
          </w:p>
        </w:tc>
        <w:tc>
          <w:tcPr>
            <w:tcW w:w="26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906 of the Sarbanes-Oxley</w:t>
            </w: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2460" w:type="dxa"/>
            <w:vAlign w:val="bottom"/>
            <w:tcBorders>
              <w:top w:val="single" w:sz="8" w:color="0000FF"/>
            </w:tcBorders>
            <w:gridSpan w:val="8"/>
          </w:tcPr>
          <w:p>
            <w:pPr>
              <w:spacing w:after="0"/>
              <w:rPr>
                <w:sz w:val="17"/>
                <w:szCs w:val="17"/>
                <w:color w:val="auto"/>
              </w:rPr>
            </w:pPr>
          </w:p>
        </w:tc>
        <w:tc>
          <w:tcPr>
            <w:tcW w:w="360" w:type="dxa"/>
            <w:vAlign w:val="bottom"/>
            <w:gridSpan w:val="3"/>
          </w:tcPr>
          <w:p>
            <w:pPr>
              <w:spacing w:after="0"/>
              <w:rPr>
                <w:sz w:val="17"/>
                <w:szCs w:val="17"/>
                <w:color w:val="auto"/>
              </w:rPr>
            </w:pPr>
          </w:p>
        </w:tc>
        <w:tc>
          <w:tcPr>
            <w:tcW w:w="9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70"/>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3"/>
                <w:szCs w:val="23"/>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9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52"/>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1"/>
                <w:szCs w:val="21"/>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Calculation</w:t>
            </w:r>
          </w:p>
        </w:tc>
        <w:tc>
          <w:tcPr>
            <w:tcW w:w="9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9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1"/>
                <w:szCs w:val="21"/>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Definition</w:t>
            </w:r>
          </w:p>
        </w:tc>
        <w:tc>
          <w:tcPr>
            <w:tcW w:w="9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9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1"/>
                <w:szCs w:val="21"/>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Label Linkbase</w:t>
            </w:r>
          </w:p>
        </w:tc>
        <w:tc>
          <w:tcPr>
            <w:tcW w:w="9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Document</w:t>
            </w:r>
          </w:p>
        </w:tc>
        <w:tc>
          <w:tcPr>
            <w:tcW w:w="9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1"/>
                <w:szCs w:val="21"/>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Presentation</w:t>
            </w:r>
          </w:p>
        </w:tc>
        <w:tc>
          <w:tcPr>
            <w:tcW w:w="9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9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w:t>
            </w:r>
          </w:p>
        </w:tc>
        <w:tc>
          <w:tcPr>
            <w:tcW w:w="9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and contained in Exhibit 101)</w:t>
            </w:r>
          </w:p>
        </w:tc>
        <w:tc>
          <w:tcPr>
            <w:tcW w:w="9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5"/>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45" w:lineRule="exact"/>
        <w:rPr>
          <w:sz w:val="20"/>
          <w:szCs w:val="20"/>
          <w:color w:val="auto"/>
        </w:rPr>
      </w:pPr>
    </w:p>
    <w:p>
      <w:pPr>
        <w:ind w:left="335" w:right="140" w:hanging="335"/>
        <w:spacing w:after="0" w:line="241" w:lineRule="auto"/>
        <w:tabs>
          <w:tab w:leader="none" w:pos="335"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94"/>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55"/>
          </w:cols>
          <w:pgMar w:left="265" w:top="1440" w:right="37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772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DATADOG, INC.</w:t>
            </w:r>
          </w:p>
        </w:tc>
      </w:tr>
      <w:tr>
        <w:trPr>
          <w:trHeight w:val="499"/>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8, 2025</w:t>
            </w:r>
          </w:p>
        </w:tc>
        <w:tc>
          <w:tcPr>
            <w:tcW w:w="28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Olivier Pomel</w:t>
            </w:r>
          </w:p>
        </w:tc>
      </w:tr>
      <w:tr>
        <w:trPr>
          <w:trHeight w:val="218"/>
        </w:trPr>
        <w:tc>
          <w:tcPr>
            <w:tcW w:w="3460" w:type="dxa"/>
            <w:vAlign w:val="bottom"/>
          </w:tcPr>
          <w:p>
            <w:pPr>
              <w:spacing w:after="0"/>
              <w:rPr>
                <w:sz w:val="18"/>
                <w:szCs w:val="18"/>
                <w:color w:val="auto"/>
              </w:rPr>
            </w:pPr>
          </w:p>
        </w:tc>
        <w:tc>
          <w:tcPr>
            <w:tcW w:w="28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Name:</w:t>
            </w: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Olivier Pomel</w:t>
            </w:r>
          </w:p>
        </w:tc>
      </w:tr>
      <w:tr>
        <w:trPr>
          <w:trHeight w:val="180"/>
        </w:trPr>
        <w:tc>
          <w:tcPr>
            <w:tcW w:w="3460" w:type="dxa"/>
            <w:vAlign w:val="bottom"/>
          </w:tcPr>
          <w:p>
            <w:pPr>
              <w:spacing w:after="0"/>
              <w:rPr>
                <w:sz w:val="15"/>
                <w:szCs w:val="15"/>
                <w:color w:val="auto"/>
              </w:rPr>
            </w:pPr>
          </w:p>
        </w:tc>
        <w:tc>
          <w:tcPr>
            <w:tcW w:w="2880" w:type="dxa"/>
            <w:vAlign w:val="bottom"/>
          </w:tcPr>
          <w:p>
            <w:pPr>
              <w:ind w:left="1900"/>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48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6"/>
        </w:trPr>
        <w:tc>
          <w:tcPr>
            <w:tcW w:w="34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93"/>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8, 2025</w:t>
            </w:r>
          </w:p>
        </w:tc>
        <w:tc>
          <w:tcPr>
            <w:tcW w:w="28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Obstler</w:t>
            </w:r>
          </w:p>
        </w:tc>
      </w:tr>
      <w:tr>
        <w:trPr>
          <w:trHeight w:val="218"/>
        </w:trPr>
        <w:tc>
          <w:tcPr>
            <w:tcW w:w="3460" w:type="dxa"/>
            <w:vAlign w:val="bottom"/>
          </w:tcPr>
          <w:p>
            <w:pPr>
              <w:spacing w:after="0"/>
              <w:rPr>
                <w:sz w:val="18"/>
                <w:szCs w:val="18"/>
                <w:color w:val="auto"/>
              </w:rPr>
            </w:pPr>
          </w:p>
        </w:tc>
        <w:tc>
          <w:tcPr>
            <w:tcW w:w="288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Name:</w:t>
            </w: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Obstler</w:t>
            </w:r>
          </w:p>
        </w:tc>
      </w:tr>
      <w:tr>
        <w:trPr>
          <w:trHeight w:val="180"/>
        </w:trPr>
        <w:tc>
          <w:tcPr>
            <w:tcW w:w="3460" w:type="dxa"/>
            <w:vAlign w:val="bottom"/>
          </w:tcPr>
          <w:p>
            <w:pPr>
              <w:spacing w:after="0"/>
              <w:rPr>
                <w:sz w:val="15"/>
                <w:szCs w:val="15"/>
                <w:color w:val="auto"/>
              </w:rPr>
            </w:pPr>
          </w:p>
        </w:tc>
        <w:tc>
          <w:tcPr>
            <w:tcW w:w="2880" w:type="dxa"/>
            <w:vAlign w:val="bottom"/>
          </w:tcPr>
          <w:p>
            <w:pPr>
              <w:ind w:left="1900"/>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48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4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40"/>
          </w:cols>
          <w:pgMar w:left="320" w:top="1089"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 pursuant to</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Olivier Pomel, certify that:</w:t>
      </w:r>
    </w:p>
    <w:p>
      <w:pPr>
        <w:spacing w:after="0" w:line="225" w:lineRule="exact"/>
        <w:rPr>
          <w:sz w:val="20"/>
          <w:szCs w:val="20"/>
          <w:color w:val="auto"/>
        </w:rPr>
      </w:pPr>
    </w:p>
    <w:p>
      <w:pPr>
        <w:ind w:left="580" w:hanging="572"/>
        <w:spacing w:after="0"/>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Datadog, Inc. (the “registrant”) for the fiscal quarter ended June 30, 2025;</w:t>
      </w:r>
    </w:p>
    <w:p>
      <w:pPr>
        <w:spacing w:after="0" w:line="225" w:lineRule="exact"/>
        <w:rPr>
          <w:rFonts w:ascii="Times New Roman" w:cs="Times New Roman" w:eastAsia="Times New Roman" w:hAnsi="Times New Roman"/>
          <w:sz w:val="18"/>
          <w:szCs w:val="18"/>
          <w:color w:val="auto"/>
        </w:rPr>
      </w:pPr>
    </w:p>
    <w:p>
      <w:pPr>
        <w:jc w:val="both"/>
        <w:ind w:left="580" w:right="200" w:hanging="572"/>
        <w:spacing w:after="0" w:line="266" w:lineRule="auto"/>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80" w:right="160" w:hanging="572"/>
        <w:spacing w:after="0" w:line="282" w:lineRule="auto"/>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80" w:right="220" w:hanging="572"/>
        <w:spacing w:after="0" w:line="282" w:lineRule="auto"/>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1140" w:right="80" w:hanging="565"/>
        <w:spacing w:after="0" w:line="266" w:lineRule="auto"/>
        <w:tabs>
          <w:tab w:leader="none" w:pos="113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140" w:right="200" w:hanging="565"/>
        <w:spacing w:after="0" w:line="266" w:lineRule="auto"/>
        <w:tabs>
          <w:tab w:leader="none" w:pos="112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140" w:right="380" w:hanging="565"/>
        <w:spacing w:after="0" w:line="312" w:lineRule="auto"/>
        <w:tabs>
          <w:tab w:leader="none" w:pos="1131"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140" w:right="100" w:hanging="565"/>
        <w:spacing w:after="0" w:line="266" w:lineRule="auto"/>
        <w:tabs>
          <w:tab w:leader="none" w:pos="112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80" w:right="180" w:hanging="572"/>
        <w:spacing w:after="0" w:line="282" w:lineRule="auto"/>
        <w:tabs>
          <w:tab w:leader="none" w:pos="5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140" w:right="620" w:hanging="565"/>
        <w:spacing w:after="0" w:line="282" w:lineRule="auto"/>
        <w:tabs>
          <w:tab w:leader="none" w:pos="113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140" w:right="340" w:hanging="565"/>
        <w:spacing w:after="0" w:line="282" w:lineRule="auto"/>
        <w:tabs>
          <w:tab w:leader="none" w:pos="1128"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20"/>
        <w:spacing w:after="0"/>
        <w:tabs>
          <w:tab w:leader="none" w:pos="5840" w:val="left"/>
          <w:tab w:leader="none" w:pos="7100" w:val="left"/>
        </w:tabs>
        <w:rPr>
          <w:sz w:val="20"/>
          <w:szCs w:val="20"/>
          <w:color w:val="auto"/>
        </w:rPr>
      </w:pPr>
      <w:r>
        <w:rPr>
          <w:rFonts w:ascii="Times New Roman" w:cs="Times New Roman" w:eastAsia="Times New Roman" w:hAnsi="Times New Roman"/>
          <w:sz w:val="18"/>
          <w:szCs w:val="18"/>
          <w:color w:val="auto"/>
        </w:rPr>
        <w:t>Date: August 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Olivier Pomel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34290</wp:posOffset>
            </wp:positionV>
            <wp:extent cx="310324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53" w:lineRule="exact"/>
        <w:rPr>
          <w:sz w:val="20"/>
          <w:szCs w:val="20"/>
          <w:color w:val="auto"/>
        </w:rPr>
      </w:pPr>
    </w:p>
    <w:p>
      <w:pPr>
        <w:ind w:left="6340"/>
        <w:spacing w:after="0"/>
        <w:tabs>
          <w:tab w:leader="none" w:pos="7100"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8"/>
          <w:szCs w:val="18"/>
          <w:color w:val="auto"/>
        </w:rPr>
        <w:t>Olivier Pomel</w:t>
      </w:r>
    </w:p>
    <w:p>
      <w:pPr>
        <w:spacing w:after="0" w:line="63" w:lineRule="exact"/>
        <w:rPr>
          <w:sz w:val="20"/>
          <w:szCs w:val="20"/>
          <w:color w:val="auto"/>
        </w:rPr>
      </w:pPr>
    </w:p>
    <w:p>
      <w:pPr>
        <w:ind w:left="6340"/>
        <w:spacing w:after="0"/>
        <w:tabs>
          <w:tab w:leader="none" w:pos="710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color w:val="auto"/>
        </w:rPr>
        <w:t>Chief Executive Officer and Director</w:t>
      </w:r>
    </w:p>
    <w:p>
      <w:pPr>
        <w:spacing w:after="0" w:line="65"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887"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 pursuant to</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Obstler, certify that:</w:t>
      </w:r>
    </w:p>
    <w:p>
      <w:pPr>
        <w:spacing w:after="0" w:line="225" w:lineRule="exact"/>
        <w:rPr>
          <w:sz w:val="20"/>
          <w:szCs w:val="20"/>
          <w:color w:val="auto"/>
        </w:rPr>
      </w:pPr>
    </w:p>
    <w:p>
      <w:pPr>
        <w:ind w:left="580" w:hanging="572"/>
        <w:spacing w:after="0"/>
        <w:tabs>
          <w:tab w:leader="none" w:pos="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Datadog, Inc. (the “registrant”) for the fiscal quarter ended June 30, 2025;</w:t>
      </w:r>
    </w:p>
    <w:p>
      <w:pPr>
        <w:spacing w:after="0" w:line="225" w:lineRule="exact"/>
        <w:rPr>
          <w:rFonts w:ascii="Times New Roman" w:cs="Times New Roman" w:eastAsia="Times New Roman" w:hAnsi="Times New Roman"/>
          <w:sz w:val="18"/>
          <w:szCs w:val="18"/>
          <w:color w:val="auto"/>
        </w:rPr>
      </w:pPr>
    </w:p>
    <w:p>
      <w:pPr>
        <w:jc w:val="both"/>
        <w:ind w:left="580" w:right="200" w:hanging="572"/>
        <w:spacing w:after="0" w:line="266" w:lineRule="auto"/>
        <w:tabs>
          <w:tab w:leader="none" w:pos="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80" w:right="160" w:hanging="572"/>
        <w:spacing w:after="0" w:line="282" w:lineRule="auto"/>
        <w:tabs>
          <w:tab w:leader="none" w:pos="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80" w:right="220" w:hanging="572"/>
        <w:spacing w:after="0" w:line="282" w:lineRule="auto"/>
        <w:tabs>
          <w:tab w:leader="none" w:pos="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1140" w:right="80" w:hanging="565"/>
        <w:spacing w:after="0" w:line="266" w:lineRule="auto"/>
        <w:tabs>
          <w:tab w:leader="none" w:pos="113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140" w:right="200" w:hanging="565"/>
        <w:spacing w:after="0" w:line="266" w:lineRule="auto"/>
        <w:tabs>
          <w:tab w:leader="none" w:pos="112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140" w:right="380" w:hanging="565"/>
        <w:spacing w:after="0" w:line="312" w:lineRule="auto"/>
        <w:tabs>
          <w:tab w:leader="none" w:pos="1131"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140" w:right="100" w:hanging="565"/>
        <w:spacing w:after="0" w:line="266" w:lineRule="auto"/>
        <w:tabs>
          <w:tab w:leader="none" w:pos="112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80" w:right="180" w:hanging="572"/>
        <w:spacing w:after="0" w:line="282" w:lineRule="auto"/>
        <w:tabs>
          <w:tab w:leader="none" w:pos="5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140" w:right="620" w:hanging="565"/>
        <w:spacing w:after="0" w:line="282" w:lineRule="auto"/>
        <w:tabs>
          <w:tab w:leader="none" w:pos="113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140" w:right="340" w:hanging="565"/>
        <w:spacing w:after="0" w:line="282" w:lineRule="auto"/>
        <w:tabs>
          <w:tab w:leader="none" w:pos="112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8, 2025</w:t>
            </w:r>
          </w:p>
        </w:tc>
        <w:tc>
          <w:tcPr>
            <w:tcW w:w="326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 David Obstler</w:t>
            </w:r>
          </w:p>
        </w:tc>
      </w:tr>
      <w:tr>
        <w:trPr>
          <w:trHeight w:val="214"/>
        </w:trPr>
        <w:tc>
          <w:tcPr>
            <w:tcW w:w="37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2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David Obstler</w:t>
            </w:r>
          </w:p>
        </w:tc>
      </w:tr>
      <w:tr>
        <w:trPr>
          <w:trHeight w:val="232"/>
        </w:trPr>
        <w:tc>
          <w:tcPr>
            <w:tcW w:w="37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7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r>
    </w:tbl>
    <w:p>
      <w:pPr>
        <w:sectPr>
          <w:pgSz w:w="11900" w:h="16838" w:orient="portrait"/>
          <w:cols w:equalWidth="0" w:num="1">
            <w:col w:w="11240"/>
          </w:cols>
          <w:pgMar w:left="320" w:top="887"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I, Olivier Pomel, certify, pursuant to 18 U.S.C. Section 1350, as adopted pursuant to Section 906 of the Sarbanes-Oxley Act of 2002, that the Quarterly Report on Form 10-Q of Datadog, Inc. for the fiscal quarter ended June 30, 2025 fully complies with the requirements of Section 13(a) or 15(d) of the Securities Exchange Act of 1934, as amended, and that information contained in such Quarterly Report on Form 10-Q fairly presents, in all material respects, the financial condition and results of operations of Datadog, Inc.</w:t>
      </w: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8, 2025</w:t>
            </w:r>
          </w:p>
        </w:tc>
        <w:tc>
          <w:tcPr>
            <w:tcW w:w="326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 Olivier Pomel</w:t>
            </w:r>
          </w:p>
        </w:tc>
      </w:tr>
      <w:tr>
        <w:trPr>
          <w:trHeight w:val="214"/>
        </w:trPr>
        <w:tc>
          <w:tcPr>
            <w:tcW w:w="37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2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Olivier Pomel</w:t>
            </w:r>
          </w:p>
        </w:tc>
      </w:tr>
      <w:tr>
        <w:trPr>
          <w:trHeight w:val="232"/>
        </w:trPr>
        <w:tc>
          <w:tcPr>
            <w:tcW w:w="37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6"/>
        </w:trPr>
        <w:tc>
          <w:tcPr>
            <w:tcW w:w="37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3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Quarterly Report, is not deemed filed with the Securities and Exchange Commission and is not to be incorporated by reference into any filing of Datadog, Inc. under the Securities Act of 1933, as amended, or the Securities Exchange Act of 1934, as amended (whether made before or after the date of the Quarterly Report on Form 10-Q), irrespective of any general incorporation language contained in such filing.</w:t>
      </w:r>
    </w:p>
    <w:p>
      <w:pPr>
        <w:sectPr>
          <w:pgSz w:w="11900" w:h="16838" w:orient="portrait"/>
          <w:cols w:equalWidth="0" w:num="1">
            <w:col w:w="11240"/>
          </w:cols>
          <w:pgMar w:left="320" w:top="887"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I, David Obstler, certify, pursuant to 18 U.S.C. Section 1350, as adopted pursuant to Section 906 of the Sarbanes-Oxley Act of 2002, that the Quarterly Report on Form 10-Q of Datadog, Inc. for the fiscal quarter ended June 30, 2025 fully complies with the requirements of Section 13(a) or 15(d) of the Securities Exchange Act of 1934, as amended, and that information contained in such Quarterly Report on Form 10-Q fairly presents, in all material respects, the financial condition and results of operations of Datadog, Inc.</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8, 2025</w:t>
            </w:r>
          </w:p>
        </w:tc>
        <w:tc>
          <w:tcPr>
            <w:tcW w:w="326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 David Obstler</w:t>
            </w:r>
          </w:p>
        </w:tc>
      </w:tr>
      <w:tr>
        <w:trPr>
          <w:trHeight w:val="214"/>
        </w:trPr>
        <w:tc>
          <w:tcPr>
            <w:tcW w:w="37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2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David Obstler</w:t>
            </w:r>
          </w:p>
        </w:tc>
      </w:tr>
      <w:tr>
        <w:trPr>
          <w:trHeight w:val="232"/>
        </w:trPr>
        <w:tc>
          <w:tcPr>
            <w:tcW w:w="37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7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r>
    </w:tbl>
    <w:p>
      <w:pPr>
        <w:spacing w:after="0" w:line="27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Quarterly Report, is not deemed filed with the Securities and Exchange Commission and is not to be incorporated by reference into any filing of Datadog, Inc. under the Securities Act of 1933, as amended, or the Securities Exchange Act of 1934, as amended (whether made before or after the date of the Quarterly Report on Form 10-Q), irrespective of any general incorporation language contained in such filing.</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decimal"/>
      <w:start w:val="1"/>
    </w:lvl>
  </w:abstractNum>
  <w:abstractNum w:abstractNumId="5">
    <w:nsid w:val="4E6AFB66"/>
    <w:multiLevelType w:val="hybridMultilevel"/>
    <w:lvl w:ilvl="0">
      <w:lvlJc w:val="left"/>
      <w:lvlText w:val="%1)"/>
      <w:numFmt w:val="decimal"/>
      <w:start w:val="1"/>
    </w:lvl>
  </w:abstractNum>
  <w:abstractNum w:abstractNumId="6">
    <w:nsid w:val="25E45D32"/>
    <w:multiLevelType w:val="hybridMultilevel"/>
    <w:lvl w:ilvl="0">
      <w:lvlJc w:val="left"/>
      <w:lvlText w:val="%1)"/>
      <w:numFmt w:val="decimal"/>
      <w:start w:val="1"/>
    </w:lvl>
  </w:abstractNum>
  <w:abstractNum w:abstractNumId="7">
    <w:nsid w:val="519B500D"/>
    <w:multiLevelType w:val="hybridMultilevel"/>
    <w:lvl w:ilvl="0">
      <w:lvlJc w:val="left"/>
      <w:lvlText w:val="(%1)"/>
      <w:numFmt w:val="decimal"/>
      <w:start w:val="2"/>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decimal"/>
      <w:start w:val="1"/>
    </w:lvl>
  </w:abstractNum>
  <w:abstractNum w:abstractNumId="24">
    <w:nsid w:val="B03E0C6"/>
    <w:multiLevelType w:val="hybridMultilevel"/>
    <w:lvl w:ilvl="0">
      <w:lvlJc w:val="left"/>
      <w:lvlText w:val="*"/>
      <w:numFmt w:val="bullet"/>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06" Type="http://schemas.openxmlformats.org/officeDocument/2006/relationships/hyperlink" Target="https://www.sec.gov/Archives/edgar/data/1561550/000156155025000162/datadog-amendedandrestated.htm" TargetMode="External"/><Relationship Id="rId107" Type="http://schemas.openxmlformats.org/officeDocument/2006/relationships/hyperlink" Target="https://www.sec.gov/Archives/edgar/data/1561550/000156155023000039/exhibit32-amendedandresta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2025-08-08T06:15:39Z</dcterms:created>
  <dcterms:modified xsi:type="dcterms:W3CDTF">2025-08-08T06:15:39Z</dcterms:modified>
</cp:coreProperties>
</file>