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09"/>
        </w:trPr>
        <w:tc>
          <w:tcPr>
            <w:tcW w:w="136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tc>
      </w:tr>
      <w:tr>
        <w:trPr>
          <w:trHeight w:val="238"/>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_________________________________________________________</w:t>
            </w:r>
          </w:p>
        </w:tc>
      </w:tr>
      <w:tr>
        <w:trPr>
          <w:trHeight w:val="475"/>
        </w:trPr>
        <w:tc>
          <w:tcPr>
            <w:tcW w:w="136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Times New Roman" w:cs="Times New Roman" w:eastAsia="Times New Roman" w:hAnsi="Times New Roman"/>
                <w:sz w:val="36"/>
                <w:szCs w:val="36"/>
                <w:b w:val="1"/>
                <w:bCs w:val="1"/>
                <w:color w:val="auto"/>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4"/>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w:t>
            </w:r>
          </w:p>
        </w:tc>
      </w:tr>
      <w:tr>
        <w:trPr>
          <w:trHeight w:val="365"/>
        </w:trPr>
        <w:tc>
          <w:tcPr>
            <w:tcW w:w="1360" w:type="dxa"/>
            <w:vAlign w:val="bottom"/>
          </w:tcPr>
          <w:p>
            <w:pPr>
              <w:spacing w:after="0"/>
              <w:rPr>
                <w:sz w:val="24"/>
                <w:szCs w:val="24"/>
                <w:color w:val="auto"/>
              </w:rPr>
            </w:pPr>
          </w:p>
        </w:tc>
        <w:tc>
          <w:tcPr>
            <w:tcW w:w="4380" w:type="dxa"/>
            <w:vAlign w:val="bottom"/>
            <w:gridSpan w:val="2"/>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27-2825503</w:t>
            </w:r>
          </w:p>
        </w:tc>
      </w:tr>
      <w:tr>
        <w:trPr>
          <w:trHeight w:val="191"/>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4"/>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19"/>
        </w:trPr>
        <w:tc>
          <w:tcPr>
            <w:tcW w:w="574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35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of August 2, 2024, there were 311,110,360 shares of the registrant’s Class A common stock and 26,041,915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915670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21"/>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Six Months Ended June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Six Months Ended June 30, 2024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6"/>
              </w:rPr>
              <w:t>and 2023</w:t>
            </w:r>
          </w:p>
        </w:tc>
        <w:tc>
          <w:tcPr>
            <w:tcW w:w="8140" w:type="dxa"/>
            <w:vAlign w:val="bottom"/>
            <w:tcBorders>
              <w:top w:val="single" w:sz="8" w:color="0000FF"/>
            </w:tcBorders>
            <w:gridSpan w:val="16"/>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(Deficit) for the Three and Six Months Ended June 30, 2024 and</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2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3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740" w:type="dxa"/>
            <w:vAlign w:val="bottom"/>
            <w:gridSpan w:val="4"/>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5"/>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00" w:type="dxa"/>
            <w:vAlign w:val="bottom"/>
            <w:tcBorders>
              <w:top w:val="single" w:sz="8" w:color="0000FF"/>
            </w:tcBorders>
          </w:tcPr>
          <w:p>
            <w:pPr>
              <w:spacing w:after="0"/>
              <w:rPr>
                <w:sz w:val="21"/>
                <w:szCs w:val="21"/>
                <w:color w:val="auto"/>
              </w:rPr>
            </w:pPr>
          </w:p>
        </w:tc>
        <w:tc>
          <w:tcPr>
            <w:tcW w:w="628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21"/>
                <w:szCs w:val="21"/>
                <w:color w:val="auto"/>
              </w:rPr>
            </w:pPr>
          </w:p>
        </w:tc>
        <w:tc>
          <w:tcPr>
            <w:tcW w:w="240" w:type="dxa"/>
            <w:vAlign w:val="bottom"/>
            <w:tcBorders>
              <w:top w:val="single" w:sz="8" w:color="0000FF"/>
            </w:tcBorders>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 and its subsidiaries. “Datadog”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330,339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2,549,143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2,252,559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$12,902 and $12,096 as of June 30, 2024 and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509,279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41,022</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3,592,090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3,178,137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126,562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352,694</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4,412,391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3,936,072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87,712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765,735</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1,790,879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1,003,052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138,128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742,235</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2,005,083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1,910,718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June 30, 2024 and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310,772,876 and 305,395,175 shares issued and outstanding as of June 30, 2024 and</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June 30, 2024 and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25,996,783 and 25,684,571 shares issued and outstanding as of June 30, 2024 and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2,181,267</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(153,698)</w:t>
            </w:r>
          </w:p>
        </w:tc>
        <w:tc>
          <w:tcPr>
            <w:tcW w:w="0" w:type="dxa"/>
            <w:vAlign w:val="bottom"/>
          </w:tcPr>
          <w:p>
            <w:pPr>
              <w:spacing w:after="0"/>
              <w:rPr>
                <w:sz w:val="1"/>
                <w:szCs w:val="1"/>
                <w:color w:val="auto"/>
              </w:rPr>
            </w:pPr>
          </w:p>
        </w:tc>
      </w:tr>
      <w:tr>
        <w:trPr>
          <w:trHeight w:val="23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2,407,308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2,025,354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4,412,391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3,936,072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9" w:right="339" w:bottom="68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686"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7"/>
        </w:trPr>
        <w:tc>
          <w:tcPr>
            <w:tcW w:w="56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509,460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991,174</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101,846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233,597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201,760</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1,022,935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789,414</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239,494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544,587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468,972</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360,886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292,426</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84,992</w:t>
            </w:r>
          </w:p>
        </w:tc>
        <w:tc>
          <w:tcPr>
            <w:tcW w:w="0" w:type="dxa"/>
            <w:vAlign w:val="bottom"/>
          </w:tcPr>
          <w:p>
            <w:pPr>
              <w:spacing w:after="0"/>
              <w:rPr>
                <w:sz w:val="1"/>
                <w:szCs w:val="1"/>
                <w:color w:val="auto"/>
              </w:rPr>
            </w:pPr>
          </w:p>
        </w:tc>
      </w:tr>
      <w:tr>
        <w:trPr>
          <w:trHeight w:val="237"/>
        </w:trPr>
        <w:tc>
          <w:tcPr>
            <w:tcW w:w="56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429,620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998,321</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846,390</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(56,976)</w:t>
            </w:r>
          </w:p>
        </w:tc>
        <w:tc>
          <w:tcPr>
            <w:tcW w:w="0" w:type="dxa"/>
            <w:vAlign w:val="bottom"/>
          </w:tcPr>
          <w:p>
            <w:pPr>
              <w:spacing w:after="0"/>
              <w:rPr>
                <w:sz w:val="1"/>
                <w:szCs w:val="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24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39,351</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0" w:type="dxa"/>
            <w:vAlign w:val="bottom"/>
          </w:tcPr>
          <w:p>
            <w:pPr>
              <w:spacing w:after="0"/>
              <w:rPr>
                <w:sz w:val="1"/>
                <w:szCs w:val="1"/>
                <w:color w:val="auto"/>
              </w:rPr>
            </w:pPr>
          </w:p>
        </w:tc>
      </w:tr>
      <w:tr>
        <w:trPr>
          <w:trHeight w:val="26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86,455</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stockholders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86,455</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4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 average shares used in calculating basic net income (loss) per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6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334,941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322,215</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333,373</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320,788</w:t>
            </w:r>
          </w:p>
        </w:tc>
        <w:tc>
          <w:tcPr>
            <w:tcW w:w="0" w:type="dxa"/>
            <w:vAlign w:val="bottom"/>
          </w:tcPr>
          <w:p>
            <w:pPr>
              <w:spacing w:after="0"/>
              <w:rPr>
                <w:sz w:val="1"/>
                <w:szCs w:val="1"/>
                <w:color w:val="auto"/>
              </w:rPr>
            </w:pPr>
          </w:p>
        </w:tc>
      </w:tr>
      <w:tr>
        <w:trPr>
          <w:trHeight w:val="216"/>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 average shares used in calculating diluted net income (loss) per</w:t>
            </w:r>
          </w:p>
        </w:tc>
        <w:tc>
          <w:tcPr>
            <w:tcW w:w="3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322,215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356,650</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320,788</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4"/>
                <w:szCs w:val="14"/>
                <w:color w:val="auto"/>
              </w:rPr>
            </w:pPr>
          </w:p>
        </w:tc>
      </w:tr>
      <w:tr>
        <w:trPr>
          <w:trHeight w:val="190"/>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50"/>
        </w:trPr>
        <w:tc>
          <w:tcPr>
            <w:tcW w:w="55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37"/>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86,455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0"/>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(3,079)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43"/>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gain on available-for-sale marketable securities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(4,419)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(7,498)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7"/>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(10,514)</w:t>
            </w: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78,957</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(27,951)</w:t>
            </w:r>
          </w:p>
        </w:tc>
      </w:tr>
      <w:tr>
        <w:trPr>
          <w:trHeight w:val="27"/>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32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200" w:type="dxa"/>
            <w:vAlign w:val="bottom"/>
          </w:tcPr>
          <w:p>
            <w:pPr>
              <w:spacing w:after="0"/>
              <w:rPr>
                <w:sz w:val="11"/>
                <w:szCs w:val="11"/>
                <w:color w:val="auto"/>
              </w:rPr>
            </w:pPr>
          </w:p>
        </w:tc>
        <w:tc>
          <w:tcPr>
            <w:tcW w:w="1220" w:type="dxa"/>
            <w:vAlign w:val="bottom"/>
            <w:gridSpan w:val="2"/>
          </w:tcPr>
          <w:p>
            <w:pPr>
              <w:jc w:val="center"/>
              <w:ind w:right="3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60" w:type="dxa"/>
            <w:vAlign w:val="bottom"/>
          </w:tcPr>
          <w:p>
            <w:pPr>
              <w:spacing w:after="0"/>
              <w:rPr>
                <w:sz w:val="11"/>
                <w:szCs w:val="11"/>
                <w:color w:val="auto"/>
              </w:rPr>
            </w:pPr>
          </w:p>
        </w:tc>
        <w:tc>
          <w:tcPr>
            <w:tcW w:w="1140" w:type="dxa"/>
            <w:vAlign w:val="bottom"/>
          </w:tcPr>
          <w:p>
            <w:pPr>
              <w:jc w:val="center"/>
              <w:ind w:right="84"/>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2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60" w:type="dxa"/>
            <w:vAlign w:val="bottom"/>
          </w:tcPr>
          <w:p>
            <w:pPr>
              <w:spacing w:after="0"/>
              <w:rPr>
                <w:sz w:val="16"/>
                <w:szCs w:val="16"/>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24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333,965,590</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2,321,119</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(7,700)</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2,202,355</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1,247,195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1,178,139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136,079</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242,656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138,912</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43,824</w:t>
            </w:r>
          </w:p>
        </w:tc>
        <w:tc>
          <w:tcPr>
            <w:tcW w:w="0" w:type="dxa"/>
            <w:vAlign w:val="bottom"/>
          </w:tcPr>
          <w:p>
            <w:pPr>
              <w:spacing w:after="0"/>
              <w:rPr>
                <w:sz w:val="1"/>
                <w:szCs w:val="1"/>
                <w:color w:val="auto"/>
              </w:rPr>
            </w:pPr>
          </w:p>
        </w:tc>
      </w:tr>
      <w:tr>
        <w:trPr>
          <w:trHeight w:val="26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BALANCE—June 30, 2024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336,769,659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2,484,264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(9,716)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2,407,308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380" w:type="dxa"/>
            <w:vAlign w:val="bottom"/>
            <w:gridSpan w:val="3"/>
          </w:tcPr>
          <w:p>
            <w:pPr>
              <w:jc w:val="right"/>
              <w:ind w:right="42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124"/>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00" w:type="dxa"/>
            <w:vAlign w:val="bottom"/>
          </w:tcPr>
          <w:p>
            <w:pPr>
              <w:spacing w:after="0"/>
              <w:rPr>
                <w:sz w:val="9"/>
                <w:szCs w:val="9"/>
                <w:color w:val="auto"/>
              </w:rPr>
            </w:pPr>
          </w:p>
        </w:tc>
        <w:tc>
          <w:tcPr>
            <w:tcW w:w="132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80" w:type="dxa"/>
            <w:vAlign w:val="bottom"/>
          </w:tcPr>
          <w:p>
            <w:pPr>
              <w:spacing w:after="0"/>
              <w:rPr>
                <w:sz w:val="9"/>
                <w:szCs w:val="9"/>
                <w:color w:val="auto"/>
              </w:rPr>
            </w:pPr>
          </w:p>
        </w:tc>
        <w:tc>
          <w:tcPr>
            <w:tcW w:w="1240" w:type="dxa"/>
            <w:vAlign w:val="bottom"/>
            <w:gridSpan w:val="2"/>
            <w:vMerge w:val="restart"/>
          </w:tcPr>
          <w:p>
            <w:pPr>
              <w:ind w:left="10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9"/>
                <w:szCs w:val="9"/>
                <w:color w:val="auto"/>
              </w:rPr>
            </w:pPr>
          </w:p>
        </w:tc>
        <w:tc>
          <w:tcPr>
            <w:tcW w:w="1140" w:type="dxa"/>
            <w:vAlign w:val="bottom"/>
            <w:vMerge w:val="restart"/>
          </w:tcPr>
          <w:p>
            <w:pPr>
              <w:jc w:val="center"/>
              <w:ind w:right="124"/>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8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321,446,243</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1,744,221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(226,352)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1,512,099</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1,534,681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5,441</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1,180,431</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130,162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285,211</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19,986</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122,347</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(6,545)</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0" w:type="dxa"/>
            <w:vAlign w:val="bottom"/>
          </w:tcPr>
          <w:p>
            <w:pPr>
              <w:spacing w:after="0"/>
              <w:rPr>
                <w:sz w:val="1"/>
                <w:szCs w:val="1"/>
                <w:color w:val="auto"/>
              </w:rPr>
            </w:pPr>
          </w:p>
        </w:tc>
      </w:tr>
      <w:tr>
        <w:trPr>
          <w:trHeight w:val="26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BALANCE—June 30, 2023</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324,576,728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1,891,995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(230,321)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1,649,359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00" w:type="dxa"/>
            <w:vAlign w:val="bottom"/>
          </w:tcPr>
          <w:p>
            <w:pPr>
              <w:spacing w:after="0"/>
              <w:rPr>
                <w:sz w:val="9"/>
                <w:szCs w:val="9"/>
                <w:color w:val="auto"/>
              </w:rPr>
            </w:pPr>
          </w:p>
        </w:tc>
        <w:tc>
          <w:tcPr>
            <w:tcW w:w="132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200" w:type="dxa"/>
            <w:vAlign w:val="bottom"/>
          </w:tcPr>
          <w:p>
            <w:pPr>
              <w:spacing w:after="0"/>
              <w:rPr>
                <w:sz w:val="9"/>
                <w:szCs w:val="9"/>
                <w:color w:val="auto"/>
              </w:rPr>
            </w:pPr>
          </w:p>
        </w:tc>
        <w:tc>
          <w:tcPr>
            <w:tcW w:w="1220" w:type="dxa"/>
            <w:vAlign w:val="bottom"/>
            <w:gridSpan w:val="2"/>
            <w:vMerge w:val="restart"/>
          </w:tcPr>
          <w:p>
            <w:pPr>
              <w:jc w:val="center"/>
              <w:ind w:right="320"/>
              <w:spacing w:after="0" w:line="122" w:lineRule="exact"/>
              <w:rPr>
                <w:sz w:val="20"/>
                <w:szCs w:val="20"/>
                <w:color w:val="auto"/>
              </w:rPr>
            </w:pPr>
            <w:r>
              <w:rPr>
                <w:rFonts w:ascii="Times New Roman" w:cs="Times New Roman" w:eastAsia="Times New Roman" w:hAnsi="Times New Roman"/>
                <w:sz w:val="13"/>
                <w:szCs w:val="13"/>
                <w:b w:val="1"/>
                <w:bCs w:val="1"/>
                <w:color w:val="auto"/>
                <w:w w:val="94"/>
              </w:rPr>
              <w:t>Accumulated</w:t>
            </w:r>
          </w:p>
        </w:tc>
        <w:tc>
          <w:tcPr>
            <w:tcW w:w="130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20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60" w:type="dxa"/>
            <w:vAlign w:val="bottom"/>
          </w:tcPr>
          <w:p>
            <w:pPr>
              <w:spacing w:after="0"/>
              <w:rPr>
                <w:sz w:val="14"/>
                <w:szCs w:val="14"/>
                <w:color w:val="auto"/>
              </w:rPr>
            </w:pPr>
          </w:p>
        </w:tc>
        <w:tc>
          <w:tcPr>
            <w:tcW w:w="1040" w:type="dxa"/>
            <w:vAlign w:val="bottom"/>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331,079,746</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2,181,267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2,025,354</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2,587,839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2,723,339</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(retirement) of restricted shares of</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from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136,079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242,656</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276,591</w:t>
            </w:r>
          </w:p>
        </w:tc>
        <w:tc>
          <w:tcPr>
            <w:tcW w:w="0" w:type="dxa"/>
            <w:vAlign w:val="bottom"/>
          </w:tcPr>
          <w:p>
            <w:pPr>
              <w:spacing w:after="0"/>
              <w:rPr>
                <w:sz w:val="1"/>
                <w:szCs w:val="1"/>
                <w:color w:val="auto"/>
              </w:rPr>
            </w:pPr>
          </w:p>
        </w:tc>
      </w:tr>
      <w:tr>
        <w:trPr>
          <w:trHeight w:val="212"/>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(7,498)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86,455</w:t>
            </w:r>
          </w:p>
        </w:tc>
        <w:tc>
          <w:tcPr>
            <w:tcW w:w="0" w:type="dxa"/>
            <w:vAlign w:val="bottom"/>
          </w:tcPr>
          <w:p>
            <w:pPr>
              <w:spacing w:after="0"/>
              <w:rPr>
                <w:sz w:val="1"/>
                <w:szCs w:val="1"/>
                <w:color w:val="auto"/>
              </w:rPr>
            </w:pPr>
          </w:p>
        </w:tc>
      </w:tr>
      <w:tr>
        <w:trPr>
          <w:trHeight w:val="26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BALANCE—June 30, 2024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336,769,659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2,484,264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(9,716)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2,407,308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60" w:type="dxa"/>
            <w:vAlign w:val="bottom"/>
            <w:gridSpan w:val="3"/>
            <w:vMerge w:val="restart"/>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420" w:type="dxa"/>
            <w:vAlign w:val="bottom"/>
            <w:gridSpan w:val="3"/>
            <w:vMerge w:val="restart"/>
          </w:tcPr>
          <w:p>
            <w:pPr>
              <w:jc w:val="center"/>
              <w:ind w:right="10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 (Loss)</w:t>
            </w:r>
          </w:p>
        </w:tc>
        <w:tc>
          <w:tcPr>
            <w:tcW w:w="180" w:type="dxa"/>
            <w:vAlign w:val="bottom"/>
          </w:tcPr>
          <w:p>
            <w:pPr>
              <w:spacing w:after="0"/>
              <w:rPr>
                <w:sz w:val="9"/>
                <w:szCs w:val="9"/>
                <w:color w:val="auto"/>
              </w:rPr>
            </w:pPr>
          </w:p>
        </w:tc>
        <w:tc>
          <w:tcPr>
            <w:tcW w:w="1160" w:type="dxa"/>
            <w:vAlign w:val="bottom"/>
            <w:gridSpan w:val="2"/>
            <w:vMerge w:val="restart"/>
          </w:tcPr>
          <w:p>
            <w:pPr>
              <w:ind w:left="8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9"/>
                <w:szCs w:val="9"/>
                <w:color w:val="auto"/>
              </w:rPr>
            </w:pPr>
          </w:p>
        </w:tc>
        <w:tc>
          <w:tcPr>
            <w:tcW w:w="1140" w:type="dxa"/>
            <w:vAlign w:val="bottom"/>
            <w:vMerge w:val="restart"/>
          </w:tcPr>
          <w:p>
            <w:pPr>
              <w:jc w:val="center"/>
              <w:ind w:right="83"/>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Gain</w:t>
            </w:r>
          </w:p>
        </w:tc>
        <w:tc>
          <w:tcPr>
            <w:tcW w:w="18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Pr>
          <w:p>
            <w:pPr>
              <w:spacing w:after="0"/>
              <w:rPr>
                <w:sz w:val="14"/>
                <w:szCs w:val="14"/>
                <w:color w:val="auto"/>
              </w:rPr>
            </w:pPr>
          </w:p>
        </w:tc>
        <w:tc>
          <w:tcPr>
            <w:tcW w:w="1140" w:type="dxa"/>
            <w:vAlign w:val="bottom"/>
          </w:tcPr>
          <w:p>
            <w:pPr>
              <w:jc w:val="center"/>
              <w:ind w:right="103"/>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319,189,843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1,625,190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1,410,505</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2,742,866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7,517</w:t>
            </w:r>
          </w:p>
        </w:tc>
        <w:tc>
          <w:tcPr>
            <w:tcW w:w="0" w:type="dxa"/>
            <w:vAlign w:val="bottom"/>
          </w:tcPr>
          <w:p>
            <w:pPr>
              <w:spacing w:after="0"/>
              <w:rPr>
                <w:sz w:val="1"/>
                <w:szCs w:val="1"/>
                <w:color w:val="auto"/>
              </w:rPr>
            </w:pPr>
          </w:p>
        </w:tc>
      </w:tr>
      <w:tr>
        <w:trPr>
          <w:trHeight w:val="24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2,228,646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130,162</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285,211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19,986</w:t>
            </w:r>
          </w:p>
        </w:tc>
        <w:tc>
          <w:tcPr>
            <w:tcW w:w="0" w:type="dxa"/>
            <w:vAlign w:val="bottom"/>
          </w:tcPr>
          <w:p>
            <w:pPr>
              <w:spacing w:after="0"/>
              <w:rPr>
                <w:sz w:val="1"/>
                <w:szCs w:val="1"/>
                <w:color w:val="auto"/>
              </w:rPr>
            </w:pPr>
          </w:p>
        </w:tc>
      </w:tr>
      <w:tr>
        <w:trPr>
          <w:trHeight w:val="246"/>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239,302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239,302</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accumulated other</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w:t>
            </w:r>
          </w:p>
        </w:tc>
        <w:tc>
          <w:tcPr>
            <w:tcW w:w="1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(28,055)</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BALANCE—June 30, 2023</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324,576,728</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1,891,995</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(12,318)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(230,321)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1,649,359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526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7"/>
        </w:trPr>
        <w:tc>
          <w:tcPr>
            <w:tcW w:w="83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86,455</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Accretion of discounts on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(13,291)</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17,996</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Stock-based compensation, net of amounts capitalized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231,065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12,196</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Allowance for credit losses on 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6,311</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60,139</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contract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(27,618)</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(16,823)</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24,897</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(44,089)</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39,039</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376,694</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286,945</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88"/>
        </w:trPr>
        <w:tc>
          <w:tcPr>
            <w:tcW w:w="83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(1,240,301)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(1,390,334)</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965,985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1,018,317</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36,633</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(11,078)</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(17,798)</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acquisition of businesses; net of cash acquired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(320,919)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(366,285)</w:t>
            </w:r>
          </w:p>
        </w:tc>
      </w:tr>
      <w:tr>
        <w:trPr>
          <w:trHeight w:val="88"/>
        </w:trPr>
        <w:tc>
          <w:tcPr>
            <w:tcW w:w="83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r>
      <w:tr>
        <w:trPr>
          <w:trHeight w:val="21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7,534</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under the employee stock purchase plan</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19,986</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Repayments of convertible senior notes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27,520</w:t>
            </w:r>
          </w:p>
        </w:tc>
      </w:tr>
      <w:tr>
        <w:trPr>
          <w:trHeight w:val="142"/>
        </w:trPr>
        <w:tc>
          <w:tcPr>
            <w:tcW w:w="83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r>
      <w:tr>
        <w:trPr>
          <w:trHeight w:val="21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r>
      <w:tr>
        <w:trPr>
          <w:trHeight w:val="149"/>
        </w:trPr>
        <w:tc>
          <w:tcPr>
            <w:tcW w:w="8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0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80,624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(50,984)</w:t>
            </w: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CASH—Beginning of period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342,288</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CASH—End of period</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291,304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60"/>
        </w:trPr>
        <w:tc>
          <w:tcPr>
            <w:tcW w:w="8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1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10,677</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08"/>
        </w:trPr>
        <w:tc>
          <w:tcPr>
            <w:tcW w:w="83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r>
      <w:tr>
        <w:trPr>
          <w:trHeight w:val="192"/>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Accrued property and equipment purchases</w:t>
            </w: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8,237</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93"/>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holdback</w:t>
            </w: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w:t>
            </w:r>
          </w:p>
        </w:tc>
      </w:tr>
      <w:tr>
        <w:trPr>
          <w:trHeight w:val="37"/>
        </w:trPr>
        <w:tc>
          <w:tcPr>
            <w:tcW w:w="83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02945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257175"/>
                    </a:xfrm>
                    <a:prstGeom prst="rect">
                      <a:avLst/>
                    </a:prstGeom>
                    <a:noFill/>
                  </pic:spPr>
                </pic:pic>
              </a:graphicData>
            </a:graphic>
          </wp:anchor>
        </w:drawing>
      </w:r>
    </w:p>
    <w:p>
      <w:pPr>
        <w:spacing w:after="0" w:line="90" w:lineRule="exact"/>
        <w:rPr>
          <w:sz w:val="20"/>
          <w:szCs w:val="20"/>
          <w:color w:val="auto"/>
        </w:rPr>
      </w:pPr>
    </w:p>
    <w:p>
      <w:pPr>
        <w:ind w:left="20" w:right="360"/>
        <w:spacing w:after="0" w:line="285" w:lineRule="auto"/>
        <w:rPr>
          <w:sz w:val="20"/>
          <w:szCs w:val="20"/>
          <w:color w:val="auto"/>
        </w:rPr>
      </w:pPr>
      <w:r>
        <w:rPr>
          <w:rFonts w:ascii="Times New Roman" w:cs="Times New Roman" w:eastAsia="Times New Roman" w:hAnsi="Times New Roman"/>
          <w:sz w:val="14"/>
          <w:szCs w:val="14"/>
          <w:b w:val="1"/>
          <w:bCs w:val="1"/>
          <w:color w:val="auto"/>
        </w:rPr>
        <w:t>RECONCILIATION OF CASH AND CASH EQUIVALENTS WITHIN THE CONDENSED CONSOLIDATED BALANCE SHEETS TO THE AMOUNTS SHOWN IN THE STATEMENTS OF CASH FLOWS ABOVE:</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410,963</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291,304</w:t>
            </w:r>
          </w:p>
        </w:tc>
      </w:tr>
      <w:tr>
        <w:trPr>
          <w:trHeight w:val="37"/>
        </w:trPr>
        <w:tc>
          <w:tcPr>
            <w:tcW w:w="836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410,963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291,304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320" w:top="1089" w:right="499" w:bottom="1440" w:gutter="0" w:footer="0" w:header="0"/>
        </w:sectPr>
      </w:pP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Datadog, Inc. (“Datadog” or the “Company”) was incorporated in the State of Delaware on June 4, 2010. The Company is the observability and security platform for cloud applications. </w:t>
      </w:r>
      <w:r>
        <w:rPr>
          <w:rFonts w:ascii="Times New Roman" w:cs="Times New Roman" w:eastAsia="Times New Roman" w:hAnsi="Times New Roman"/>
          <w:sz w:val="18"/>
          <w:szCs w:val="18"/>
          <w:color w:val="231F20"/>
        </w:rPr>
        <w:t>The Company’s SaaS platform integrates and automates infrastructure monitoring, application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monitoring, log management, user experience monitoring, cloud security, and many other capabilities to provide unified, real-time observability and security of its customers’ entire technology stack. </w:t>
      </w:r>
      <w:r>
        <w:rPr>
          <w:rFonts w:ascii="Times New Roman" w:cs="Times New Roman" w:eastAsia="Times New Roman" w:hAnsi="Times New Roman"/>
          <w:sz w:val="18"/>
          <w:szCs w:val="18"/>
          <w:color w:val="000000"/>
        </w:rPr>
        <w:t>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2024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2023, as filed with the SEC on February 23, 2024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231F20"/>
        </w:rPr>
        <w:t>In November 2023, the FASB issued ASU No. 2023-07</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Segment Reporting (Topic 280): Improvements to Reportable Segment Disclosures</w:t>
      </w:r>
      <w:r>
        <w:rPr>
          <w:rFonts w:ascii="Times New Roman" w:cs="Times New Roman" w:eastAsia="Times New Roman" w:hAnsi="Times New Roman"/>
          <w:sz w:val="18"/>
          <w:szCs w:val="18"/>
          <w:color w:val="231F20"/>
        </w:rPr>
        <w:t xml:space="preserve"> (“ASU No. 2023-07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improve reportable segment disclosure requirements, primarily through enhanced disclosures about significant segment expenses. The amendments in this ASU are effective for public business entities for fiscal years beginning after December 15, 2023, and interim periods within fiscal years beginning after December 15, 2024. Early adoption is permitted. The amendments in this ASU should be applied retrospectively to all prior</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231F20"/>
        </w:rPr>
        <w:t>periods presented in the financial statements. The Company is currently evaluating the impact of the adoption of this standard on its consolidated financial statements.</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231F20"/>
        </w:rPr>
        <w:t>In December 2023, the FASB issued ASU No. 2023-09</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Income Taxes (Topic 740): Improvements to Income Tax Disclosures</w:t>
      </w:r>
      <w:r>
        <w:rPr>
          <w:rFonts w:ascii="Times New Roman" w:cs="Times New Roman" w:eastAsia="Times New Roman" w:hAnsi="Times New Roman"/>
          <w:sz w:val="18"/>
          <w:szCs w:val="18"/>
          <w:color w:val="231F20"/>
        </w:rPr>
        <w:t xml:space="preserve"> (“ASU No. 2023-09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increase the transparency of income tax disclosures, particularly the rate reconciliation table and disclosures about income taxes paid. For public business entities, it is effective for annual periods beginning after December 15, 2024, and interim periods beginning after December 15, 2025, with early adoption permitted. The Company is currently evaluating the impact of the adoption of this standard on its consolidated financial statements.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June 30, 2024 and December 31, 2023 (in thousands):</w:t>
      </w: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1,495,277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1,492,068</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440,630</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376,657</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191,197</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48,591</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2,554,487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2,549,143</w:t>
            </w: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776,323</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605,291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459,845</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264,725</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2,253,484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2,252,559</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the fair values of available-for-sale marketable securities, by remaining contractual maturity, were as follows (in thousands):</w:t>
      </w:r>
    </w:p>
    <w:p>
      <w:pPr>
        <w:spacing w:after="0" w:line="270" w:lineRule="exact"/>
        <w:rPr>
          <w:sz w:val="20"/>
          <w:szCs w:val="20"/>
          <w:color w:val="auto"/>
        </w:rPr>
      </w:pPr>
    </w:p>
    <w:tbl>
      <w:tblPr>
        <w:tblLayout w:type="fixed"/>
        <w:tblInd w:w="2460" w:type="dxa"/>
        <w:tblCellMar>
          <w:top w:w="0" w:type="dxa"/>
          <w:left w:w="0" w:type="dxa"/>
          <w:bottom w:w="0" w:type="dxa"/>
          <w:right w:w="0" w:type="dxa"/>
        </w:tblCellMar>
      </w:tblP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1,588,551</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960,592</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2,549,143</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June 30, 2024 and December 31, 2023, and indicate the fair value hierarchy of the valuation inputs utilized to determine such fair value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as of June 30, 2024</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303,735</w:t>
            </w:r>
          </w:p>
        </w:tc>
        <w:tc>
          <w:tcPr>
            <w:tcW w:w="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303,735</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15,709</w:t>
            </w: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1,492,068</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376,657</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191,197</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440,630</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48,591</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303,735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2,567,282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2,871,017</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7"/>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2023</w:t>
            </w:r>
          </w:p>
        </w:tc>
        <w:tc>
          <w:tcPr>
            <w:tcW w:w="102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240,909</w:t>
            </w:r>
          </w:p>
        </w:tc>
        <w:tc>
          <w:tcPr>
            <w:tcW w:w="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240,909</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53,972</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775,953</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605,786</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264,725</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459,845</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240,909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2,307,015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2,547,924</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classifies its highly liquid money market funds and securities purchased within three months of maturity within Level 1 of the fair value hierarchy because they are valued based on quoted market prices in active markets. The Company classifies its commercial paper, corporate debt securities, certificates of deposit, U.S. government agency securities,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55,111</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192,691</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300,740</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(128,868)</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171,872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approximately $10.9 million and $21.6 million for the three and six months ended June 30, 2024, respectively. Depreciation and amortization expense was approximately $8.3 million and $16.4 million for the three and six months ended June 30,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2023, the Company entered into three purchase agreements for acquisitions of businesses, each of which were accounted for as business combinations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these acquisitions to be material, individually or in aggregate. The total purchase price was allocated to intangible assets in the amount of $2.1 million and goodwill in the amount of $3.5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940" w:type="dxa"/>
            <w:vAlign w:val="bottom"/>
          </w:tcPr>
          <w:p>
            <w:pPr>
              <w:jc w:val="center"/>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6"/>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center"/>
              <w:ind w:right="279"/>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7"/>
                <w:szCs w:val="17"/>
                <w:color w:val="auto"/>
              </w:rPr>
            </w:pPr>
          </w:p>
        </w:tc>
        <w:tc>
          <w:tcPr>
            <w:tcW w:w="9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940" w:type="dxa"/>
            <w:vAlign w:val="bottom"/>
          </w:tcPr>
          <w:p>
            <w:pPr>
              <w:jc w:val="center"/>
              <w:ind w:right="27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7"/>
                <w:szCs w:val="17"/>
                <w:color w:val="auto"/>
              </w:rPr>
            </w:pPr>
          </w:p>
        </w:tc>
        <w:tc>
          <w:tcPr>
            <w:tcW w:w="9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approximately $1.5 million and $2.3 million for the three months ended June 30, 2024 and 2023, respectively, and $3.7 million and $4.5 million for the six months ended June 30, 2024 and 2023, respectively.</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3" w:name="page14"/>
    <w:bookmarkEnd w:id="13"/>
    <w:p>
      <w:pPr>
        <w:ind w:left="500"/>
        <w:spacing w:after="0"/>
        <w:rPr>
          <w:sz w:val="20"/>
          <w:szCs w:val="20"/>
          <w:color w:val="auto"/>
        </w:rPr>
      </w:pPr>
      <w:r>
        <w:rPr>
          <w:rFonts w:ascii="Times New Roman" w:cs="Times New Roman" w:eastAsia="Times New Roman" w:hAnsi="Times New Roman"/>
          <w:sz w:val="18"/>
          <w:szCs w:val="18"/>
          <w:color w:val="auto"/>
        </w:rPr>
        <w:t>As of June 30, 2024, future amortization expense by year is expected to be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3"/>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0" w:type="dxa"/>
            <w:vAlign w:val="bottom"/>
          </w:tcPr>
          <w:p>
            <w:pPr>
              <w:spacing w:after="0"/>
              <w:rPr>
                <w:sz w:val="1"/>
                <w:szCs w:val="1"/>
                <w:color w:val="auto"/>
              </w:rPr>
            </w:pPr>
          </w:p>
        </w:tc>
      </w:tr>
      <w:tr>
        <w:trPr>
          <w:trHeight w:val="20"/>
        </w:trPr>
        <w:tc>
          <w:tcPr>
            <w:tcW w:w="9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352,694</w:t>
            </w:r>
          </w:p>
        </w:tc>
        <w:tc>
          <w:tcPr>
            <w:tcW w:w="0" w:type="dxa"/>
            <w:vAlign w:val="bottom"/>
          </w:tcPr>
          <w:p>
            <w:pPr>
              <w:spacing w:after="0"/>
              <w:rPr>
                <w:sz w:val="1"/>
                <w:szCs w:val="1"/>
                <w:color w:val="auto"/>
              </w:rPr>
            </w:pP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350,864</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8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March 15, 2025 only under the following circumstances:</w:t>
      </w:r>
    </w:p>
    <w:p>
      <w:pPr>
        <w:spacing w:after="0" w:line="54" w:lineRule="exact"/>
        <w:rPr>
          <w:sz w:val="20"/>
          <w:szCs w:val="20"/>
          <w:color w:val="auto"/>
        </w:rPr>
      </w:pPr>
    </w:p>
    <w:p>
      <w:pPr>
        <w:jc w:val="both"/>
        <w:ind w:left="980" w:hanging="486"/>
        <w:spacing w:after="0" w:line="261"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2025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4" w:name="page15"/>
    <w:bookmarkEnd w:id="14"/>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the conditional conversion feature of the 2025 Notes was not triggered as the last reported sale price of the Company's Class A common stock was not greater than or equal to 130% of the conversion price for at least 20 trading days (whether or not consecutive) during a period of 30 consecutive trading days ending on, and including, the last trading day of the quarter ended June 30, 2024. Therefore the 2025 Notes are not convertible, in whole or in part, at the option of the holders between July 1, 2024 through September 30, 2024. Whether the 2025 Notes will be convertible following such period will depend on the continued satisfaction of this condition or another conversion condition in the future.</w:t>
      </w:r>
    </w:p>
    <w:p>
      <w:pPr>
        <w:spacing w:after="0" w:line="183"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When a conversion notice is received, the Company has the option to pay or deliver cash, shares of the Company’s common stock, or a combination thereof. Since the issuance of the 2025 Notes, the Company received and settled an immaterial amount of conversion notices from the holders in cash. As of June 30, 2024, the 2025 Notes were classified as short-term debt on the Company's condensed consolidated balance sheet.</w:t>
      </w:r>
    </w:p>
    <w:p>
      <w:pPr>
        <w:spacing w:after="0" w:line="172" w:lineRule="exact"/>
        <w:rPr>
          <w:sz w:val="20"/>
          <w:szCs w:val="20"/>
          <w:color w:val="auto"/>
        </w:rPr>
      </w:pPr>
    </w:p>
    <w:p>
      <w:pPr>
        <w:jc w:val="both"/>
        <w:ind w:firstLine="486"/>
        <w:spacing w:after="0" w:line="242" w:lineRule="auto"/>
        <w:rPr>
          <w:sz w:val="20"/>
          <w:szCs w:val="20"/>
          <w:color w:val="auto"/>
        </w:rPr>
      </w:pPr>
      <w:r>
        <w:rPr>
          <w:rFonts w:ascii="Times New Roman" w:cs="Times New Roman" w:eastAsia="Times New Roman" w:hAnsi="Times New Roman"/>
          <w:sz w:val="18"/>
          <w:szCs w:val="18"/>
          <w:color w:val="auto"/>
        </w:rPr>
        <w:t>The Company may redeem for cash all or any portion of the 2025 Notes prior to the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scheduled trading day immediately preceding the maturity date,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96"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color w:val="auto"/>
        </w:rPr>
        <w:t xml:space="preserve">On January 1, 2021 the Company adopted ASU No.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(“ASU No. 2020-06”) using the modified retrospective approach. As a result, the 2025 Notes are accounting for as a single liability measured at their amortized cost, as no other embedded features require bifurcation and recognition as derivatives.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liability component of the 2025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36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940" w:type="dxa"/>
            <w:vAlign w:val="bottom"/>
            <w:shd w:val="clear" w:color="auto" w:fill="CCEEFF"/>
          </w:tcPr>
          <w:p>
            <w:pPr>
              <w:jc w:val="center"/>
              <w:ind w:right="5690"/>
              <w:spacing w:after="0"/>
              <w:rPr>
                <w:sz w:val="20"/>
                <w:szCs w:val="20"/>
                <w:color w:val="auto"/>
              </w:rPr>
            </w:pPr>
            <w:r>
              <w:rPr>
                <w:rFonts w:ascii="Times New Roman" w:cs="Times New Roman" w:eastAsia="Times New Roman" w:hAnsi="Times New Roman"/>
                <w:sz w:val="18"/>
                <w:szCs w:val="18"/>
                <w:color w:val="auto"/>
                <w:w w:val="99"/>
              </w:rPr>
              <w:t>Convertible senior notes, net:</w:t>
            </w:r>
          </w:p>
        </w:tc>
        <w:tc>
          <w:tcPr>
            <w:tcW w:w="3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747,496</w:t>
            </w:r>
          </w:p>
        </w:tc>
      </w:tr>
      <w:tr>
        <w:trPr>
          <w:trHeight w:val="229"/>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(5,261)</w:t>
            </w:r>
          </w:p>
        </w:tc>
      </w:tr>
      <w:tr>
        <w:trPr>
          <w:trHeight w:val="223"/>
        </w:trPr>
        <w:tc>
          <w:tcPr>
            <w:tcW w:w="7940" w:type="dxa"/>
            <w:vAlign w:val="bottom"/>
          </w:tcPr>
          <w:p>
            <w:pPr>
              <w:jc w:val="center"/>
              <w:ind w:right="5650"/>
              <w:spacing w:after="0"/>
              <w:rPr>
                <w:sz w:val="20"/>
                <w:szCs w:val="20"/>
                <w:color w:val="auto"/>
              </w:rPr>
            </w:pPr>
            <w:r>
              <w:rPr>
                <w:rFonts w:ascii="Times New Roman" w:cs="Times New Roman" w:eastAsia="Times New Roman" w:hAnsi="Times New Roman"/>
                <w:sz w:val="18"/>
                <w:szCs w:val="18"/>
                <w:color w:val="auto"/>
                <w:w w:val="99"/>
              </w:rPr>
              <w:t>Net carrying amount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742,235</w:t>
            </w:r>
          </w:p>
        </w:tc>
      </w:tr>
      <w:tr>
        <w:trPr>
          <w:trHeight w:val="21"/>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 total estimated fair value of the 2025 Notes was approximately $1,081.6 million. The fair value was determined based on the closing trading price or quoted market price per $100 of the 2025 Notes as of the last day of trading for the period. The fair value of the 2025 Notes is primarily affected by the trading price of the Company’s Class A common stock and market interest rates.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related to the 2025 Notes for the three and six months ended June 30, 2024 and 2023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3"/>
                <w:szCs w:val="13"/>
                <w:color w:val="auto"/>
              </w:rPr>
            </w:pPr>
          </w:p>
        </w:tc>
      </w:tr>
      <w:tr>
        <w:trPr>
          <w:trHeight w:val="195"/>
        </w:trPr>
        <w:tc>
          <w:tcPr>
            <w:tcW w:w="42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95"/>
        </w:trPr>
        <w:tc>
          <w:tcPr>
            <w:tcW w:w="4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48"/>
        </w:trPr>
        <w:tc>
          <w:tcPr>
            <w:tcW w:w="4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5" w:name="page16"/>
    <w:bookmarkEnd w:id="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are not accounted for as derivatives. The cost of $89.6 million incurred to purchase the Capped Calls was recorded as a reduction to additional paid-in capital and will not be remeasured.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six months ended June 30, 2024, other than certain non-cancelable operating leases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makes matching contributions to the 401(k) plan. For the three and six months ended June 30, 2024, the Company incurred expense of $2.0 million and $3.8 million, respectively, for matching contributions. For the three and six months ended June 30, 2023, the Company incurred expense of $1.7 million and $3.1 million, respectively, for matching contributions.</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2024 and 2033.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3"/>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6"/>
        </w:trPr>
        <w:tc>
          <w:tcPr>
            <w:tcW w:w="56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6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15,450</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22" w:lineRule="exact"/>
        <w:rPr>
          <w:sz w:val="20"/>
          <w:szCs w:val="20"/>
          <w:color w:val="auto"/>
        </w:rPr>
      </w:pPr>
    </w:p>
    <w:p>
      <w:pPr>
        <w:ind w:left="340" w:right="200" w:hanging="332"/>
        <w:spacing w:after="0" w:line="302" w:lineRule="auto"/>
        <w:tabs>
          <w:tab w:leader="none" w:pos="338"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$6.8 million and $6.3 million for the three months ended June 30, 2024 and 2023, respectively, and $13.6 million and $12.2 million for the six months ended June 30, 2024 and 2023, respectively.</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20" w:type="dxa"/>
            <w:vAlign w:val="bottom"/>
            <w:tcBorders>
              <w:bottom w:val="single" w:sz="8" w:color="CCEEFF"/>
            </w:tcBorders>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46,290</w:t>
            </w:r>
          </w:p>
        </w:tc>
      </w:tr>
      <w:tr>
        <w:trPr>
          <w:trHeight w:val="859"/>
        </w:trPr>
        <w:tc>
          <w:tcPr>
            <w:tcW w:w="5220" w:type="dxa"/>
            <w:vAlign w:val="bottom"/>
          </w:tcPr>
          <w:p>
            <w:pPr>
              <w:spacing w:after="0"/>
              <w:rPr>
                <w:sz w:val="24"/>
                <w:szCs w:val="24"/>
                <w:color w:val="auto"/>
              </w:rPr>
            </w:pPr>
          </w:p>
        </w:tc>
        <w:tc>
          <w:tcPr>
            <w:tcW w:w="3260" w:type="dxa"/>
            <w:vAlign w:val="bottom"/>
          </w:tcPr>
          <w:p>
            <w:pPr>
              <w:jc w:val="right"/>
              <w:ind w:right="267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15,975</w:t>
            </w: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40,665</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39,930</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36,688</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33,764</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beyond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117,993</w:t>
            </w: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285,015</w:t>
            </w:r>
          </w:p>
        </w:tc>
      </w:tr>
      <w:tr>
        <w:trPr>
          <w:trHeight w:val="229"/>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(66,615)</w:t>
            </w:r>
          </w:p>
        </w:tc>
      </w:tr>
      <w:tr>
        <w:trPr>
          <w:trHeight w:val="248"/>
        </w:trPr>
        <w:tc>
          <w:tcPr>
            <w:tcW w:w="9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218,400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various operating leases that had not yet commenced, which are excluded from the table above. The operating leases will commence in fiscal year 2025 with total undiscounted future payments of $56.9 million and a weighted-average lease term of 8.5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14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5"/>
        </w:trPr>
        <w:tc>
          <w:tcPr>
            <w:tcW w:w="97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229"/>
        </w:trPr>
        <w:tc>
          <w:tcPr>
            <w:tcW w:w="55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355,965</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873,602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697,181</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153,495</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382,930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293,993</w:t>
            </w: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509,460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991,174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369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22" w:lineRule="exact"/>
        <w:rPr>
          <w:sz w:val="20"/>
          <w:szCs w:val="20"/>
          <w:color w:val="auto"/>
        </w:rPr>
      </w:pPr>
    </w:p>
    <w:p>
      <w:pPr>
        <w:ind w:left="340" w:right="200" w:hanging="332"/>
        <w:spacing w:after="0" w:line="302" w:lineRule="auto"/>
        <w:tabs>
          <w:tab w:leader="none" w:pos="33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the United States of $426.6 million and $337.5 million for the three months ended June 30, 2024 and 2023, respectively, and $831.1 million and $661.0 million for the six months ended June 30,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Revenue and Remaining Performance Obligations</w:t>
      </w:r>
    </w:p>
    <w:p>
      <w:pPr>
        <w:spacing w:after="0" w:line="23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recognized during the three months ended June 30, 2024 and 2023, which was included in the deferred revenue balances at the beginning of each such period, was $355.0 million and $261.0 million, respectively. Revenue recognized during the six months ended June 30, 2024 and 2023 that was included in the deferred revenue balances at the beginning of each such period was $570.0 million and $391.7 million, respectively.</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June 30, 2024 and December 31, 2023, the aggregate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7" w:name="page18"/>
    <w:bookmarkEnd w:id="17"/>
    <w:p>
      <w:pPr>
        <w:jc w:val="both"/>
        <w:spacing w:after="0" w:line="266"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was $1,792.4 million and $1,839.4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credit losses when identified. During the six months ended June 30, 2024 and 2023, the Company charged $4.8 million and $2.4 million, respectively, of accounts receivable deemed uncollectible against the allowance for credit losses.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June 30, 2024 and December 31, 2023, unbilled accounts receivable of approximately $77.8 million and $61.2 million, respectively, was included in accounts receivable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$126.6 million and $118.7 million as of June 30, 2024 and December 31, 2023, respectively. Amortization expense was $12.5 million and $9.4 million for the three months ended June 30, 2024 and 2023, respectively, and $24.3 million and $18.0 million for the six months ended June 30,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and six months ended June 30, 2024, 430,542 shares and 650,716 shares of Class B common stock were converted into Class A common stock, respectively.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authorized 2,000,000,000 shares of Class A common stock and 310,000,000 shares of Class B common stock, each at a par value per share of $0.00001, of which 310,772,876 shares of Class A common stock and 25,996,783 shares of Class B common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June 30, 2024, there were 9,468,788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restricted stock units (“RSUs”) and performance stock units (“PSUs”) and other awards, each equity award valued or based on the Company’s Class A common stock, to employees, directors, consultants and advisors of the Company. As of June 30, 2024, there were 87,888,035 shares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for grant under the 2019 Plan.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6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outstanding—December 31, 2023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12,077,635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1,426,912</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(2,587,839)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outstanding—June 30, 2024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9,488,758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1,195,430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Ending Exercisable—June 30, 2024</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9,487,145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1,195,264</w:t>
            </w:r>
          </w:p>
        </w:tc>
      </w:tr>
      <w:tr>
        <w:trPr>
          <w:trHeight w:val="21"/>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As of June 30, 2024, there were 19,970 shares of Class A common stock and 9,468,788 shares of Class B common stock issuable upon the exercise of options outstanding. As of December 31, 2023, there were 22,926 shares of Class A common stock and 12,054,709 shares of Class B common stock issuable upon the exercise of options outstanding.</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Approximately all compensation cost related to unvested stock options was recognized as of June 30, 2024 and December 31, 2023.</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were no options granted during the six months ended June 30, 2024 and 2023. The Company received approximately $3.9 million and $7.5 million in cash proceeds from options exercised during the six months ended June 30, 2024 and 2023, respectively. The intrinsic value of options exercised during the six months ended June 30, 2024 and 2023 was approximately $310.7 million and $210.4 million, respectively. The aggregate fair value of options vested during the six months ended June 30, 2024 was insignificant. The aggregate fair value of options vested during the six months ended June 30, 2023 was $9.6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and Performance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75"/>
        </w:trPr>
        <w:tc>
          <w:tcPr>
            <w:tcW w:w="7640" w:type="dxa"/>
            <w:vAlign w:val="bottom"/>
          </w:tcPr>
          <w:p>
            <w:pPr>
              <w:spacing w:after="0"/>
              <w:rPr>
                <w:sz w:val="15"/>
                <w:szCs w:val="15"/>
                <w:color w:val="auto"/>
              </w:rPr>
            </w:pPr>
          </w:p>
        </w:tc>
        <w:tc>
          <w:tcPr>
            <w:tcW w:w="16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 Date</w:t>
            </w: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13,663,501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(2,723,339)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102.67</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12,796,812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granted no restricted shares of Class A common stock in connection with acquisitions during the six months ended June 30, 2024. In addition, we issued 136,079 fully-vested shares in April 2024 in connection with an acquisition that closed in 2021.</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$1,150.7 million and $1,187.3 million as of June 30, 2024 and December 31, 2023, respectively. The weighted-average period over which this compensation cost related to unvested RSUs and restricted shares of common stock will be recognized is 2.7 years and 2.8 years as of June 30, 2024 and December 31, 2023, respectively.</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PSUs not yet recognized was approximately $38.5 million and $25.1 million as of June 30, 2024 and December 31, 2023, respectively. The weighted-average period over which this compensation cost related to unvested PSUs will be recognized is 1.5 years and 1.3 years as of June 30, 2024 and December 31, 2023, respectively.</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$3.7 million and $8.1 million of stock-based compensation expense related to the ESPP during the three and six months ended June 30, 2024, respectively. As of June 30, 2024, $7.1 million has been withheld on behalf of employees for a future purchase under the ESPP due to the timing of payroll deductions. During the three months ended June 30, 2024, the Company issued 242,656 shares of Class A common stock under the ESPP. As of June 30, 2024, 20,549,200 shares of Class A common stock remain available for grant under the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3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4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r>
      <w:tr>
        <w:trPr>
          <w:trHeight w:val="50"/>
        </w:trPr>
        <w:tc>
          <w:tcPr>
            <w:tcW w:w="4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86"/>
        </w:trPr>
        <w:tc>
          <w:tcPr>
            <w:tcW w:w="4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84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7,882</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150,433</w:t>
            </w:r>
          </w:p>
        </w:tc>
      </w:tr>
      <w:tr>
        <w:trPr>
          <w:trHeight w:val="27"/>
        </w:trPr>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48,898</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23,852</w:t>
            </w:r>
          </w:p>
        </w:tc>
      </w:tr>
      <w:tr>
        <w:trPr>
          <w:trHeight w:val="27"/>
        </w:trPr>
        <w:tc>
          <w:tcPr>
            <w:tcW w:w="48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3"/>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8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231,065</w:t>
            </w: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8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8,237</w:t>
            </w:r>
          </w:p>
        </w:tc>
      </w:tr>
      <w:tr>
        <w:trPr>
          <w:trHeight w:val="27"/>
        </w:trPr>
        <w:tc>
          <w:tcPr>
            <w:tcW w:w="48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4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138,912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122,347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276,591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239,302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824"/>
        </w:trPr>
        <w:tc>
          <w:tcPr>
            <w:tcW w:w="48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and other income,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4"/>
                <w:szCs w:val="14"/>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50"/>
        </w:trPr>
        <w:tc>
          <w:tcPr>
            <w:tcW w:w="5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37"/>
        </w:trPr>
        <w:tc>
          <w:tcPr>
            <w:tcW w:w="5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23,355</w:t>
            </w:r>
          </w:p>
        </w:tc>
        <w:tc>
          <w:tcPr>
            <w:tcW w:w="4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72,676</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41,875</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(2,524)</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72,215</w:t>
            </w:r>
          </w:p>
        </w:tc>
        <w:tc>
          <w:tcPr>
            <w:tcW w:w="12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39,351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recorded a provision for income taxes of $4.0 million and $3.1 million for the three months ended June 30, 2024 and 2023, respectively. The Company has generated U.S. operating income and has minimal profits in its foreign jurisdictions during the quarter.</w:t>
      </w:r>
    </w:p>
    <w:p>
      <w:pPr>
        <w:ind w:left="500"/>
        <w:spacing w:after="0"/>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deemed</w:t>
      </w:r>
    </w:p>
    <w:p>
      <w:pPr>
        <w:spacing w:after="0" w:line="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immaterial for each of the six months ended June 30, 2024 and 2023. The Company’s policy is to recognize interest and penalties related to uncertain tax positions in income tax expense. The Company is subject to U.S. federal tax authority, U.S. state tax authority and foreign tax authority examinations.</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3"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(“the Act”) was signed into law. The Act includes a 15.0% corporate alternative minimum tax on the adjusted financial statement income of applicable corporations and a 1.0% excise tax on all corporate stock buybacks of public companies for tax years beginning after December 31, 2022. For the six months ended June 30, 2024, the Act did not materially impact the Company’s provision for income tax. The Company will continue to monitor any changes in tax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(Loss) Per Share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Basic and diluted net income (loss) per common share is presented in conformity with the two-class method required for participating securities. Basic and diluted net income (loss)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(loss) per share of Class A common stock, the undistributed earnings are equal to net income (loss) for that computation.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7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8"/>
                <w:szCs w:val="18"/>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tcPr>
          <w:p>
            <w:pPr>
              <w:spacing w:after="0"/>
              <w:rPr>
                <w:sz w:val="18"/>
                <w:szCs w:val="18"/>
                <w:color w:val="auto"/>
              </w:rPr>
            </w:pPr>
          </w:p>
        </w:tc>
        <w:tc>
          <w:tcPr>
            <w:tcW w:w="8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0" w:type="dxa"/>
            <w:vAlign w:val="bottom"/>
          </w:tcPr>
          <w:p>
            <w:pPr>
              <w:spacing w:after="0"/>
              <w:rPr>
                <w:sz w:val="1"/>
                <w:szCs w:val="1"/>
                <w:color w:val="auto"/>
              </w:rPr>
            </w:pPr>
          </w:p>
        </w:tc>
      </w:tr>
      <w:tr>
        <w:trPr>
          <w:trHeight w:val="229"/>
        </w:trPr>
        <w:tc>
          <w:tcPr>
            <w:tcW w:w="27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3,415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6,740</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0" w:type="dxa"/>
            <w:vAlign w:val="bottom"/>
          </w:tcPr>
          <w:p>
            <w:pPr>
              <w:spacing w:after="0"/>
              <w:rPr>
                <w:sz w:val="1"/>
                <w:szCs w:val="1"/>
                <w:color w:val="auto"/>
              </w:rPr>
            </w:pPr>
          </w:p>
        </w:tc>
      </w:tr>
      <w:tr>
        <w:trPr>
          <w:trHeight w:val="25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Weighted-average shares used in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calculating net income (loss) per</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share, basic</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308,838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26,103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296,466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307,382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25,991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295,126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0" w:type="dxa"/>
            <w:vAlign w:val="bottom"/>
          </w:tcPr>
          <w:p>
            <w:pPr>
              <w:spacing w:after="0"/>
              <w:rPr>
                <w:sz w:val="1"/>
                <w:szCs w:val="1"/>
                <w:color w:val="auto"/>
              </w:rPr>
            </w:pPr>
          </w:p>
        </w:tc>
      </w:tr>
      <w:tr>
        <w:trPr>
          <w:trHeight w:val="261"/>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distributed net income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for basic computation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3,415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79,715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6,740</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(25,811)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Reallocation of undistributed net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(loss) as a result of</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conversion of Class B to Class A</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760" w:type="dxa"/>
            <w:vAlign w:val="bottom"/>
          </w:tcPr>
          <w:p>
            <w:pPr>
              <w:ind w:left="260"/>
              <w:spacing w:after="0" w:line="182" w:lineRule="exact"/>
              <w:rPr>
                <w:sz w:val="20"/>
                <w:szCs w:val="20"/>
                <w:color w:val="auto"/>
              </w:rPr>
            </w:pPr>
            <w:r>
              <w:rPr>
                <w:rFonts w:ascii="Times New Roman" w:cs="Times New Roman" w:eastAsia="Times New Roman" w:hAnsi="Times New Roman"/>
                <w:sz w:val="16"/>
                <w:szCs w:val="16"/>
                <w:color w:val="auto"/>
              </w:rPr>
              <w:t>Allocation of undistributed income</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43,824</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3,415</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86,455</w:t>
            </w:r>
          </w:p>
        </w:tc>
        <w:tc>
          <w:tcPr>
            <w:tcW w:w="10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6,740</w:t>
            </w:r>
          </w:p>
        </w:tc>
        <w:tc>
          <w:tcPr>
            <w:tcW w:w="80" w:type="dxa"/>
            <w:vAlign w:val="bottom"/>
          </w:tcPr>
          <w:p>
            <w:pPr>
              <w:spacing w:after="0"/>
              <w:rPr>
                <w:sz w:val="15"/>
                <w:szCs w:val="15"/>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(28,055)</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(2,244)</w:t>
            </w:r>
          </w:p>
        </w:tc>
        <w:tc>
          <w:tcPr>
            <w:tcW w:w="0" w:type="dxa"/>
            <w:vAlign w:val="bottom"/>
          </w:tcPr>
          <w:p>
            <w:pPr>
              <w:spacing w:after="0"/>
              <w:rPr>
                <w:sz w:val="1"/>
                <w:szCs w:val="1"/>
                <w:color w:val="auto"/>
              </w:rPr>
            </w:pPr>
          </w:p>
        </w:tc>
      </w:tr>
      <w:tr>
        <w:trPr>
          <w:trHeight w:val="218"/>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w:t>
            </w:r>
          </w:p>
        </w:tc>
        <w:tc>
          <w:tcPr>
            <w:tcW w:w="18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Number of shares used in basic</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calculation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26,103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296,466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307,382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25,991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effect of diluted</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to Class A</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stock units and</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performance stock units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Unvested restricted stock in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convertible senior notes</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2"/>
        </w:trPr>
        <w:tc>
          <w:tcPr>
            <w:tcW w:w="2760" w:type="dxa"/>
            <w:vAlign w:val="bottom"/>
          </w:tcPr>
          <w:p>
            <w:pPr>
              <w:ind w:left="520"/>
              <w:spacing w:after="0" w:line="182" w:lineRule="exact"/>
              <w:rPr>
                <w:sz w:val="20"/>
                <w:szCs w:val="20"/>
                <w:color w:val="auto"/>
              </w:rPr>
            </w:pPr>
            <w:r>
              <w:rPr>
                <w:rFonts w:ascii="Times New Roman" w:cs="Times New Roman" w:eastAsia="Times New Roman" w:hAnsi="Times New Roman"/>
                <w:sz w:val="16"/>
                <w:szCs w:val="16"/>
                <w:color w:val="auto"/>
              </w:rPr>
              <w:t>Number of shares used in diluted</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6"/>
                <w:szCs w:val="16"/>
                <w:color w:val="auto"/>
              </w:rPr>
              <w:t>calculation</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356,740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26,103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322,215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356,650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25,991</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320,788</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25,662</w:t>
            </w:r>
          </w:p>
        </w:tc>
        <w:tc>
          <w:tcPr>
            <w:tcW w:w="0" w:type="dxa"/>
            <w:vAlign w:val="bottom"/>
          </w:tcPr>
          <w:p>
            <w:pPr>
              <w:spacing w:after="0"/>
              <w:rPr>
                <w:sz w:val="1"/>
                <w:szCs w:val="1"/>
                <w:color w:val="auto"/>
              </w:rPr>
            </w:pPr>
          </w:p>
        </w:tc>
      </w:tr>
      <w:tr>
        <w:trPr>
          <w:trHeight w:val="268"/>
        </w:trPr>
        <w:tc>
          <w:tcPr>
            <w:tcW w:w="2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41910</wp:posOffset>
            </wp:positionV>
            <wp:extent cx="1748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gridSpan w:val="2"/>
          </w:tcPr>
          <w:p>
            <w:pPr>
              <w:ind w:left="90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4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RSUs and PSUs</w:t>
            </w: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1,017</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w:t>
            </w:r>
          </w:p>
        </w:tc>
      </w:tr>
      <w:tr>
        <w:trPr>
          <w:trHeight w:val="27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restricted shares of common stock</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70"/>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issuable upon conversion of the convertible senior notes</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r>
      <w:tr>
        <w:trPr>
          <w:trHeight w:val="248"/>
        </w:trPr>
        <w:tc>
          <w:tcPr>
            <w:tcW w:w="8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ASU No. 2020-06 requires the application of the if-converted method to calculate the impact of convertible instruments on diluted earnings per share when the instruments may be settled in cash or shares. The Company uses the if-converted method for calculating any potential dilutive effect of the conversion options embedded in the 2025 Notes on diluted net income per share as required under ASU No. 2020-06 to determine the dilutive effect of the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for more information.</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2023,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observability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June 30, 2024, we had $411.0 million in cash and cash equivalents and $2.5 billion in marketable securities. We generated revenue of $645.3 million and $509.5 million in the three months ended June 30, 2024 and 2023, respectively, representing year-over-year growth of 27%. For the six months ended June 30, 2024 and 2023, our revenue was $1,256.5 million and $991.2 million, respectively, representing year-over-year growth of 27%. Substantially all of our revenue is from subscription software sales. We have continued to make significant expenditures and investments, including in personnel-related costs, sales and marketing, infrastructure and operations, and have incurred net income (loss) of $43.8 million and $(4.0) million for the three months ended June 30, 2024 and 2023, respectively, and $86.5 million and $(28.1) million for the six months ended June 30, 2024 and 2023, respectively. Our operating cash flow was $376.7 million and $286.9 million for the six months ended June 30, 2024 and 2023, respectively. Our free cash flow was $330.5 million and $258.1 million for the six months ended June 30, 2024 and 2023, respectively. See the section titled “—Liquidity and Capital Resources—Non-GAAP Free Cash Flow” below.</w:t>
      </w:r>
    </w:p>
    <w:p>
      <w:pPr>
        <w:spacing w:after="0" w:line="21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rising inflation, the U.S. Federal Reserve raising interest rates, the Russian invasion of Ukraine, and the conflict in the Middle East have led to economic uncertainty. Historically, during periods of economic uncertainty and downturns, businesses may slow spending on information technology, which may impact our business and our customers’ businesses. In recent quarters, we have seen slower usage growth from existing customers, which may be related to the uncertain macroeconomic environment.</w:t>
      </w:r>
    </w:p>
    <w:p>
      <w:pPr>
        <w:spacing w:after="0" w:line="21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June 30, 2024, we had approximately 28,700 customers spanning organizations of a broad range of sizes and industries, compared to approximately 26,100 as of June 30, 2023.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June 30, 2024, we had approximately 3,390 customers with annual run-rate revenue, or ARR, of $100,000 or more, representing 87% of our ARR, up from 2,990 customers as of June 30, 2023, representing 85%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8"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June 30, 2024, our trailing 12-month dollar-based net retention rate was in the mid-110%'s. As of June 30, 2023, our trailing 12-month dollar-based net retention rate was in the mid-120%'s. The decline in our trailing 12-month dollar-based net retention rate was primarily attributable to slower usage growth from existing customers, which may be related to the uncertain macroeconomic environment.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 As the growth of our business has decelerated in recent quarters, our trailing 12-month dollar-based net retention rate has declined.</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20 products</w:t>
      </w:r>
      <w:r>
        <w:rPr>
          <w:rFonts w:ascii="Arial" w:cs="Arial" w:eastAsia="Arial" w:hAnsi="Arial"/>
          <w:sz w:val="18"/>
          <w:szCs w:val="18"/>
          <w:color w:val="333333"/>
        </w:rPr>
        <w:t>.</w:t>
      </w:r>
      <w:r>
        <w:rPr>
          <w:rFonts w:ascii="Times New Roman" w:cs="Times New Roman" w:eastAsia="Times New Roman" w:hAnsi="Times New Roman"/>
          <w:sz w:val="18"/>
          <w:szCs w:val="18"/>
          <w:color w:val="auto"/>
        </w:rPr>
        <w:t xml:space="preserve"> Approximately 83% of our customers were using more than one product as of June 30, 2024, up from approximately 82% a year earlier. Additionally, as of June 30, 2024, approximately 49% of our customers were using more than four products, up from approximately 45% a year earlier, approximately 25% of our customers were using more than six products, up from approximately 21% a year earlier, and approximately 11% of our customers were using more than eight products, up from approximately 7% a year earlier. We believe these metrics indicate strong expansion of product adoption across our platform.</w:t>
      </w:r>
    </w:p>
    <w:p>
      <w:pPr>
        <w:spacing w:after="0" w:line="1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30% of our total revenue for each of the six months ended June 30, 2024 and 2023.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Usage is measured primarily by the number of hosts or by the volume of data indexed. A host is generally defined as a server, either in the cloud or on-premise. Our infrastructure monitoring, APM and </w:t>
      </w:r>
      <w:r>
        <w:rPr>
          <w:rFonts w:ascii="Times New Roman" w:cs="Times New Roman" w:eastAsia="Times New Roman" w:hAnsi="Times New Roman"/>
          <w:sz w:val="18"/>
          <w:szCs w:val="18"/>
          <w:color w:val="333333"/>
        </w:rPr>
        <w:t>network performance monitoring</w:t>
      </w:r>
      <w:r>
        <w:rPr>
          <w:rFonts w:ascii="Times New Roman" w:cs="Times New Roman" w:eastAsia="Times New Roman" w:hAnsi="Times New Roman"/>
          <w:sz w:val="18"/>
          <w:szCs w:val="18"/>
          <w:color w:val="auto"/>
        </w:rPr>
        <w:t xml:space="preserve"> products are priced per host, our logs product is priced primarily per log events indexed and secondarily by events ingested. </w:t>
      </w:r>
      <w:r>
        <w:rPr>
          <w:rFonts w:ascii="Times New Roman" w:cs="Times New Roman" w:eastAsia="Times New Roman" w:hAnsi="Times New Roman"/>
          <w:sz w:val="18"/>
          <w:szCs w:val="18"/>
          <w:color w:val="333333"/>
        </w:rPr>
        <w:t>Customers also have the option to purchase additional products, such as additional container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serverless monitoring, custom metrics packages, anomaly detection, synthetic monitoring and app analytics.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We expect that our research and development expense will increase in absolute dollars as our business grows, particularly as we incur additional costs related to continued investments in our platform.</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primarily due to income earned on money market funds included in cash and cash equivalents and on marketable securities, partially offset by interest expense due on the 2025 Notes and amortization of premiums on our marketable securities.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500" w:type="dxa"/>
            <w:vAlign w:val="bottom"/>
            <w:gridSpan w:val="3"/>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509,460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1,256,532</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991,174</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tc>
        <w:tc>
          <w:tcPr>
            <w:tcW w:w="1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123,499</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101,846</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233,597</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201,760</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407,614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1,022,935</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789,414</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239,494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544,587</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468,972</w:t>
            </w:r>
          </w:p>
        </w:tc>
        <w:tc>
          <w:tcPr>
            <w:tcW w:w="0" w:type="dxa"/>
            <w:vAlign w:val="bottom"/>
          </w:tcPr>
          <w:p>
            <w:pPr>
              <w:spacing w:after="0"/>
              <w:rPr>
                <w:sz w:val="1"/>
                <w:szCs w:val="1"/>
                <w:color w:val="auto"/>
              </w:rPr>
            </w:pPr>
          </w:p>
        </w:tc>
      </w:tr>
      <w:tr>
        <w:trPr>
          <w:trHeight w:val="270"/>
        </w:trPr>
        <w:tc>
          <w:tcPr>
            <w:tcW w:w="4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360,886</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292,426</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w:t>
            </w:r>
          </w:p>
        </w:tc>
        <w:tc>
          <w:tcPr>
            <w:tcW w:w="1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42,671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92,848</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84,992</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509,162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429,620</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998,321</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846,390</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(56,976)</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(4)</w:t>
            </w: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22,624</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72,215</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39,351</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net</w:t>
            </w:r>
          </w:p>
        </w:tc>
        <w:tc>
          <w:tcPr>
            <w:tcW w:w="1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35,175</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w:t>
            </w:r>
          </w:p>
        </w:tc>
        <w:tc>
          <w:tcPr>
            <w:tcW w:w="0" w:type="dxa"/>
            <w:vAlign w:val="bottom"/>
          </w:tcPr>
          <w:p>
            <w:pPr>
              <w:spacing w:after="0"/>
              <w:rPr>
                <w:sz w:val="1"/>
                <w:szCs w:val="1"/>
                <w:color w:val="auto"/>
              </w:rPr>
            </w:pPr>
          </w:p>
        </w:tc>
      </w:tr>
      <w:tr>
        <w:trPr>
          <w:trHeight w:val="25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(21,332)</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43,824</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86,455</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(28,055)</w:t>
            </w:r>
          </w:p>
        </w:tc>
        <w:tc>
          <w:tcPr>
            <w:tcW w:w="0" w:type="dxa"/>
            <w:vAlign w:val="bottom"/>
          </w:tcPr>
          <w:p>
            <w:pPr>
              <w:spacing w:after="0"/>
              <w:rPr>
                <w:sz w:val="1"/>
                <w:szCs w:val="1"/>
                <w:color w:val="auto"/>
              </w:rPr>
            </w:pPr>
          </w:p>
        </w:tc>
      </w:tr>
      <w:tr>
        <w:trPr>
          <w:trHeight w:val="21"/>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452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4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3"/>
                <w:szCs w:val="23"/>
                <w:color w:val="auto"/>
              </w:rPr>
            </w:pPr>
          </w:p>
        </w:tc>
        <w:tc>
          <w:tcPr>
            <w:tcW w:w="1500" w:type="dxa"/>
            <w:vAlign w:val="bottom"/>
            <w:gridSpan w:val="3"/>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2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150,433</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25,884</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57,732</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48,898</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118,337</w:t>
            </w:r>
          </w:p>
        </w:tc>
        <w:tc>
          <w:tcPr>
            <w:tcW w:w="10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269,685</w:t>
            </w:r>
          </w:p>
        </w:tc>
        <w:tc>
          <w:tcPr>
            <w:tcW w:w="12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231,065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2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9"/>
        </w:trPr>
        <w:tc>
          <w:tcPr>
            <w:tcW w:w="4520" w:type="dxa"/>
            <w:vAlign w:val="bottom"/>
          </w:tcPr>
          <w:p>
            <w:pPr>
              <w:spacing w:after="0"/>
              <w:rPr>
                <w:sz w:val="24"/>
                <w:szCs w:val="24"/>
                <w:color w:val="auto"/>
              </w:rPr>
            </w:pPr>
          </w:p>
        </w:tc>
        <w:tc>
          <w:tcPr>
            <w:tcW w:w="1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intangibles expense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2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5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2,064</w:t>
            </w:r>
          </w:p>
        </w:tc>
        <w:tc>
          <w:tcPr>
            <w:tcW w:w="56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1,486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2,270</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2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6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56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6,589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5,360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1,253</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1,521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1,143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8,786</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7,865</w:t>
            </w: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12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6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(4) Includes amortization of issuance costs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280" w:type="dxa"/>
            <w:vAlign w:val="bottom"/>
            <w:gridSpan w:val="3"/>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4"/>
                <w:szCs w:val="14"/>
                <w:color w:val="auto"/>
              </w:rPr>
            </w:pPr>
          </w:p>
        </w:tc>
      </w:tr>
      <w:tr>
        <w:trPr>
          <w:trHeight w:val="190"/>
        </w:trPr>
        <w:tc>
          <w:tcPr>
            <w:tcW w:w="5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50"/>
        </w:trPr>
        <w:tc>
          <w:tcPr>
            <w:tcW w:w="56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86"/>
        </w:trPr>
        <w:tc>
          <w:tcPr>
            <w:tcW w:w="562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w w:val="92"/>
              </w:rPr>
              <w:t>2023</w:t>
            </w:r>
          </w:p>
        </w:tc>
      </w:tr>
      <w:tr>
        <w:trPr>
          <w:trHeight w:val="37"/>
        </w:trPr>
        <w:tc>
          <w:tcPr>
            <w:tcW w:w="56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5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7"/>
        </w:trPr>
        <w:tc>
          <w:tcPr>
            <w:tcW w:w="5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910</w:t>
            </w:r>
          </w:p>
        </w:tc>
        <w:tc>
          <w:tcPr>
            <w:tcW w:w="96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92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1,760</w:t>
            </w:r>
          </w:p>
        </w:tc>
        <w:tc>
          <w:tcPr>
            <w:tcW w:w="6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7"/>
        </w:trPr>
        <w:tc>
          <w:tcPr>
            <w:tcW w:w="5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r>
    </w:tbl>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0" w:type="dxa"/>
            <w:vAlign w:val="bottom"/>
            <w:gridSpan w:val="4"/>
          </w:tcPr>
          <w:p>
            <w:pPr>
              <w:jc w:val="center"/>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16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5"/>
                <w:szCs w:val="15"/>
                <w:color w:val="auto"/>
              </w:rPr>
            </w:pPr>
          </w:p>
        </w:tc>
      </w:tr>
      <w:tr>
        <w:trPr>
          <w:trHeight w:val="190"/>
        </w:trPr>
        <w:tc>
          <w:tcPr>
            <w:tcW w:w="4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gridSpan w:val="3"/>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37"/>
        </w:trPr>
        <w:tc>
          <w:tcPr>
            <w:tcW w:w="49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5860" w:type="dxa"/>
            <w:vAlign w:val="bottom"/>
            <w:gridSpan w:val="2"/>
          </w:tcPr>
          <w:p>
            <w:pPr>
              <w:ind w:left="558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9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5"/>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50"/>
        </w:trPr>
        <w:tc>
          <w:tcPr>
            <w:tcW w:w="4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w:t>
            </w:r>
          </w:p>
        </w:tc>
        <w:tc>
          <w:tcPr>
            <w:tcW w:w="920" w:type="dxa"/>
            <w:vAlign w:val="bottom"/>
          </w:tcPr>
          <w:p>
            <w:pPr>
              <w:spacing w:after="0"/>
              <w:rPr>
                <w:sz w:val="21"/>
                <w:szCs w:val="21"/>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9</w:t>
            </w:r>
          </w:p>
        </w:tc>
      </w:tr>
      <w:tr>
        <w:trPr>
          <w:trHeight w:val="237"/>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85</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w:t>
            </w:r>
          </w:p>
        </w:tc>
      </w:tr>
      <w:tr>
        <w:trPr>
          <w:trHeight w:val="23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9"/>
              </w:rPr>
              <w:t>(3)%</w:t>
            </w:r>
          </w:p>
        </w:tc>
      </w:tr>
      <w:tr>
        <w:trPr>
          <w:trHeight w:val="21"/>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2024 and 2023</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9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645,279</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$135.8 million, or 27%, for the three months ended June 30, 2024 compared to the three months ended June 30, 2023. Approximately 75% of the increase in revenue was attributable to growth from existing customers, and the remaining 25%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10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123,499</w:t>
            </w:r>
          </w:p>
        </w:tc>
        <w:tc>
          <w:tcPr>
            <w:tcW w:w="7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101,846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580" w:type="dxa"/>
            <w:vAlign w:val="bottom"/>
            <w:gridSpan w:val="2"/>
          </w:tcPr>
          <w:p>
            <w:pPr>
              <w:jc w:val="right"/>
              <w:ind w:right="419"/>
              <w:spacing w:after="0"/>
              <w:rPr>
                <w:sz w:val="20"/>
                <w:szCs w:val="20"/>
                <w:color w:val="auto"/>
              </w:rPr>
            </w:pPr>
            <w:r>
              <w:rPr>
                <w:rFonts w:ascii="Times New Roman" w:cs="Times New Roman" w:eastAsia="Times New Roman" w:hAnsi="Times New Roman"/>
                <w:sz w:val="18"/>
                <w:szCs w:val="18"/>
                <w:color w:val="auto"/>
              </w:rPr>
              <w:t>81 %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$21.7 million, or 21%, for the three months ended June 30, 2024 compared to the three months ended June 30, 2023. This increase was primarily due to an increase of $14.7 million in third-party cloud infrastructure hosting and software costs and an increase of $5.3 million in personnel costs and other related costs as a result of increased headcount.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increased by 1% for the three months ended June 30, 2024 compared to the three months ended June 30, 2023, primarily as the result of revenue growth exceeding the growth of third-party cloud infrastructure provider costs due to cost savings.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r>
      <w:tr>
        <w:trPr>
          <w:trHeight w:val="200"/>
        </w:trPr>
        <w:tc>
          <w:tcPr>
            <w:tcW w:w="5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7"/>
                <w:szCs w:val="17"/>
                <w:color w:val="auto"/>
              </w:rPr>
            </w:pPr>
          </w:p>
        </w:tc>
        <w:tc>
          <w:tcPr>
            <w:tcW w:w="10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274,599</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239,494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35,105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$35.1 million, or 15%, for the three months ended June 30, 2024 compared to the three months ended June 30, 2023. This increase was primarily due to an increase of $30.3 million in personnel costs including allocated overhead costs for our engineering, product and design teams as a result of increased headcount and an increase of $5.1 million in cloud infrastructure-related investments.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187,005</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147,455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Sales and marketing expense increased by $39.6 million, or 27%, for the three months ended June 30, 2024 compared to the three months ended June 30, 2023. This increase was primarily due to an increase of $22.5 million in personnel costs including allocated overhead costs for our sales and marketing organization as a result of increased headcount and increased</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variable compensation for our sales personnel and an increase of $16.3 million in advertising, sales, marketing and promotional activities.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47,558</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42,671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7 %</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$4.9 million, or 11%, for the three months ended June 30, 2024 compared to the three months ended June 30, 2023. This increase was primarily due to an increase of $2.6 million in personnel costs including allocated overhead costs as a result of increased headcount and an increase of $1.3 million related to bad debt expense.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Pr>
          <w:p>
            <w:pPr>
              <w:spacing w:after="0"/>
              <w:rPr>
                <w:sz w:val="16"/>
                <w:szCs w:val="16"/>
                <w:color w:val="auto"/>
              </w:rPr>
            </w:pPr>
          </w:p>
        </w:tc>
        <w:tc>
          <w:tcPr>
            <w:tcW w:w="10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35,175</w:t>
            </w:r>
          </w:p>
        </w:tc>
        <w:tc>
          <w:tcPr>
            <w:tcW w:w="7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21,098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580" w:type="dxa"/>
            <w:vAlign w:val="bottom"/>
            <w:gridSpan w:val="2"/>
          </w:tcPr>
          <w:p>
            <w:pPr>
              <w:jc w:val="right"/>
              <w:ind w:right="419"/>
              <w:spacing w:after="0"/>
              <w:rPr>
                <w:sz w:val="20"/>
                <w:szCs w:val="20"/>
                <w:color w:val="auto"/>
              </w:rPr>
            </w:pPr>
            <w:r>
              <w:rPr>
                <w:rFonts w:ascii="Times New Roman" w:cs="Times New Roman" w:eastAsia="Times New Roman" w:hAnsi="Times New Roman"/>
                <w:sz w:val="18"/>
                <w:szCs w:val="18"/>
                <w:color w:val="auto"/>
              </w:rPr>
              <w:t>5 %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$14.1 million, or 67%, for the three months ended June 30, 2024 compared to the three months ended June 30, 2023. This increase was primarily driven by an increase of $13.9 million in interest income, mainly due to income earned from investments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2024 and 2023</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9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1,256,532</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991,174</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265,358</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$265.4 million, or 27%, in the six months ended June 30, 2024 compared to the six months ended June 30, 2023. Approximately 75% of the increase in revenue was attributable to growth from existing customers, and the remaining 25%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233,597</w:t>
            </w:r>
          </w:p>
        </w:tc>
        <w:tc>
          <w:tcPr>
            <w:tcW w:w="60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201,760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31,837</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$31.8 million, or 16%, in the six months ended June 30, 2024 compared to the six months ended June 30, 2023. This increase was primarily due to an increase of $18.9 million in third-party cloud infrastructure hosting and software costs and an increase of $8.1 million in personnel and other related costs as a result of increased headcount.</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1" w:name="page32"/>
    <w:bookmarkEnd w:id="31"/>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Our gross margin increased by 1% for the six months ended June 30, 2024 compared to the six months ended June 30, 2023, primarily as the result of revenue growth exceeding the growth of third-party cloud infrastructure provider costs due to cost savings.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544,587</w:t>
            </w:r>
          </w:p>
        </w:tc>
        <w:tc>
          <w:tcPr>
            <w:tcW w:w="60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468,972</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75,615</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$75.6 million, or 16%, in the six months ended June 30, 2024 compared to the six months ended June 30, 2023. This increase was primarily due to an increase of $70.8 million in personnel costs including allocated overhead costs for our engineering, product and design teams as a result of increased headcount and an increase of $5.0 million in cloud infrastructure-related investments.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r>
      <w:tr>
        <w:trPr>
          <w:trHeight w:val="200"/>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7"/>
                <w:szCs w:val="17"/>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360,886</w:t>
            </w:r>
          </w:p>
        </w:tc>
        <w:tc>
          <w:tcPr>
            <w:tcW w:w="60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292,426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68,460</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$68.5 million, or 23%, in the six months ended June 30, 2024 compared to the six months ended June 30, 2023. This increase was primarily due to an increase of $45.5 million in personnel costs including allocated overhead costs for our sales and marketing organization as a result of increased headcount and increased variable compensation for our sales personnel and an increase of $21.6 million in advertising, sales, marketing and promotional activities.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92,848</w:t>
            </w:r>
          </w:p>
        </w:tc>
        <w:tc>
          <w:tcPr>
            <w:tcW w:w="58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84,992</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7,856</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1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7 %</w:t>
            </w:r>
          </w:p>
        </w:tc>
        <w:tc>
          <w:tcPr>
            <w:tcW w:w="5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$7.9 million, or 9%, in the six months ended June 30, 2024 compared to the six months ended June 30, 2023. This increase was primarily due to an increase of $7.4 million in personnel costs including allocated overhead costs as a result of increased headcount.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860" w:type="dxa"/>
            <w:vAlign w:val="bottom"/>
            <w:tcBorders>
              <w:bottom w:val="single" w:sz="8" w:color="CFF0FC"/>
            </w:tcBorders>
            <w:shd w:val="clear" w:color="auto" w:fill="CFF0FC"/>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35,644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7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74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color w:val="auto"/>
              </w:rPr>
              <w:t>6 %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income, net increased by $33.7 million, or 95%, in the six months ended June 30, 2024 compared to the six months ended June 30, 2023. This increase was primarily driven by an increase of $30.8 million in interest income, mainly due to income earned from investments in marketable securities.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six months ended June 30, 2024 and 2023. When assessing sources of liquidity, we also include cash and cash equivalents of $411.0 million and marketable securities of $2.5 billion as of June 30, 2024.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working capital requirements are principally comprised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2025 Notes’ coupons and principal. Purchase commitments for business operations are primarily related to cloud hosting and other software-based services. In June 2020, we issued $747.5 million aggregate principal amount of the 2025 Notes in a private placement to qualified institutional buyers pursuant to Rule 144A under the Securities Act.</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376,694</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286,945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(320,919)</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(366,285)</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26,426</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27,520</w:t>
            </w: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2024 increased $89.7 million compared to the six months ended June 30, 2023, primarily driven by an increase in non-cash charges of $37.7 million and an increase in accrued expenses and other current liabilities of $28.2 million. The increase in non-cash charges related primarily to an increase of $38.6 million in stock-based compensation as we continued to increase headcount to support the growth of the business. The increase in cash provided by operating activities was partially offset by an increase in accounts receivable of $90.7 million, a decrease in deferred revenue of $10.4 million, and an increase in prepaid expenses and other current assets of $8.4 million.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decreased $45.4 million compared to the six months ended June 30, 2023, primarily driven by a decrease of $150.0 million in the purchases of marketable securities. The decrease in cash used in investing activities was partially offset by a decrease of $52.3 million in proceeds from maturities of marketable securities, a decrease of $36.6 million in proceeds from the sale of marketable securities, and an increase in the capitalization of software development costs of $9.8 million.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decreased $1.1 million compared to the six months ended June 30, 2023, primarily due to a decrease in proceeds from the exercise of stock options of $3.6 million. The decrease in cash provided by financing activities was partially offset by an increase in proceeds from the issuance of Class A common stock under the ESPP of $2.5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6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376,694</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286,945</w:t>
            </w: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(18,573)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(11,078)</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(17,798)</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330,527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258,069</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2024, we had $321.9 million in cash equivalents and $2.5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commercial debt, commercial paper, U.S. government treasury securities, certificates of deposit, and U.S. government agency securities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 market risk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 fluctuation in interest rates, which may affect our interest income and the fair market value of our investments. </w:t>
      </w:r>
      <w:r>
        <w:rPr>
          <w:rFonts w:ascii="Times New Roman" w:cs="Times New Roman" w:eastAsia="Times New Roman" w:hAnsi="Times New Roman"/>
          <w:sz w:val="18"/>
          <w:szCs w:val="18"/>
          <w:color w:val="000000"/>
        </w:rPr>
        <w:t>As of June 30, 2024, a hypothetical 10%</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relative change in interest rates would not have a material impact on our condensed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4" w:name="page35"/>
    <w:bookmarkEnd w:id="34"/>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June 30, 2024. Based on the evaluation of our disclosure controls and procedures as of June 30, 2024,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inflation, rising interest rates, international trade relations, political turmoil, natural catastrophes, outbreaks of contagious diseases, such as the COVID-19 pandemic, warfare and terrorist attacks on the United States, Europe, the Asia Pacific region or elsewhere, such as the conflict in the Middle East, could cause a decrease in business investments, including spending on information technology, disrupt the timing and cadence of key industry events, and negatively affect the growth of our business and our results of operations. Such catastrophic and disruptive events have and may adversely affect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have and may reoccur in the future. The war in Ukraine, conflict in the Middle East and related political and economic responses such as sanctions imposed on Russia, may also exacerbate these issues and trends especially in these regions. More recently, in response to persistently high inflation, the U.S. Federal Reserve has increased interest rates, which may reduce economic growth and cause companies to decrease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revenue was $1,256.5 million and $991.2 million for the six months ended June 30, 2024 and 2023, respectively, and $2,128.4 million and $1,675.1 million for the years ended December 31, 2023 and 2022,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5"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sustain profitability in the future.</w:t>
      </w:r>
    </w:p>
    <w:p>
      <w:pPr>
        <w:spacing w:after="0" w:line="243"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have experienced net losses in several recent fiscal years and as of December 31, 2023, we had an accumulated deficit of $153.7 million. While we have experienced significant revenue growth in recent periods and periods of 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8" w:name="page39"/>
    <w:bookmarkEnd w:id="38"/>
    <w:p>
      <w:pPr>
        <w:jc w:val="both"/>
        <w:spacing w:after="0" w:line="255" w:lineRule="auto"/>
        <w:rPr>
          <w:sz w:val="20"/>
          <w:szCs w:val="20"/>
          <w:color w:val="auto"/>
        </w:rPr>
      </w:pPr>
      <w:r>
        <w:rPr>
          <w:rFonts w:ascii="Times New Roman" w:cs="Times New Roman" w:eastAsia="Times New Roman" w:hAnsi="Times New Roman"/>
          <w:sz w:val="18"/>
          <w:szCs w:val="18"/>
          <w:color w:val="auto"/>
        </w:rPr>
        <w:t>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achieve desired productivity levels in a reasonable period of time, or if our sales and marketing programs are not effective.</w:t>
      </w:r>
    </w:p>
    <w:p>
      <w:pPr>
        <w:spacing w:after="0" w:line="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 w:lineRule="exact"/>
        <w:rPr>
          <w:sz w:val="20"/>
          <w:szCs w:val="20"/>
          <w:color w:val="auto"/>
        </w:rPr>
      </w:pPr>
    </w:p>
    <w:p>
      <w:pPr>
        <w:jc w:val="both"/>
        <w:ind w:firstLine="486"/>
        <w:spacing w:after="0" w:line="239"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information, confidential information and other information necessary to provide our services, to operate our business, for legal and marketing purposes, and for other business-related purposes.</w:t>
      </w:r>
    </w:p>
    <w:p>
      <w:pPr>
        <w:spacing w:after="0" w:line="22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seeking to gain unauthorized access to and exfiltrate our or our customers’ data, including confidential and personal information, from certain of our infrastructure resources, or to disrupt our ability to provide our services. In addition, many of our employees are working remotely, which may pose additional data security risks (including, for example, an increase in phishing and malicious emails we began experiencing during 2020). The reliability and continuous availability of our platform is critical to our success. However, complex software such as ours can contain errors, defects, security vulnerabilities or software bugs that, despite testing by us, are difficult to detect and correct, particularly when such vulnerabilities are first introduced or when new versions or enhancements of our platform are released. Real or perceived errors, defects, security vulnerabilities or software bugs in our products could result in reputational harm, reduce the demand for our products and expose us to breach of contract claims, regulatory fines and related liabilities.</w:t>
      </w:r>
    </w:p>
    <w:p>
      <w:pPr>
        <w:spacing w:after="0" w:line="203" w:lineRule="exact"/>
        <w:rPr>
          <w:sz w:val="20"/>
          <w:szCs w:val="20"/>
          <w:color w:val="auto"/>
        </w:rPr>
      </w:pPr>
    </w:p>
    <w:p>
      <w:pPr>
        <w:jc w:val="both"/>
        <w:ind w:firstLine="486"/>
        <w:spacing w:after="0" w:line="236" w:lineRule="auto"/>
        <w:rPr>
          <w:sz w:val="20"/>
          <w:szCs w:val="20"/>
          <w:color w:val="auto"/>
        </w:rPr>
      </w:pPr>
      <w:r>
        <w:rPr>
          <w:rFonts w:ascii="Times New Roman" w:cs="Times New Roman" w:eastAsia="Times New Roman" w:hAnsi="Times New Roman"/>
          <w:sz w:val="18"/>
          <w:szCs w:val="18"/>
          <w:color w:val="auto"/>
        </w:rPr>
        <w:t>We may use third-party service providers and sub-processors to help us deliver services to our customers. These vendors, such as cloud infrastructure providers, may store or process personal and confidential information for us or our customers. We use third-party technology, systems and services in a variety of contexts, including, without limitation, encryption and authentication technology, employee email, content delivery to customers, back-office support, credit card processing and other functions.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malicious code, denial-of-service attacks, credential harvesting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w:t>
      </w:r>
    </w:p>
    <w:p>
      <w:pPr>
        <w:spacing w:after="0" w:line="19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89" w:lineRule="exact"/>
        <w:rPr>
          <w:sz w:val="20"/>
          <w:szCs w:val="20"/>
          <w:color w:val="auto"/>
        </w:rPr>
      </w:pPr>
    </w:p>
    <w:p>
      <w:pPr>
        <w:jc w:val="both"/>
        <w:ind w:firstLine="486"/>
        <w:spacing w:after="0"/>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upon which we rely). We may not, however, detect and remediate all such vulnerabilities on a timely basis.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8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have contractual and other legal obligations to notify relevant stakeholders of security incidents. For instance, most jurisdictions have enacted laws, such as the U.S.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in March 2023, our platform experienced widespread outages across multiple products and regions, which was substantially resolved in approximately a day.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1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industries in which our customers participate, including those impacted by the war in Ukraine and conflict in the Middle East;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jc w:val="both"/>
        <w:spacing w:after="0" w:line="256" w:lineRule="auto"/>
        <w:rPr>
          <w:sz w:val="20"/>
          <w:szCs w:val="20"/>
          <w:color w:val="auto"/>
        </w:rPr>
      </w:pPr>
      <w:r>
        <w:rPr>
          <w:rFonts w:ascii="Times New Roman" w:cs="Times New Roman" w:eastAsia="Times New Roman" w:hAnsi="Times New Roman"/>
          <w:sz w:val="18"/>
          <w:szCs w:val="18"/>
          <w:color w:val="auto"/>
        </w:rPr>
        <w:t>a discussion of certain of these economic, political, regulatory, and market risks, see “Risks Associated with our Growth—Unfavorable conditions in our industry or the global economy, or reductions in information technology spending, could limit our ability to grow our business and negatively affect our results of operations”.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which increased as a result of the COVID-19 pandemic.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 w:lineRule="exact"/>
        <w:rPr>
          <w:sz w:val="20"/>
          <w:szCs w:val="20"/>
          <w:color w:val="auto"/>
        </w:rPr>
      </w:pPr>
    </w:p>
    <w:p>
      <w:pPr>
        <w:jc w:val="both"/>
        <w:ind w:firstLine="486"/>
        <w:spacing w:after="0" w:line="234"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204"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750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solutions, we must convince their internal stakeholders that our products and platform capabilities are superior to their current solutions.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across a broad range of geographies in compliance with local regulations;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and services which may result in operational challenges, legal liability, reputational harm, competitive risks and regulatory concerns that could adversely affect our business and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w:t>
      </w:r>
    </w:p>
    <w:p>
      <w:pPr>
        <w:spacing w:after="0" w:line="180" w:lineRule="exact"/>
        <w:rPr>
          <w:sz w:val="20"/>
          <w:szCs w:val="20"/>
          <w:color w:val="auto"/>
        </w:rPr>
      </w:pPr>
    </w:p>
    <w:p>
      <w:pPr>
        <w:jc w:val="both"/>
        <w:ind w:firstLine="972"/>
        <w:spacing w:after="0" w:line="253" w:lineRule="auto"/>
        <w:rPr>
          <w:sz w:val="20"/>
          <w:szCs w:val="20"/>
          <w:color w:val="auto"/>
        </w:rPr>
      </w:pPr>
      <w:r>
        <w:rPr>
          <w:rFonts w:ascii="Times New Roman" w:cs="Times New Roman" w:eastAsia="Times New Roman" w:hAnsi="Times New Roman"/>
          <w:sz w:val="18"/>
          <w:szCs w:val="18"/>
          <w:color w:val="auto"/>
        </w:rPr>
        <w:t>We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The European Union's Artificial Intelligence Act, which would apply beyond the European Union’s borders, will come into force in August 2024, and various other governments have proposed policy and regulatory responses to oversee the use of AI.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personal information, confidential information, and other proprietary information that we, our third-party service providers or other partners process. We are subject to a variety of federal, state, local and foreign laws, directives, regulations, and industry standards, relating to the collection, use, retention, security, disclosure, transfer and other processing of personal information.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spacing w:after="0" w:line="258" w:lineRule="auto"/>
        <w:rPr>
          <w:sz w:val="20"/>
          <w:szCs w:val="20"/>
          <w:color w:val="auto"/>
        </w:rPr>
      </w:pPr>
      <w:r>
        <w:rPr>
          <w:rFonts w:ascii="Times New Roman" w:cs="Times New Roman" w:eastAsia="Times New Roman" w:hAnsi="Times New Roman"/>
          <w:sz w:val="18"/>
          <w:szCs w:val="18"/>
          <w:color w:val="auto"/>
        </w:rPr>
        <w:t>The regulatory framework for and users' expectations around privacy and security issues worldwide is rapidly evolving and as a result, implementation standards and enforcement practices are likely to remain uncertain for the foreseeable future resulting in possible significant operational costs for compliance and risk to our 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our third-party service providers, or our customers must comply.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 and data protection authorities. Under the EU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Europe and other jurisdictions have enacted data localization laws and cross-border personal data transfer laws.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and Canada introduced the Digital Charter Implementation Act.</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These changes to the CCPA could impact our business activities depending on how they are interpreted. These laws exemplify the vulnerability of our business to the evolving regulatory environment related to the protection of personal information. Other states have enacted or proposed comprehensive privacy laws as well. For example, privacy laws in Colorado, Connecticut, Utah and Virginia have recently gone into effect and similar laws in other states, such as Delaware, Indiana, Iowa, Montana, Oregon, Tennessee, and Texas have been enacted and are expected to go into effect over the next several years.</w:t>
      </w:r>
    </w:p>
    <w:p>
      <w:pPr>
        <w:spacing w:after="0" w:line="192"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control regulations can result in significant fines or penalties and possible incarceration for responsible employees and managers.</w:t>
      </w:r>
    </w:p>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 and disclosures.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an increasing focus from regulators, certain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New legal and regulatory ESG requirements and disclosures in the United States, Europe and elsewhere will likely lead to significant compliance costs, may heighten scrutiny of our ESG practices and may require us to change our current practices.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As of December 31, 2023, we had NOL carryforwards for federal and state income tax purposes of approximately $148.9 million and $206.4 million, respectively, which may be available to offset taxable income in the future, and which expire in 2026 for state purposes if not utilized.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is limited to 80% of taxable income. It is uncertain if and to what extent 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or tax liability could change due to several factors, including:</w:t>
      </w:r>
    </w:p>
    <w:p>
      <w:pPr>
        <w:spacing w:after="0" w:line="117"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changes to IRC Section 174 under the U.S. Tax Cuts and Jobs Act and the Inflation Reduction Act;</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implementation of the Organization for Economic Co-operation and Development’s (OECD) international tax framework, including the Pillar Two minimum tax regime;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OECD's Pillar Two model rules introduced a global minimum tax of 15%. These model rules have been adopted by various governments around the world, some of which are effective for tax periods beginning on or after December 31, 2023. We do not expect that this will have a material impact on our financial statements for the tax period ending December 31, 2024.</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1"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191" w:lineRule="exact"/>
        <w:rPr>
          <w:sz w:val="20"/>
          <w:szCs w:val="20"/>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30% for each of the six months ended June 30, 2024 and 2023.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June 30, 2024, approximately 39% of our full-time employees were located outside of the United States, 34%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6" w:name="page57"/>
    <w:bookmarkEnd w:id="56"/>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 and conflict in the Middle East;</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Consequently, our results of operations could be adversely affected by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57" w:name="page58"/>
    <w:bookmarkEnd w:id="57"/>
    <w:p>
      <w:pPr>
        <w:jc w:val="both"/>
        <w:spacing w:after="0" w:line="266" w:lineRule="auto"/>
        <w:rPr>
          <w:sz w:val="20"/>
          <w:szCs w:val="20"/>
          <w:color w:val="auto"/>
        </w:rPr>
      </w:pPr>
      <w:r>
        <w:rPr>
          <w:rFonts w:ascii="Times New Roman" w:cs="Times New Roman" w:eastAsia="Times New Roman" w:hAnsi="Times New Roman"/>
          <w:sz w:val="18"/>
          <w:szCs w:val="18"/>
          <w:color w:val="auto"/>
        </w:rPr>
        <w:t>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June 30, 2024, our outstanding shares of Class B common stock represented approximately 46%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the impact our dual class structure may have on the market price of our Class A common stock.</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Further, as of June 30, 2024, holders of a substantial number of shares of our capital stock have rights, subject to certain conditions, to require us to file registration statements covering the sale of their shares or to include their shares in registration statements that we may file for ourselves or other stockholders.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As a result, demand for our Class A common stock could decrease, which might cause our stock price to decline and could decrease the trading volume of our Class A common stock.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costs and demands upon management as a result of complying with the laws and regulations affecting public companies in the United States, which may harm our business.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a public company in the United States, we incur significant legal, accounting, insurance, and other expenses. The Sarbanes-Oxley Act, the Dodd-Frank Wall Street Reform and Consumer Protection Act, the listing requirements of the Nasdaq Global Select Market and other applicable securities rules and regulations impose various requirements on public companies and these laws, requirements, rules and regulations are subject to varying interpretations and, as a result, their application in practice may evolve over time as new guidance is provided by regulatory and governing bodies.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6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2025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1" w:name="page62"/>
    <w:bookmarkEnd w:id="61"/>
    <w:p>
      <w:pPr>
        <w:jc w:val="both"/>
        <w:spacing w:after="0" w:line="282" w:lineRule="auto"/>
        <w:rPr>
          <w:sz w:val="20"/>
          <w:szCs w:val="20"/>
          <w:color w:val="auto"/>
        </w:rPr>
      </w:pPr>
      <w:r>
        <w:rPr>
          <w:rFonts w:ascii="Times New Roman" w:cs="Times New Roman" w:eastAsia="Times New Roman" w:hAnsi="Times New Roman"/>
          <w:sz w:val="18"/>
          <w:szCs w:val="18"/>
          <w:color w:val="auto"/>
        </w:rPr>
        <w:t>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2025 Notes may adversely affect our financial condition and operating results.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event the conditional conversion feature of the 2025 Notes is triggered, as it was during the quarter ended March 31, 2024, holders of the 2025 Notes are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2025 Notes and our Class A common stock.</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 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5" w:lineRule="exact"/>
        <w:rPr>
          <w:sz w:val="20"/>
          <w:szCs w:val="20"/>
          <w:color w:val="auto"/>
        </w:rPr>
      </w:pPr>
    </w:p>
    <w:p>
      <w:pPr>
        <w:ind w:left="500" w:right="7360" w:hanging="492"/>
        <w:spacing w:after="0" w:line="500" w:lineRule="auto"/>
        <w:tabs>
          <w:tab w:leader="none" w:pos="332"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Sales of Unregistered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Company’s directors and officers (as defined in Rule 16a-1(f) under the Exchange Act) adopted written plans intended to satisfy the affirmative defense conditions of Securities Exchange Act Rule 10b5-1(c) for the sale of the Company’s securities as set forth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8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Adoption Date</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Shares of Class A Common Stock to be</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09"/>
        </w:trPr>
        <w:tc>
          <w:tcPr>
            <w:tcW w:w="1640" w:type="dxa"/>
            <w:vAlign w:val="bottom"/>
            <w:gridSpan w:val="2"/>
            <w:vMerge w:val="continue"/>
          </w:tcPr>
          <w:p>
            <w:pPr>
              <w:spacing w:after="0"/>
              <w:rPr>
                <w:sz w:val="9"/>
                <w:szCs w:val="9"/>
                <w:color w:val="auto"/>
              </w:rPr>
            </w:pPr>
          </w:p>
        </w:tc>
        <w:tc>
          <w:tcPr>
            <w:tcW w:w="294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2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Sold</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David Obstler</w:t>
            </w:r>
          </w:p>
        </w:tc>
        <w:tc>
          <w:tcPr>
            <w:tcW w:w="100" w:type="dxa"/>
            <w:vAlign w:val="bottom"/>
            <w:shd w:val="clear" w:color="auto" w:fill="CCEEFF"/>
          </w:tcPr>
          <w:p>
            <w:pPr>
              <w:spacing w:after="0"/>
              <w:rPr>
                <w:sz w:val="19"/>
                <w:szCs w:val="19"/>
                <w:color w:val="auto"/>
              </w:rPr>
            </w:pPr>
          </w:p>
        </w:tc>
        <w:tc>
          <w:tcPr>
            <w:tcW w:w="2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June 12, 2024</w:t>
            </w: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jc w:val="right"/>
              <w:ind w:right="1064"/>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15, 2025</w:t>
            </w:r>
          </w:p>
        </w:tc>
        <w:tc>
          <w:tcPr>
            <w:tcW w:w="0" w:type="dxa"/>
            <w:vAlign w:val="bottom"/>
          </w:tcPr>
          <w:p>
            <w:pPr>
              <w:spacing w:after="0"/>
              <w:rPr>
                <w:sz w:val="1"/>
                <w:szCs w:val="1"/>
                <w:color w:val="auto"/>
              </w:rPr>
            </w:pPr>
          </w:p>
        </w:tc>
      </w:tr>
      <w:tr>
        <w:trPr>
          <w:trHeight w:val="250"/>
        </w:trPr>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 xml:space="preserve">Shardul Shah </w:t>
            </w:r>
            <w:r>
              <w:rPr>
                <w:rFonts w:ascii="Times New Roman" w:cs="Times New Roman" w:eastAsia="Times New Roman" w:hAnsi="Times New Roman"/>
                <w:sz w:val="21"/>
                <w:szCs w:val="21"/>
                <w:color w:val="auto"/>
                <w:w w:val="97"/>
                <w:vertAlign w:val="superscript"/>
              </w:rPr>
              <w:t>(1)</w:t>
            </w:r>
          </w:p>
        </w:tc>
        <w:tc>
          <w:tcPr>
            <w:tcW w:w="29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Director</w:t>
            </w:r>
          </w:p>
        </w:tc>
        <w:tc>
          <w:tcPr>
            <w:tcW w:w="184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June 14, 2024</w:t>
            </w:r>
          </w:p>
        </w:tc>
        <w:tc>
          <w:tcPr>
            <w:tcW w:w="2800" w:type="dxa"/>
            <w:vAlign w:val="bottom"/>
          </w:tcPr>
          <w:p>
            <w:pPr>
              <w:jc w:val="right"/>
              <w:ind w:right="1104"/>
              <w:spacing w:after="0"/>
              <w:rPr>
                <w:sz w:val="20"/>
                <w:szCs w:val="20"/>
                <w:color w:val="auto"/>
              </w:rPr>
            </w:pPr>
            <w:r>
              <w:rPr>
                <w:rFonts w:ascii="Times New Roman" w:cs="Times New Roman" w:eastAsia="Times New Roman" w:hAnsi="Times New Roman"/>
                <w:sz w:val="16"/>
                <w:szCs w:val="16"/>
                <w:color w:val="auto"/>
              </w:rPr>
              <w:t>95,000</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14, 2025</w:t>
            </w:r>
          </w:p>
        </w:tc>
        <w:tc>
          <w:tcPr>
            <w:tcW w:w="0" w:type="dxa"/>
            <w:vAlign w:val="bottom"/>
          </w:tcPr>
          <w:p>
            <w:pPr>
              <w:spacing w:after="0"/>
              <w:rPr>
                <w:sz w:val="1"/>
                <w:szCs w:val="1"/>
                <w:color w:val="auto"/>
              </w:rPr>
            </w:pPr>
          </w:p>
        </w:tc>
      </w:tr>
    </w:tbl>
    <w:p>
      <w:pPr>
        <w:ind w:left="340" w:hanging="314"/>
        <w:spacing w:after="0"/>
        <w:tabs>
          <w:tab w:leader="none" w:pos="3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will be sold under a Rule 10b5-1 trading plan by the 2019 Shah Family Trust.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3" w:name="page64"/>
    <w:bookmarkEnd w:id="63"/>
    <w:p>
      <w:pPr>
        <w:spacing w:after="0" w:line="325"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55"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Amended and Restated Certificate of</w:t>
              </w:r>
            </w:hyperlink>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September 23,</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Incorporation of Datadog, Inc.</w:t>
              </w:r>
            </w:hyperlink>
          </w:p>
        </w:tc>
        <w:tc>
          <w:tcPr>
            <w:tcW w:w="10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Amended and Restated Bylaws of Datadog, Inc.</w:t>
              </w:r>
            </w:hyperlink>
          </w:p>
        </w:tc>
        <w:tc>
          <w:tcPr>
            <w:tcW w:w="240" w:type="dxa"/>
            <w:vAlign w:val="bottom"/>
          </w:tcPr>
          <w:p>
            <w:pPr>
              <w:spacing w:after="0"/>
              <w:rPr>
                <w:sz w:val="21"/>
                <w:szCs w:val="21"/>
                <w:color w:val="auto"/>
              </w:rPr>
            </w:pP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9, 2023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0"/>
          <w:szCs w:val="20"/>
          <w:color w:val="auto"/>
        </w:rPr>
      </w:pPr>
    </w:p>
    <w:p>
      <w:pPr>
        <w:ind w:left="335" w:right="140" w:hanging="335"/>
        <w:spacing w:after="0" w:line="241" w:lineRule="auto"/>
        <w:tabs>
          <w:tab w:leader="none" w:pos="335"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440" w:right="3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DATADOG, INC.</w:t>
            </w:r>
          </w:p>
        </w:tc>
      </w:tr>
      <w:tr>
        <w:trPr>
          <w:trHeight w:val="49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460" w:type="dxa"/>
            <w:vAlign w:val="bottom"/>
          </w:tcPr>
          <w:p>
            <w:pPr>
              <w:spacing w:after="0"/>
              <w:rPr>
                <w:sz w:val="18"/>
                <w:szCs w:val="18"/>
                <w:color w:val="auto"/>
              </w:rPr>
            </w:pP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460" w:type="dxa"/>
            <w:vAlign w:val="bottom"/>
          </w:tcPr>
          <w:p>
            <w:pPr>
              <w:spacing w:after="0"/>
              <w:rPr>
                <w:sz w:val="15"/>
                <w:szCs w:val="15"/>
                <w:color w:val="auto"/>
              </w:rPr>
            </w:pPr>
          </w:p>
        </w:tc>
        <w:tc>
          <w:tcPr>
            <w:tcW w:w="2880" w:type="dxa"/>
            <w:vAlign w:val="bottom"/>
          </w:tcPr>
          <w:p>
            <w:pPr>
              <w:ind w:left="19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460" w:type="dxa"/>
            <w:vAlign w:val="bottom"/>
          </w:tcPr>
          <w:p>
            <w:pPr>
              <w:spacing w:after="0"/>
              <w:rPr>
                <w:sz w:val="18"/>
                <w:szCs w:val="18"/>
                <w:color w:val="auto"/>
              </w:rPr>
            </w:pP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460" w:type="dxa"/>
            <w:vAlign w:val="bottom"/>
          </w:tcPr>
          <w:p>
            <w:pPr>
              <w:spacing w:after="0"/>
              <w:rPr>
                <w:sz w:val="15"/>
                <w:szCs w:val="15"/>
                <w:color w:val="auto"/>
              </w:rPr>
            </w:pPr>
          </w:p>
        </w:tc>
        <w:tc>
          <w:tcPr>
            <w:tcW w:w="2880" w:type="dxa"/>
            <w:vAlign w:val="bottom"/>
          </w:tcPr>
          <w:p>
            <w:pPr>
              <w:ind w:left="19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08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June 30, 2024;</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August 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June 30, 2024;</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3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June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3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June 30, 2024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3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2"/>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2" Type="http://schemas.openxmlformats.org/officeDocument/2006/relationships/hyperlink" Target="https://www.sec.gov/Archives/edgar/data/0001561550/000119312519252279/d803834dex31.htm" TargetMode="External"/><Relationship Id="rId83" Type="http://schemas.openxmlformats.org/officeDocument/2006/relationships/hyperlink" Target="https://www.sec.gov/Archives/edgar/data/1561550/000156155023000039/exhibit32-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2024-08-09T06:47:30Z</dcterms:created>
  <dcterms:modified xsi:type="dcterms:W3CDTF">2024-08-09T06:47:30Z</dcterms:modified>
</cp:coreProperties>
</file>