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May 1, 2024, there were 308,455,905 shares of the registrant’s Class A common stock and 26,042,907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2024 and 2023</w:t>
            </w:r>
          </w:p>
        </w:tc>
        <w:tc>
          <w:tcPr>
            <w:tcW w:w="146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Months Ended March 31, 2024 and 2023</w:t>
            </w:r>
          </w:p>
        </w:tc>
        <w:tc>
          <w:tcPr>
            <w:tcW w:w="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2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2,252,559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$12,362 and $12,096 as of March 31, 2024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3,333,663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3,178,137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4,141,466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765,735</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1,003,052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742,235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1,910,718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March 31, 2024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308,019,729 and 305,395,175 shares issued and outstanding as of March 31, 2024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March 31, 2024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25,945,861 and 25,684,571 shares issued and outstanding as of March 31, 2024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2,181,267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2,202,355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2,025,354</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4,141,466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95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95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481,714</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331,806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319,286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(loss)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2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(5,482)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37,149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3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1"/>
                <w:szCs w:val="11"/>
                <w:color w:val="auto"/>
              </w:rPr>
            </w:pPr>
          </w:p>
        </w:tc>
        <w:tc>
          <w:tcPr>
            <w:tcW w:w="114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6"/>
                <w:szCs w:val="16"/>
                <w:color w:val="auto"/>
              </w:rPr>
            </w:pPr>
          </w:p>
        </w:tc>
        <w:tc>
          <w:tcPr>
            <w:tcW w:w="114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331,079,746</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2,181,267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2,025,354</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1,340,644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137,679</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(5,482)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(5,482)</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333,965,590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2,202,355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2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12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319,189,843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1,625,190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1,410,505</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1,208,185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1,048,215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116,955</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0" w:type="dxa"/>
            <w:vAlign w:val="bottom"/>
          </w:tcPr>
          <w:p>
            <w:pPr>
              <w:spacing w:after="0"/>
              <w:rPr>
                <w:sz w:val="1"/>
                <w:szCs w:val="1"/>
                <w:color w:val="auto"/>
              </w:rPr>
            </w:pP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321,446,243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1,512,099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(24,086)</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112,728</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28,773</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(11,750)</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(15,810)</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18,545</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(28,080)</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28,966</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212,270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133,787</w:t>
            </w:r>
          </w:p>
        </w:tc>
      </w:tr>
      <w:tr>
        <w:trPr>
          <w:trHeight w:val="37"/>
        </w:trPr>
        <w:tc>
          <w:tcPr>
            <w:tcW w:w="8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(637,351)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(757,787)</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497,648</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21,341</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(261,208)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(256,248)</w:t>
            </w:r>
          </w:p>
        </w:tc>
      </w:tr>
      <w:tr>
        <w:trPr>
          <w:trHeight w:val="37"/>
        </w:trPr>
        <w:tc>
          <w:tcPr>
            <w:tcW w:w="8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w:t>
            </w:r>
          </w:p>
        </w:tc>
      </w:tr>
      <w:tr>
        <w:trPr>
          <w:trHeight w:val="37"/>
        </w:trPr>
        <w:tc>
          <w:tcPr>
            <w:tcW w:w="8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2"/>
        </w:trPr>
        <w:tc>
          <w:tcPr>
            <w:tcW w:w="8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37"/>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48"/>
        </w:trPr>
        <w:tc>
          <w:tcPr>
            <w:tcW w:w="8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right="2780"/>
        <w:spacing w:after="0" w:line="372" w:lineRule="auto"/>
        <w:rPr>
          <w:sz w:val="20"/>
          <w:szCs w:val="20"/>
          <w:color w:val="auto"/>
        </w:rPr>
      </w:pPr>
      <w:r>
        <w:rPr>
          <w:rFonts w:ascii="Times New Roman" w:cs="Times New Roman" w:eastAsia="Times New Roman" w:hAnsi="Times New Roman"/>
          <w:sz w:val="14"/>
          <w:szCs w:val="14"/>
          <w:color w:val="auto"/>
        </w:rPr>
        <w:t>NET DECREASE IN CASH, CASH EQUIVALENTS AND RESTRICTED CASH CASH, CASH EQUIVALENTS AND RESTRICTED CASH—Beginning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0294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(119,740)</w:t>
            </w:r>
          </w:p>
        </w:tc>
      </w:tr>
      <w:tr>
        <w:trPr>
          <w:trHeight w:val="229"/>
        </w:trPr>
        <w:tc>
          <w:tcPr>
            <w:tcW w:w="42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330,339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342,288</w:t>
            </w:r>
          </w:p>
        </w:tc>
      </w:tr>
      <w:tr>
        <w:trPr>
          <w:trHeight w:val="37"/>
        </w:trPr>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282,218</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222,548</w:t>
            </w:r>
          </w:p>
        </w:tc>
      </w:tr>
      <w:tr>
        <w:trPr>
          <w:trHeight w:val="37"/>
        </w:trPr>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4,647</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r>
      <w:tr>
        <w:trPr>
          <w:trHeight w:val="108"/>
        </w:trPr>
        <w:tc>
          <w:tcPr>
            <w:tcW w:w="7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192"/>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813</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37"/>
        </w:trPr>
        <w:tc>
          <w:tcPr>
            <w:tcW w:w="7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2,646</w:t>
            </w:r>
          </w:p>
        </w:tc>
        <w:tc>
          <w:tcPr>
            <w:tcW w:w="5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r>
      <w:tr>
        <w:trPr>
          <w:trHeight w:val="37"/>
        </w:trPr>
        <w:tc>
          <w:tcPr>
            <w:tcW w:w="72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2945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257175"/>
                    </a:xfrm>
                    <a:prstGeom prst="rect">
                      <a:avLst/>
                    </a:prstGeom>
                    <a:noFill/>
                  </pic:spPr>
                </pic:pic>
              </a:graphicData>
            </a:graphic>
          </wp:anchor>
        </w:drawing>
      </w:r>
    </w:p>
    <w:p>
      <w:pPr>
        <w:spacing w:after="0" w:line="90" w:lineRule="exact"/>
        <w:rPr>
          <w:sz w:val="20"/>
          <w:szCs w:val="20"/>
          <w:color w:val="auto"/>
        </w:rPr>
      </w:pPr>
    </w:p>
    <w:p>
      <w:pPr>
        <w:ind w:left="20" w:right="360"/>
        <w:spacing w:after="0" w:line="285" w:lineRule="auto"/>
        <w:rPr>
          <w:sz w:val="20"/>
          <w:szCs w:val="20"/>
          <w:color w:val="auto"/>
        </w:rPr>
      </w:pPr>
      <w:r>
        <w:rPr>
          <w:rFonts w:ascii="Times New Roman" w:cs="Times New Roman" w:eastAsia="Times New Roman" w:hAnsi="Times New Roman"/>
          <w:sz w:val="14"/>
          <w:szCs w:val="14"/>
          <w:b w:val="1"/>
          <w:bCs w:val="1"/>
          <w:color w:val="auto"/>
        </w:rPr>
        <w:t>RECONCILIATION OF CASH AND CASH EQUIVALENTS WITHIN THE CONDENSED CONSOLIDATED BALANCE SHEETS TO THE AMOUNTS SHOWN IN THE STATEMENTS OF CASH FLOWS ABOVE: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282,218</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222,548</w:t>
            </w:r>
          </w:p>
        </w:tc>
      </w:tr>
      <w:tr>
        <w:trPr>
          <w:trHeight w:val="37"/>
        </w:trPr>
        <w:tc>
          <w:tcPr>
            <w:tcW w:w="83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222,548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Datadog, Inc. (“Datadog” or the “Company”) was incorporated in the State of Delaware on June 4, 2010. The Company is the observability and security platform for cloud applications. </w:t>
      </w:r>
      <w:r>
        <w:rPr>
          <w:rFonts w:ascii="Times New Roman" w:cs="Times New Roman" w:eastAsia="Times New Roman" w:hAnsi="Times New Roman"/>
          <w:sz w:val="18"/>
          <w:szCs w:val="18"/>
          <w:color w:val="231F20"/>
        </w:rPr>
        <w:t>The Company’s SaaS platform integrates and automates infrastructure monitoring, application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monitoring, log management, user experience monitoring, cloud security,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2024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2023, as filed with the SEC on February 23, 2024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November 2023, the FASB issued ASU No. 2023-07</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Segment Reporting (Topic 280): Improvements to Reportable Segment Disclosures</w:t>
      </w:r>
      <w:r>
        <w:rPr>
          <w:rFonts w:ascii="Times New Roman" w:cs="Times New Roman" w:eastAsia="Times New Roman" w:hAnsi="Times New Roman"/>
          <w:sz w:val="18"/>
          <w:szCs w:val="18"/>
          <w:color w:val="231F20"/>
        </w:rPr>
        <w:t xml:space="preserve"> (“ASU No. 2023-07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improve reportable segment disclosure requirements, primarily through enhanced disclosures about significant segment expenses. The amendments in this ASU are effective for public business entities for fiscal years beginning after December 15, 2023, and interim periods within fiscal years beginning after December 15, 2024. Early adoption is permitted. The amendments in this ASU should be applied retrospectively to all prior</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231F20"/>
        </w:rPr>
        <w:t>periods presented in the financial statements. The Company is currently evaluating the impact of the adoption of this standard on its consolidated financial statements.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has not early adopted ASU No. 2023-09 as of March 31, 2024 and is evaluating its impact.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March 31, 2024 and December 31, 2023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1,318,415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457,019</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439,956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95,848</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2,503,295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2,499,151</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2,253,484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2,252,559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the fair values of available-for-sale marketable securities, by remaining contractual maturity, were as follows (in thousands):</w:t>
      </w:r>
    </w:p>
    <w:p>
      <w:pPr>
        <w:spacing w:after="0" w:line="270"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1,652,826</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846,325</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2,499,151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March 31, 2024 and December 31, 2023,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as of March 31,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268,229</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1,318,415</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439,956</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187,913</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457,019</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95,848</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268,229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2,499,151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2,767,380</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2,307,015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2,547,924</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and securities purchased within three months of maturity within Level 1 of the fair value hierarchy because they are valued based on quoted market prices in active markets.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55,111</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192,691</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$10.7 million and $8.1 million for the three months ended March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entered into three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$2.1 million and goodwill in the amount of $3.5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amortization expense was approximately $2.2 million for each of the three months ended March 31, 2024 and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8"/>
          <w:szCs w:val="18"/>
          <w:color w:val="auto"/>
        </w:rPr>
        <w:t>As of March 31, 2024,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351,437</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5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 w:lineRule="exact"/>
        <w:rPr>
          <w:rFonts w:ascii="Times New Roman" w:cs="Times New Roman" w:eastAsia="Times New Roman" w:hAnsi="Times New Roman"/>
          <w:sz w:val="18"/>
          <w:szCs w:val="18"/>
          <w:color w:val="auto"/>
        </w:rPr>
      </w:pPr>
    </w:p>
    <w:p>
      <w:pPr>
        <w:ind w:left="980" w:right="160" w:hanging="486"/>
        <w:spacing w:after="0" w:line="234"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90"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conditional conversion feature of the 2025 Notes was triggered as the last reported sale price of the Company's Class A common stock for at least 20 trading days (whether or not consecutive) during a period of 30 consecutive trading days ending on, and including, the last trading day of the quarter ended March 31, 2024 was greater than or equal to 130% of the conversion price on each applicable trading day. Therefore the 2025 Notes are convertible, in whole or in part, at the option of the holders between April 1, 2024 through June 30, 2024. Whether the 2025 Notes will be convertible following such period will depend on the continued satisfaction of this condition or another conversion condition in the future.</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March 31, 2024, the 2025 Notes were classified as long-term debt on the Company's condensed consolidated balance sheet.</w:t>
      </w:r>
    </w:p>
    <w:p>
      <w:pPr>
        <w:spacing w:after="0" w:line="172"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may redeem for cash all or any portion of the 2025 Notes prior to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742,235</w:t>
            </w: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 total estimated fair value of the 2025 Notes was approximately $1,055.1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for the three months ended March 31, 2024 and 2023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r>
      <w:tr>
        <w:trPr>
          <w:trHeight w:val="196"/>
        </w:trPr>
        <w:tc>
          <w:tcPr>
            <w:tcW w:w="77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three months ended March 31, 2024,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months ended March 31, 2024 and 2023, the Company incurred expense of $1.8 million and $1.4 million, respectively, for matching contributions.</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2024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$6.8 million and $5.9 million for the three months ended March 31, 2024 and 2023,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w:t>
            </w: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117,938</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284,662</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(70,180)</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various operating leases that had not yet commenced, which are excluded from the table above. The operating leases will commence in fiscal year 2025 with total undiscounted future payments of $58.0 million and a weighted-average lease term of 8.5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4480" w:type="dxa"/>
            <w:vAlign w:val="bottom"/>
          </w:tcPr>
          <w:p>
            <w:pPr>
              <w:spacing w:after="0"/>
              <w:rPr>
                <w:sz w:val="16"/>
                <w:szCs w:val="16"/>
                <w:color w:val="auto"/>
              </w:rPr>
            </w:pPr>
          </w:p>
        </w:tc>
        <w:tc>
          <w:tcPr>
            <w:tcW w:w="67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3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6.44 %</w:t>
            </w:r>
          </w:p>
        </w:tc>
      </w:tr>
      <w:tr>
        <w:trPr>
          <w:trHeight w:val="859"/>
        </w:trPr>
        <w:tc>
          <w:tcPr>
            <w:tcW w:w="4480" w:type="dxa"/>
            <w:vAlign w:val="bottom"/>
          </w:tcPr>
          <w:p>
            <w:pPr>
              <w:spacing w:after="0"/>
              <w:rPr>
                <w:sz w:val="24"/>
                <w:szCs w:val="24"/>
                <w:color w:val="auto"/>
              </w:rPr>
            </w:pPr>
          </w:p>
        </w:tc>
        <w:tc>
          <w:tcPr>
            <w:tcW w:w="5300" w:type="dxa"/>
            <w:vAlign w:val="bottom"/>
          </w:tcPr>
          <w:p>
            <w:pPr>
              <w:jc w:val="right"/>
              <w:ind w:right="3976"/>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341,216</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140,498</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$404.5 million and $323.5 million for the three months ended March 31, 2024 and 2023,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2024 and 2023, which was included in the deferred revenue balances at the beginning of each such period, was $346.8 million and $245.3 million, respectively.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2024 and December 31, 2023, the aggregate transaction price allocated to remaining performance obligations was $1,731.5 million and $1,839.4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three months ended March 31, 2024 and 2023, the Company charged $2.6 million and $1.3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2024 and December 31, 2023, unbilled accounts receivable of approximately $75.5 million and $61.2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$119.5 million and $118.7 million as of March 31, 2024 and December 31, 2023, respectively. Amortization expense was $11.8 million and $8.6 million for the three months ended March 31, 2024 and 2023, respectively.</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2024, 220,174 shares of Class B common stock were converted into Class A common stock.</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authorized 2,000,000,000 shares of Class A common stock and 310,000,000 shares of Class B common stock, each at a par value per share of $0.00001, of which 308,019,729 shares of Class A common stock and 25,945,861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March 31, 2024, there were 10,716,958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March 31, 2024, there were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88,787,760 shares available for grant under the 2019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1,426,912</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outstanding—March 31, 2024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10,736,928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1,290,186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Exercisable—March 31, 2024</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10,734,508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1,289,952</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there were 19,970 shares of Class A common stock and 10,716,958 shares of Class B common stock issuable upon the exercise of options outstanding. As of December 31, 2023, there were 22,926 shares of Class A common stock and 12,054,709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Approximately all compensation cost related to unvested awards was recognized as of March 31, 2024 and December 31, 2023. The weighted-average period over which this compensation cost related to unvested employee awards will be recognized is 0.7 years and 1.0 year as of March 31, 2024 and December 31, 2023,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2024 and 2023. The Company received approximately $2.2 million and $2.1 million in cash proceeds from options exercised during the three months ended March 31, 2024 and 2023, respectively. The intrinsic value of options exercised during the three months ended March 31, 2024 and 2023 was approximately $164.7 million and $86.3 million, respectively. The aggregate fair value of options vested during the three</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months ended March 31, 2024 was insignificant. The aggregate fair value of option vested during the three months ended March 31, 2023 was $5.0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6"/>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r>
      <w:tr>
        <w:trPr>
          <w:trHeight w:val="190"/>
        </w:trPr>
        <w:tc>
          <w:tcPr>
            <w:tcW w:w="764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6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13,074,251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granted no restricted shares of Class A common stock in connection with acquisitions, as the Company did not complete any acquisitions during the three months ended March 31, 2024.</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$1,193.8 million and $1,187.3 million as of March 31, 2024 and December 31, 2023, respectively. The weighted-average period over which this compensation cost related to unvested RSUs and restricted shares of common stock will be recognized is 2.7 years and 2.8 years as of March 31, 2024 and December 31, 2023,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$18.3 million and $25.1 million as of March 31, 2024 and December 31, 2023, respectively. The weighted-average period over which this compensation cost related to unvested PSUs will be recognized is 1.4 years and 1.3 years as of March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$4.3 million of stock-based compensation expense related to the ESPP during the three months ended March 31, 2024. As of March 31, 2024, $17.9 million has been withheld on behalf of employees for a future purchase under the ESPP due to the timing of payroll deductions. There were no purchases related to the ESPP in the three months ended March 31, 2024. As of March 31, 2024, 20,791,856 shares of Class A common stock remain available for grant under the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112,728</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Interest income and other income,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18,520</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(1,793)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16,727</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95" w:lineRule="exact"/>
        <w:rPr>
          <w:sz w:val="20"/>
          <w:szCs w:val="20"/>
          <w:color w:val="auto"/>
        </w:rPr>
      </w:pPr>
    </w:p>
    <w:p>
      <w:pPr>
        <w:sectPr>
          <w:pgSz w:w="11900" w:h="16838" w:orient="portrait"/>
          <w:cols w:equalWidth="0" w:num="2">
            <w:col w:w="7760" w:space="720"/>
            <w:col w:w="2760"/>
          </w:cols>
          <w:pgMar w:left="320" w:top="1305" w:right="339" w:bottom="1440" w:gutter="0" w:footer="0" w:header="0"/>
          <w:type w:val="continuous"/>
        </w:sectPr>
      </w:pPr>
    </w:p>
    <w:p>
      <w:pPr>
        <w:spacing w:after="0" w:line="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recorded a provision for income taxes of $3.6 million and $3.7 million for the three months ended March 31, 2024 and 2023, respectively. The Company has generated U.S. operating income and has minimal profits in its foreign jurisdictions during the quarter.</w:t>
      </w: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immaterial for each of the three months ended March 31, 2024 and 2023. The Company’s policy is to recognize interest and penalties related to uncertain tax positions in income tax expense. The Company is subject to U.S. federal tax authority, U.S. state tax authority and foreign tax authority examinations.</w:t>
      </w:r>
    </w:p>
    <w:p>
      <w:pPr>
        <w:sectPr>
          <w:pgSz w:w="11900" w:h="16838" w:orient="portrait"/>
          <w:cols w:equalWidth="0" w:num="1">
            <w:col w:w="11240"/>
          </w:cols>
          <w:pgMar w:left="320" w:top="1305" w:right="3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0" w:name="page21"/>
    <w:bookmarkEnd w:id="20"/>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three months ended March 31, 2024, the Act did not materially impact the Company’s provision for income tax. The Company will continue to monitor any changes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(loss) per common share is presented in conformity with the two-class method required for participating securities. Basic and diluted net income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151"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39370</wp:posOffset>
            </wp:positionV>
            <wp:extent cx="2734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30"/>
        </w:trPr>
        <w:tc>
          <w:tcPr>
            <w:tcW w:w="6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 calculating net income (loss) per share, basic</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305,927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293,712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0" w:type="dxa"/>
            <w:vAlign w:val="bottom"/>
          </w:tcPr>
          <w:p>
            <w:pPr>
              <w:spacing w:after="0"/>
              <w:rPr>
                <w:sz w:val="1"/>
                <w:szCs w:val="1"/>
                <w:color w:val="auto"/>
              </w:rPr>
            </w:pPr>
          </w:p>
        </w:tc>
      </w:tr>
      <w:tr>
        <w:trPr>
          <w:trHeight w:val="26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net income (loss) for basic computation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46"/>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 income (loss) as a result of conversion of Class B to Class A shares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undistributed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 calculation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 securities: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 common shares outstanding</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 performance stock units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 connection with acquisition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 the convertible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Number of shares used in diluted calculation</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355,979</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319,286</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0" w:type="dxa"/>
            <w:vAlign w:val="bottom"/>
          </w:tcPr>
          <w:p>
            <w:pPr>
              <w:spacing w:after="0"/>
              <w:rPr>
                <w:sz w:val="1"/>
                <w:szCs w:val="1"/>
                <w:color w:val="auto"/>
              </w:rPr>
            </w:pPr>
          </w:p>
        </w:tc>
      </w:tr>
      <w:tr>
        <w:trPr>
          <w:trHeight w:val="26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90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r>
      <w:tr>
        <w:trPr>
          <w:trHeight w:val="27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shares of common stock</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70"/>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 See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for more information.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2023,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31, 2024, we had $282.2 million in cash and cash equivalents and $2.5 billion in marketable securities. We generated revenue of $611.3 million and $481.7 million in the three months ended March 31, 2024 and 2023, respectively, representing year-over-year growth of 27%. Substantially all of our revenue is from subscription software sales. We have continued to make significant expenditures and investments, including in personnel-related costs, sales and marketing, infrastructure and operations, and have incurred net income (loss) of $42.6 million and $(24.1) million for the three months ended March 31, 2024 and 2023, respectively. Our operating cash flow was $212.3 million and $133.8 million for the three months ended March 31, 2024 and 2023, respectively. Our free cash flow was $186.7 million and $116.3 million for the three months ended March 31, 2024 and 2023, respectively. See the section titled “—Liquidity and Capital Resources—Non-GAAP Free Cash Flow” below.</w:t>
      </w:r>
    </w:p>
    <w:p>
      <w:pPr>
        <w:spacing w:after="0" w:line="2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rising inflation, the U.S. Federal Reserve raising interest rates, the Russian invasion of Ukraine, and the conflict in the Middle East have led to economic uncertainty. Historically, during periods of economic uncertainty and downturns, businesses may slow spending on information technology, which may impact our business and our customers’ businesses. In recent quarters, we have seen slower usage growth from existing customers, which may be related to the uncertain macroeconomic environment.</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2024, we had approximately 28,000 customers spanning organizations of a broad range of sizes and industries, compared to approximately 25,500 as of March 31, 2023.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March 31, 2024, we had approximately 3,340 customers with annual run-rate revenue, or ARR, of $100,000 or more, representing 87% of our ARR, up from 2,910 customers as of March 31, 2023, representing 85%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March 31, 2024, our trailing 12-month dollar-based net retention rate was in the mid-110%'s. As of March 31, 2023, our trailing 12-month dollar-based net retention rate was in the mid-130%'s. The decline in our trailing 12-month dollar-based net retention rate was primarily attributable to slower usage growth from existing customers, which may be related to the uncertain macroeconomic environment.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 As the growth of our business has decelerated in recent quarters, our trailing 12-month dollar-based net retention rate has declined.</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Approximately 82% of our customers were using more than one product as of March 31, 2024, up from approximately 81% a year earlier. Additionally, as of March 31, 2024, approximately 47% of our customers were using more than four products, up from approximately 43% a year earlier, and approximately 23% of our customers were using more than six products, up from approximately 19% a year earlier. We believe these metrics indicate strong expansion of product adoption across our platform.</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30% and 29% of our total revenue for the three months ended March 31, 2024 and 2023,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3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7"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611,253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481,714</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99,914</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381,800</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229,478</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144,971</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45,290</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42,321</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489,159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416,770</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(34,970)</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14,546</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(20,424)</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48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7" w:lineRule="exact"/>
        <w:rPr>
          <w:sz w:val="20"/>
          <w:szCs w:val="20"/>
          <w:color w:val="auto"/>
        </w:rPr>
      </w:pPr>
    </w:p>
    <w:p>
      <w:pPr>
        <w:ind w:left="52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1748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760" w:space="720"/>
            <w:col w:w="276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4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760" w:type="dxa"/>
            <w:vAlign w:val="bottom"/>
            <w:vMerge w:val="continue"/>
          </w:tcPr>
          <w:p>
            <w:pPr>
              <w:spacing w:after="0"/>
              <w:rPr>
                <w:sz w:val="23"/>
                <w:szCs w:val="23"/>
                <w:color w:val="auto"/>
              </w:rPr>
            </w:pPr>
          </w:p>
        </w:tc>
        <w:tc>
          <w:tcPr>
            <w:tcW w:w="4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0"/>
        </w:trPr>
        <w:tc>
          <w:tcPr>
            <w:tcW w:w="3760" w:type="dxa"/>
            <w:vAlign w:val="bottom"/>
          </w:tcPr>
          <w:p>
            <w:pPr>
              <w:spacing w:after="0"/>
              <w:rPr>
                <w:sz w:val="24"/>
                <w:szCs w:val="24"/>
                <w:color w:val="auto"/>
              </w:rPr>
            </w:pPr>
          </w:p>
        </w:tc>
        <w:tc>
          <w:tcPr>
            <w:tcW w:w="47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7" w:name="page28"/>
    <w:bookmarkEnd w:id="27"/>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0"/>
        </w:trPr>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93"/>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748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760" w:space="720"/>
            <w:col w:w="2760"/>
          </w:cols>
          <w:pgMar w:left="320" w:top="1089"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8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748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760" w:space="720"/>
            <w:col w:w="276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97"/>
        </w:trPr>
        <w:tc>
          <w:tcPr>
            <w:tcW w:w="11240" w:type="dxa"/>
            <w:vAlign w:val="bottom"/>
            <w:gridSpan w:val="9"/>
          </w:tcPr>
          <w:p>
            <w:pPr>
              <w:jc w:val="right"/>
              <w:ind w:right="52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tc>
      </w:tr>
      <w:tr>
        <w:trPr>
          <w:trHeight w:val="299"/>
        </w:trPr>
        <w:tc>
          <w:tcPr>
            <w:tcW w:w="8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8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6"/>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8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6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(as a percentage of total revenue</w:t>
            </w:r>
            <w:r>
              <w:rPr>
                <w:rFonts w:ascii="Times New Roman" w:cs="Times New Roman" w:eastAsia="Times New Roman" w:hAnsi="Times New Roman"/>
                <w:sz w:val="21"/>
                <w:szCs w:val="21"/>
                <w:b w:val="1"/>
                <w:bCs w:val="1"/>
                <w:color w:val="auto"/>
                <w:w w:val="99"/>
                <w:vertAlign w:val="superscript"/>
              </w:rPr>
              <w:t>(1)</w:t>
            </w:r>
            <w:r>
              <w:rPr>
                <w:rFonts w:ascii="Times New Roman" w:cs="Times New Roman" w:eastAsia="Times New Roman" w:hAnsi="Times New Roman"/>
                <w:sz w:val="14"/>
                <w:szCs w:val="14"/>
                <w:b w:val="1"/>
                <w:bCs w:val="1"/>
                <w:color w:val="auto"/>
                <w:w w:val="99"/>
              </w:rPr>
              <w:t>)</w:t>
            </w: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1"/>
                <w:szCs w:val="21"/>
                <w:color w:val="auto"/>
              </w:rPr>
            </w:pPr>
          </w:p>
        </w:tc>
      </w:tr>
      <w:tr>
        <w:trPr>
          <w:trHeight w:val="243"/>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3"/>
                <w:szCs w:val="23"/>
                <w:color w:val="auto"/>
              </w:rPr>
            </w:pPr>
          </w:p>
        </w:tc>
      </w:tr>
      <w:tr>
        <w:trPr>
          <w:trHeight w:val="237"/>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0"/>
                <w:szCs w:val="20"/>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1"/>
                <w:szCs w:val="21"/>
                <w:color w:val="auto"/>
              </w:rPr>
            </w:pPr>
          </w:p>
        </w:tc>
      </w:tr>
      <w:tr>
        <w:trPr>
          <w:trHeight w:val="243"/>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4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3"/>
                <w:szCs w:val="23"/>
                <w:color w:val="auto"/>
              </w:rPr>
            </w:pPr>
          </w:p>
        </w:tc>
      </w:tr>
      <w:tr>
        <w:trPr>
          <w:trHeight w:val="26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(5)%</w:t>
            </w:r>
          </w:p>
        </w:tc>
        <w:tc>
          <w:tcPr>
            <w:tcW w:w="40" w:type="dxa"/>
            <w:vAlign w:val="bottom"/>
          </w:tcPr>
          <w:p>
            <w:pPr>
              <w:spacing w:after="0"/>
              <w:rPr>
                <w:sz w:val="22"/>
                <w:szCs w:val="22"/>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1089"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611,253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$129.5 million, or 27%, for the three months ended March 31, 2024 compared to the three months ended March 31, 2023. Approximately 70% of the increase in revenue was attributable to growth from existing customers, and the remaining 30%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110,098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$10.2 million, or 10%, for the three months ended March 31, 2024 compared to the three months ended March 31, 2023. This increase was primarily due to an increase of $4.2 million in third-party cloud infrastructure hosting and software costs, an increase of $2.8 million in personnel costs as a result of increased headcount, and an increase of $1.7 million in depreciation and amortization expense.</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3% for the three months ended March 31, 2024 compared to the three months ended March 31, 2023, primarily as the result of revenue growth exceeding the growth of third-party cloud infrastructure provider costs due to cost savings.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269,988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229,478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$40.5 million, or 18%, for the three months ended March 31, 2024 compared to the three months ended March 31, 2023. This increase was primarily due to an increase of $40.5 million in personnel costs including allocated overhead costs for our engineering, product and design teams as a result of increased headcount.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173,881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144,971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$28.9 million, or 20%, for the three months ended March 31, 2024 compared to the three months ended March 31, 2023. This increase was primarily due to an increase of $23.0 million in personnel costs including allocated overhead costs for our sales and marketing organization as a result of increased headcount and increased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variable compensation for our sales personnel and an increase of $5.3 million in advertising, sales, marketing and promotional activities.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45,290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$3.0 million, or 7%, for the three months ended March 31, 2024 compared to the three months ended March 31, 2023. This increase was primarily due to an increase of $4.8 million in personnel costs including allocated overhead costs as a result of increased headcount, partially offset by a decrease of $1.1 million in legal and other professional services expenses, and a decrease of $1.0 million related to bad debt expense.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34,189</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$19.6 million, or 135%, for the three months ended March 31, 2024 compared to the three months ended March 31, 2023. This increase was primarily driven by an increase of $16.9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three months ended March 31, 2024 and 2023. When assessing sources of liquidity, we also include cash and cash equivalents of $282.2 million and marketable securities of $2.5 billion as of March 31, 2024.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212,270</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(261,208)</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(256,248)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2,191</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increased $78.5 million compared to the three months ended March 31, 2023, primarily driven by a decrease in accounts receivable of $26.7 million, an increase in accrued expenses and other current liabilities of $20.6 million and an increase in non-cash charges of $19.0 million. The increase in non-cash charges related primarily to an increase of $22.3 million in stock-based compensation as we continued to increase headcount to support the growth of the business. The increase in cash provided by operating activities was offset by a decrease in accounts payable of $35.7 million and a decrease in deferred revenue of $22.2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increased $5.0 million compared to the three months ended March 31, 2024, primarily driven by a decrease of $96.0 million in proceeds from maturities of marketable securities and a decrease of $21.3 million in proceeds from the sale of marketable securities. The increase in cash used in investing activities was partially offset by a decrease of $120.4 million in the purchases of marketable securities.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increased $0.1 million compared to the three months ended March 31, 2023, primarily due to an increase in proceeds from the exercise of stock options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212,270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133,787</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(11,365)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186,747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2024, we had $268.2 million in cash equivalents and $2.5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March 31, 2024, a hypothetical 10%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relative change in interest rates would not have a material impact on our condensed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2024. 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such as the conflict in the Middle East, could cause a decrease in business investments, including spending on information technology,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$611.3 million and $481.7 million for the three months ended March 31, 2024 and 2023, respectively, and $2,128.4 million and $1,675.1 million for the years ended December 31, 2023 and 2022,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5"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have experienced net losses in several recent fiscal years and as of December 31, 2023, we had an accumulated deficit of $153.7 million.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achieve desired productivity levels in a reasonable period of time, or if our sales and marketing programs are not effective.</w:t>
      </w:r>
    </w:p>
    <w:p>
      <w:pPr>
        <w:spacing w:after="0" w:line="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services, to operate our business, for legal and marketing purposes, and for other business-related purposes.</w:t>
      </w:r>
    </w:p>
    <w:p>
      <w:pPr>
        <w:spacing w:after="0" w:line="2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to gain unauthorized access to and exfiltrate our or our customers’ data, including confidential and personal information, from certain of our infrastructure resources, or to disrupt our ability to provide our services. In addition, many of our employees are working remotely, which may pose additional data security risks (including, for example, an increase in phishing and malicious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20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deliver services to our customers. These vendors, such as cloud infrastructure providers, may store or process personal and confidential information for us or our customers.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89"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upon which we rely). We may not, however, detect and remediate all such vulnerabilities on a timely basis.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in March 2023, our platform experienced widespread outages across multiple products and regions, which was substantially resolved in approximately a day.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war in Ukraine and conflict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example, the ongoing military conflict between Russia and Ukraine has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which increased as a result of the COVID-19 pandemic.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20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700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solutions, we must convince their internal stakeholders that our products and platform capabilities are superior to their current solutions.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18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Various governments have proposed policy and regulatory responses to oversee the use of AI, including the EU’s Artificial Intelligence Act, which would apply beyond the European Union’s borders.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foreign laws, directives, regulations, and industry standards, relating to the collection, use, retention, security, disclosure, transfer and other processing of personal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 Under the EU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These laws exemplify the vulnerability of our business to the evolving regulatory environment related to the protection of personal information. Other states have enacted or proposed comprehensive privacy laws as well. For example, privacy laws in Colorado, Connecticut, Utah and Virginia have recently gone into effect and similar laws in other states, such as Delaware, Indiana, Iowa, Montana, Oregon, Tennessee, and Texas have been enacted and are expected to go into effect over the next several years.</w:t>
      </w:r>
    </w:p>
    <w:p>
      <w:pPr>
        <w:spacing w:after="0" w:line="19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control regulations can result in significant fines or penalties and possible incarceration for responsible employees and managers.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The costs of changing any of our current practices to comply with any new legal and regulatory requirements in the United States and elsewhere may be substantial.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December 31, 2023, we had NOL carryforwards for federal and state income tax purposes of approximately $148.9 million and $206.4 million,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to IRC Section 174 under the U.S.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We do not expect that this will have a material impact on our financial statements for the tax period ending December 31, 2024.</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30% and 29% for the three months ended March 31, 2024 and 2023,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2024, approximately 39% of our full-time employees were located outside of the United States, 36%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March 31, 2024, our outstanding shares of Class B common stock represented approximately 46%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as of March 31, 2024, holders of a substantial number of shares of our capital stock have rights, subject to certain conditions, to require us to file registration statements covering the sale of their shares or to include their shares in registration statements that we may file for ourselves or other stockholders.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unfavorable research on us. As a result, demand for our Class A common stock could decrease, which might cause our stock price to decline and could decrease the trading volume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a public company in the Unites States, we incur significant legal, accounting, insurance, and other expenses. The Sarbanes-Oxley Act, the Dodd-Frank Wall Street Reform and Consumer Protection Act, the listing requirements of the Nasdaq Global Select Market and other applicable securities rules and regulations impose various requirements on public companies and these laws, requirements, rules and regulations are subject to varying interpretations and, as a result, their application in practice may evolve over time as new guidance is provided by regulatory and governing bodies.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2024, the conditional conversion feature of the 2025 Notes was triggered. As a result, holders of the 2025 Notes are entitled to convert all or any portion of their notes at their option from April 1, 2024 through June 30, 2024.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00" w:right="8120" w:hanging="492"/>
        <w:spacing w:after="0" w:line="500" w:lineRule="auto"/>
        <w:tabs>
          <w:tab w:leader="none" w:pos="27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 of Class A Common Stock to be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660" w:type="dxa"/>
            <w:vAlign w:val="bottom"/>
            <w:gridSpan w:val="2"/>
            <w:vMerge w:val="continue"/>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Julie Richardson</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7, 2024</w:t>
            </w: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6,233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50"/>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Kerry Acocella</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General Counsel &amp; Secretary</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March 15, 2024</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 xml:space="preserve">Up to 25,915 </w:t>
            </w:r>
            <w:r>
              <w:rPr>
                <w:rFonts w:ascii="Times New Roman" w:cs="Times New Roman" w:eastAsia="Times New Roman" w:hAnsi="Times New Roman"/>
                <w:sz w:val="21"/>
                <w:szCs w:val="21"/>
                <w:color w:val="auto"/>
                <w:w w:val="97"/>
                <w:vertAlign w:val="superscript"/>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0" w:type="dxa"/>
            <w:vAlign w:val="bottom"/>
          </w:tcPr>
          <w:p>
            <w:pPr>
              <w:spacing w:after="0"/>
              <w:rPr>
                <w:sz w:val="1"/>
                <w:szCs w:val="1"/>
                <w:color w:val="auto"/>
              </w:rPr>
            </w:pPr>
          </w:p>
        </w:tc>
      </w:tr>
    </w:tbl>
    <w:p>
      <w:pPr>
        <w:jc w:val="both"/>
        <w:ind w:left="360" w:right="20" w:hanging="334"/>
        <w:spacing w:after="0" w:line="249" w:lineRule="auto"/>
        <w:tabs>
          <w:tab w:leader="none" w:pos="3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spacing w:after="0" w:line="325"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Certificate of</w:t>
              </w:r>
            </w:hyperlink>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08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2024;</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2024;</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March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March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08" Type="http://schemas.openxmlformats.org/officeDocument/2006/relationships/hyperlink" Target="https://www.sec.gov/Archives/edgar/data/0001561550/000119312519252279/d803834dex31.htm" TargetMode="External"/><Relationship Id="rId109"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2024-05-08T06:57:00Z</dcterms:created>
  <dcterms:modified xsi:type="dcterms:W3CDTF">2024-05-08T06:57:00Z</dcterms:modified>
</cp:coreProperties>
</file>