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868680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894715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52"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8" w:lineRule="exact"/>
        <w:rPr>
          <w:sz w:val="24"/>
          <w:szCs w:val="24"/>
          <w:color w:val="auto"/>
        </w:rPr>
      </w:pPr>
    </w:p>
    <w:p>
      <w:pPr>
        <w:ind w:left="420" w:hanging="394"/>
        <w:spacing w:after="0"/>
        <w:tabs>
          <w:tab w:leader="none" w:pos="4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2" w:lineRule="exact"/>
        <w:rPr>
          <w:sz w:val="24"/>
          <w:szCs w:val="24"/>
          <w:color w:val="auto"/>
        </w:rPr>
      </w:pPr>
    </w:p>
    <w:tbl>
      <w:tblPr>
        <w:tblLayout w:type="fixed"/>
        <w:tblInd w:w="94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3900" w:type="dxa"/>
            <w:vAlign w:val="bottom"/>
          </w:tcPr>
          <w:p>
            <w:pPr>
              <w:ind w:left="152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8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500" w:type="dxa"/>
            <w:vAlign w:val="bottom"/>
            <w:tcBorders>
              <w:bottom w:val="single" w:sz="8" w:color="auto"/>
            </w:tcBorders>
          </w:tcPr>
          <w:p>
            <w:pPr>
              <w:spacing w:after="0"/>
              <w:rPr>
                <w:sz w:val="17"/>
                <w:szCs w:val="17"/>
                <w:color w:val="auto"/>
              </w:rPr>
            </w:pPr>
          </w:p>
        </w:tc>
        <w:tc>
          <w:tcPr>
            <w:tcW w:w="2180" w:type="dxa"/>
            <w:vAlign w:val="bottom"/>
          </w:tcPr>
          <w:p>
            <w:pPr>
              <w:spacing w:after="0"/>
              <w:rPr>
                <w:sz w:val="17"/>
                <w:szCs w:val="17"/>
                <w:color w:val="auto"/>
              </w:rPr>
            </w:pPr>
          </w:p>
        </w:tc>
      </w:tr>
      <w:tr>
        <w:trPr>
          <w:trHeight w:val="309"/>
        </w:trPr>
        <w:tc>
          <w:tcPr>
            <w:tcW w:w="1360" w:type="dxa"/>
            <w:vAlign w:val="bottom"/>
          </w:tcPr>
          <w:p>
            <w:pPr>
              <w:spacing w:after="0"/>
              <w:rPr>
                <w:sz w:val="24"/>
                <w:szCs w:val="24"/>
                <w:color w:val="auto"/>
              </w:rPr>
            </w:pPr>
          </w:p>
        </w:tc>
        <w:tc>
          <w:tcPr>
            <w:tcW w:w="7300" w:type="dxa"/>
            <w:vAlign w:val="bottom"/>
            <w:gridSpan w:val="5"/>
          </w:tcPr>
          <w:p>
            <w:pPr>
              <w:jc w:val="center"/>
              <w:ind w:right="568"/>
              <w:spacing w:after="0"/>
              <w:rPr>
                <w:sz w:val="20"/>
                <w:szCs w:val="20"/>
                <w:color w:val="auto"/>
              </w:rPr>
            </w:pPr>
            <w:r>
              <w:rPr>
                <w:rFonts w:ascii="Times New Roman" w:cs="Times New Roman" w:eastAsia="Times New Roman" w:hAnsi="Times New Roman"/>
                <w:sz w:val="18"/>
                <w:szCs w:val="18"/>
                <w:b w:val="1"/>
                <w:bCs w:val="1"/>
                <w:color w:val="auto"/>
              </w:rPr>
              <w:t>Commission File Number: 001-39051</w:t>
            </w:r>
          </w:p>
        </w:tc>
      </w:tr>
      <w:tr>
        <w:trPr>
          <w:trHeight w:val="238"/>
        </w:trPr>
        <w:tc>
          <w:tcPr>
            <w:tcW w:w="1360" w:type="dxa"/>
            <w:vAlign w:val="bottom"/>
          </w:tcPr>
          <w:p>
            <w:pPr>
              <w:spacing w:after="0"/>
              <w:rPr>
                <w:sz w:val="20"/>
                <w:szCs w:val="20"/>
                <w:color w:val="auto"/>
              </w:rPr>
            </w:pPr>
          </w:p>
        </w:tc>
        <w:tc>
          <w:tcPr>
            <w:tcW w:w="7300" w:type="dxa"/>
            <w:vAlign w:val="bottom"/>
            <w:gridSpan w:val="5"/>
          </w:tcPr>
          <w:p>
            <w:pPr>
              <w:jc w:val="center"/>
              <w:ind w:right="588"/>
              <w:spacing w:after="0"/>
              <w:rPr>
                <w:sz w:val="20"/>
                <w:szCs w:val="20"/>
                <w:color w:val="auto"/>
              </w:rPr>
            </w:pPr>
            <w:r>
              <w:rPr>
                <w:rFonts w:ascii="Times New Roman" w:cs="Times New Roman" w:eastAsia="Times New Roman" w:hAnsi="Times New Roman"/>
                <w:sz w:val="18"/>
                <w:szCs w:val="18"/>
                <w:b w:val="1"/>
                <w:bCs w:val="1"/>
                <w:color w:val="auto"/>
                <w:w w:val="99"/>
              </w:rPr>
              <w:t>_________________________________________________________</w:t>
            </w:r>
          </w:p>
        </w:tc>
      </w:tr>
      <w:tr>
        <w:trPr>
          <w:trHeight w:val="475"/>
        </w:trPr>
        <w:tc>
          <w:tcPr>
            <w:tcW w:w="1360" w:type="dxa"/>
            <w:vAlign w:val="bottom"/>
          </w:tcPr>
          <w:p>
            <w:pPr>
              <w:spacing w:after="0"/>
              <w:rPr>
                <w:sz w:val="24"/>
                <w:szCs w:val="24"/>
                <w:color w:val="auto"/>
              </w:rPr>
            </w:pPr>
          </w:p>
        </w:tc>
        <w:tc>
          <w:tcPr>
            <w:tcW w:w="4380" w:type="dxa"/>
            <w:vAlign w:val="bottom"/>
            <w:gridSpan w:val="2"/>
          </w:tcPr>
          <w:p>
            <w:pPr>
              <w:jc w:val="center"/>
              <w:ind w:left="2162"/>
              <w:spacing w:after="0"/>
              <w:rPr>
                <w:sz w:val="20"/>
                <w:szCs w:val="20"/>
                <w:color w:val="auto"/>
              </w:rPr>
            </w:pPr>
            <w:r>
              <w:rPr>
                <w:rFonts w:ascii="Times New Roman" w:cs="Times New Roman" w:eastAsia="Times New Roman" w:hAnsi="Times New Roman"/>
                <w:sz w:val="36"/>
                <w:szCs w:val="36"/>
                <w:b w:val="1"/>
                <w:bCs w:val="1"/>
                <w:color w:val="auto"/>
              </w:rPr>
              <w:t>Datadog, Inc.</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82"/>
        </w:trPr>
        <w:tc>
          <w:tcPr>
            <w:tcW w:w="1360" w:type="dxa"/>
            <w:vAlign w:val="bottom"/>
          </w:tcPr>
          <w:p>
            <w:pPr>
              <w:spacing w:after="0"/>
              <w:rPr>
                <w:sz w:val="15"/>
                <w:szCs w:val="15"/>
                <w:color w:val="auto"/>
              </w:rPr>
            </w:pPr>
          </w:p>
        </w:tc>
        <w:tc>
          <w:tcPr>
            <w:tcW w:w="7300" w:type="dxa"/>
            <w:vAlign w:val="bottom"/>
            <w:gridSpan w:val="5"/>
          </w:tcPr>
          <w:p>
            <w:pPr>
              <w:jc w:val="center"/>
              <w:ind w:right="588"/>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234"/>
        </w:trPr>
        <w:tc>
          <w:tcPr>
            <w:tcW w:w="1360" w:type="dxa"/>
            <w:vAlign w:val="bottom"/>
          </w:tcPr>
          <w:p>
            <w:pPr>
              <w:spacing w:after="0"/>
              <w:rPr>
                <w:sz w:val="20"/>
                <w:szCs w:val="20"/>
                <w:color w:val="auto"/>
              </w:rPr>
            </w:pPr>
          </w:p>
        </w:tc>
        <w:tc>
          <w:tcPr>
            <w:tcW w:w="7300" w:type="dxa"/>
            <w:vAlign w:val="bottom"/>
            <w:gridSpan w:val="5"/>
          </w:tcPr>
          <w:p>
            <w:pPr>
              <w:jc w:val="center"/>
              <w:ind w:right="588"/>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_________________________________________________________</w:t>
            </w:r>
          </w:p>
        </w:tc>
      </w:tr>
      <w:tr>
        <w:trPr>
          <w:trHeight w:val="365"/>
        </w:trPr>
        <w:tc>
          <w:tcPr>
            <w:tcW w:w="1360" w:type="dxa"/>
            <w:vAlign w:val="bottom"/>
          </w:tcPr>
          <w:p>
            <w:pPr>
              <w:spacing w:after="0"/>
              <w:rPr>
                <w:sz w:val="24"/>
                <w:szCs w:val="24"/>
                <w:color w:val="auto"/>
              </w:rPr>
            </w:pPr>
          </w:p>
        </w:tc>
        <w:tc>
          <w:tcPr>
            <w:tcW w:w="4380" w:type="dxa"/>
            <w:vAlign w:val="bottom"/>
            <w:gridSpan w:val="2"/>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2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27-2825503</w:t>
            </w:r>
          </w:p>
        </w:tc>
      </w:tr>
      <w:tr>
        <w:trPr>
          <w:trHeight w:val="191"/>
        </w:trPr>
        <w:tc>
          <w:tcPr>
            <w:tcW w:w="5740" w:type="dxa"/>
            <w:vAlign w:val="bottom"/>
            <w:gridSpan w:val="3"/>
          </w:tcPr>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80" w:type="dxa"/>
            <w:vAlign w:val="bottom"/>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740" w:type="dxa"/>
            <w:vAlign w:val="bottom"/>
            <w:gridSpan w:val="3"/>
          </w:tcPr>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80" w:type="dxa"/>
            <w:vAlign w:val="bottom"/>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4"/>
        </w:trPr>
        <w:tc>
          <w:tcPr>
            <w:tcW w:w="1360" w:type="dxa"/>
            <w:vAlign w:val="bottom"/>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8"/>
              </w:rPr>
              <w:t>620 8th Avenue,</w:t>
            </w:r>
          </w:p>
        </w:tc>
        <w:tc>
          <w:tcPr>
            <w:tcW w:w="4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45th Floor</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70"/>
        </w:trPr>
        <w:tc>
          <w:tcPr>
            <w:tcW w:w="1360" w:type="dxa"/>
            <w:vAlign w:val="bottom"/>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8"/>
              </w:rPr>
              <w:t>New York,</w:t>
            </w:r>
          </w:p>
        </w:tc>
        <w:tc>
          <w:tcPr>
            <w:tcW w:w="4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NY</w:t>
            </w:r>
          </w:p>
        </w:tc>
        <w:tc>
          <w:tcPr>
            <w:tcW w:w="2920" w:type="dxa"/>
            <w:vAlign w:val="bottom"/>
            <w:gridSpan w:val="3"/>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10018</w:t>
            </w:r>
          </w:p>
        </w:tc>
      </w:tr>
      <w:tr>
        <w:trPr>
          <w:trHeight w:val="219"/>
        </w:trPr>
        <w:tc>
          <w:tcPr>
            <w:tcW w:w="5740" w:type="dxa"/>
            <w:vAlign w:val="bottom"/>
            <w:gridSpan w:val="3"/>
          </w:tcPr>
          <w:p>
            <w:pPr>
              <w:jc w:val="center"/>
              <w:ind w:right="20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180" w:type="dxa"/>
            <w:vAlign w:val="bottom"/>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(866) 329-4466</w:t>
      </w:r>
    </w:p>
    <w:p>
      <w:pPr>
        <w:spacing w:after="0" w:line="31"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5" w:lineRule="exact"/>
        <w:rPr>
          <w:sz w:val="24"/>
          <w:szCs w:val="24"/>
          <w:color w:val="auto"/>
        </w:rPr>
      </w:pPr>
    </w:p>
    <w:tbl>
      <w:tblPr>
        <w:tblLayout w:type="fixed"/>
        <w:tblInd w:w="10" w:type="dxa"/>
        <w:tblCellMar>
          <w:top w:w="0" w:type="dxa"/>
          <w:left w:w="0" w:type="dxa"/>
          <w:bottom w:w="0" w:type="dxa"/>
          <w:right w:w="0" w:type="dxa"/>
        </w:tblCellMar>
      </w:tblPr>
      <w:tr>
        <w:trPr>
          <w:trHeight w:val="206"/>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3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37"/>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7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3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DDOG</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08"/>
        </w:trPr>
        <w:tc>
          <w:tcPr>
            <w:tcW w:w="3760" w:type="dxa"/>
            <w:vAlign w:val="bottom"/>
            <w:tcBorders>
              <w:left w:val="single" w:sz="8" w:color="auto"/>
              <w:right w:val="single" w:sz="8" w:color="auto"/>
            </w:tcBorders>
            <w:vMerge w:val="continue"/>
          </w:tcPr>
          <w:p>
            <w:pPr>
              <w:spacing w:after="0"/>
              <w:rPr>
                <w:sz w:val="9"/>
                <w:szCs w:val="9"/>
                <w:color w:val="auto"/>
              </w:rPr>
            </w:pPr>
          </w:p>
        </w:tc>
        <w:tc>
          <w:tcPr>
            <w:tcW w:w="3740" w:type="dxa"/>
            <w:vAlign w:val="bottom"/>
            <w:tcBorders>
              <w:right w:val="single" w:sz="8" w:color="auto"/>
            </w:tcBorders>
            <w:vMerge w:val="continue"/>
          </w:tcPr>
          <w:p>
            <w:pPr>
              <w:spacing w:after="0"/>
              <w:rPr>
                <w:sz w:val="9"/>
                <w:szCs w:val="9"/>
                <w:color w:val="auto"/>
              </w:rPr>
            </w:pPr>
          </w:p>
        </w:tc>
        <w:tc>
          <w:tcPr>
            <w:tcW w:w="3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r>
        <w:trPr>
          <w:trHeight w:val="122"/>
        </w:trPr>
        <w:tc>
          <w:tcPr>
            <w:tcW w:w="3760" w:type="dxa"/>
            <w:vAlign w:val="bottom"/>
            <w:tcBorders>
              <w:left w:val="single" w:sz="8" w:color="auto"/>
              <w:right w:val="single" w:sz="8" w:color="auto"/>
            </w:tcBorders>
          </w:tcPr>
          <w:p>
            <w:pPr>
              <w:spacing w:after="0"/>
              <w:rPr>
                <w:sz w:val="10"/>
                <w:szCs w:val="10"/>
                <w:color w:val="auto"/>
              </w:rPr>
            </w:pPr>
          </w:p>
        </w:tc>
        <w:tc>
          <w:tcPr>
            <w:tcW w:w="3740" w:type="dxa"/>
            <w:vAlign w:val="bottom"/>
            <w:tcBorders>
              <w:right w:val="single" w:sz="8" w:color="auto"/>
            </w:tcBorders>
          </w:tcPr>
          <w:p>
            <w:pPr>
              <w:spacing w:after="0"/>
              <w:rPr>
                <w:sz w:val="10"/>
                <w:szCs w:val="10"/>
                <w:color w:val="auto"/>
              </w:rPr>
            </w:pPr>
          </w:p>
        </w:tc>
        <w:tc>
          <w:tcPr>
            <w:tcW w:w="3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71" w:lineRule="exact"/>
        <w:rPr>
          <w:sz w:val="24"/>
          <w:szCs w:val="24"/>
          <w:color w:val="auto"/>
        </w:rPr>
      </w:pPr>
    </w:p>
    <w:p>
      <w:pPr>
        <w:ind w:right="3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right="1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357"/>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Accelerated filer</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Small reporting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8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170"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October 31, 2025, there were 325,443,373 shares of the registrant’s Class A common stock and 25,227,376 shares of the registrant’s Class B common stock, each with a par value of $0.00001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701675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10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200" w:type="dxa"/>
            <w:vAlign w:val="bottom"/>
            <w:gridSpan w:val="2"/>
            <w:vMerge w:val="continue"/>
          </w:tcPr>
          <w:p>
            <w:pPr>
              <w:spacing w:after="0"/>
              <w:rPr>
                <w:sz w:val="15"/>
                <w:szCs w:val="15"/>
                <w:color w:val="auto"/>
              </w:rPr>
            </w:pPr>
          </w:p>
        </w:tc>
        <w:tc>
          <w:tcPr>
            <w:tcW w:w="9100" w:type="dxa"/>
            <w:vAlign w:val="bottom"/>
            <w:gridSpan w:val="22"/>
            <w:vMerge w:val="continue"/>
          </w:tcPr>
          <w:p>
            <w:pPr>
              <w:spacing w:after="0"/>
              <w:rPr>
                <w:sz w:val="15"/>
                <w:szCs w:val="15"/>
                <w:color w:val="auto"/>
              </w:rPr>
            </w:pPr>
          </w:p>
        </w:tc>
        <w:tc>
          <w:tcPr>
            <w:tcW w:w="8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63"/>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740" w:type="dxa"/>
            <w:vAlign w:val="bottom"/>
            <w:tcBorders>
              <w:top w:val="single" w:sz="8" w:color="0000FF"/>
            </w:tcBorders>
            <w:gridSpan w:val="4"/>
          </w:tcPr>
          <w:p>
            <w:pPr>
              <w:spacing w:after="0"/>
              <w:rPr>
                <w:sz w:val="22"/>
                <w:szCs w:val="22"/>
                <w:color w:val="auto"/>
              </w:rPr>
            </w:pPr>
          </w:p>
        </w:tc>
        <w:tc>
          <w:tcPr>
            <w:tcW w:w="6860" w:type="dxa"/>
            <w:vAlign w:val="bottom"/>
            <w:gridSpan w:val="11"/>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1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2025 and December 31, 2024 (unaudited)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and Nine Months Ended September 30, 2025 and 2024</w:t>
            </w:r>
          </w:p>
        </w:tc>
        <w:tc>
          <w:tcPr>
            <w:tcW w:w="460" w:type="dxa"/>
            <w:vAlign w:val="bottom"/>
            <w:gridSpan w:val="4"/>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1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(unaudited)</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1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and Nine Months Ended September 30, 2025</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40" w:type="dxa"/>
            <w:vAlign w:val="bottom"/>
            <w:tcBorders>
              <w:top w:val="single" w:sz="8" w:color="0000FF"/>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8"/>
              </w:rPr>
              <w:t>and 2024 (unaudited)</w:t>
            </w:r>
          </w:p>
        </w:tc>
        <w:tc>
          <w:tcPr>
            <w:tcW w:w="7300" w:type="dxa"/>
            <w:vAlign w:val="bottom"/>
            <w:tcBorders>
              <w:top w:val="single" w:sz="8" w:color="0000FF"/>
            </w:tcBorders>
            <w:gridSpan w:val="12"/>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1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Nine Months Ended September 30, 2025 and</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960" w:type="dxa"/>
            <w:vAlign w:val="bottom"/>
            <w:tcBorders>
              <w:top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2024 (unaudited)</w:t>
            </w:r>
          </w:p>
        </w:tc>
        <w:tc>
          <w:tcPr>
            <w:tcW w:w="1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Nine Months Ended September 30, 2025 and 2024 (unaudited)</w:t>
            </w:r>
          </w:p>
        </w:tc>
        <w:tc>
          <w:tcPr>
            <w:tcW w:w="300" w:type="dxa"/>
            <w:vAlign w:val="bottom"/>
            <w:gridSpan w:val="3"/>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1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4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640" w:type="dxa"/>
            <w:vAlign w:val="bottom"/>
            <w:gridSpan w:val="6"/>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740" w:type="dxa"/>
            <w:vAlign w:val="bottom"/>
            <w:gridSpan w:val="8"/>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1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80" w:type="dxa"/>
            <w:vAlign w:val="bottom"/>
            <w:gridSpan w:val="9"/>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200" w:type="dxa"/>
            <w:vAlign w:val="bottom"/>
            <w:gridSpan w:val="2"/>
            <w:vMerge w:val="continue"/>
          </w:tcPr>
          <w:p>
            <w:pPr>
              <w:spacing w:after="0"/>
              <w:rPr>
                <w:sz w:val="24"/>
                <w:szCs w:val="24"/>
                <w:color w:val="auto"/>
              </w:rPr>
            </w:pPr>
          </w:p>
        </w:tc>
        <w:tc>
          <w:tcPr>
            <w:tcW w:w="18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7220" w:type="dxa"/>
            <w:vAlign w:val="bottom"/>
            <w:gridSpan w:val="12"/>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1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3"/>
          </w:tcPr>
          <w:p>
            <w:pPr>
              <w:spacing w:after="0"/>
              <w:rPr>
                <w:sz w:val="21"/>
                <w:szCs w:val="21"/>
                <w:color w:val="auto"/>
              </w:rPr>
            </w:pPr>
          </w:p>
        </w:tc>
        <w:tc>
          <w:tcPr>
            <w:tcW w:w="7780" w:type="dxa"/>
            <w:vAlign w:val="bottom"/>
            <w:gridSpan w:val="16"/>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1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500" w:type="dxa"/>
            <w:vAlign w:val="bottom"/>
            <w:tcBorders>
              <w:top w:val="single" w:sz="8" w:color="0000FF"/>
            </w:tcBorders>
          </w:tcPr>
          <w:p>
            <w:pPr>
              <w:spacing w:after="0"/>
              <w:rPr>
                <w:sz w:val="21"/>
                <w:szCs w:val="21"/>
                <w:color w:val="auto"/>
              </w:rPr>
            </w:pPr>
          </w:p>
        </w:tc>
        <w:tc>
          <w:tcPr>
            <w:tcW w:w="6280" w:type="dxa"/>
            <w:vAlign w:val="bottom"/>
            <w:gridSpan w:val="9"/>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1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340" w:type="dxa"/>
            <w:vAlign w:val="bottom"/>
            <w:gridSpan w:val="13"/>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00" w:type="dxa"/>
            <w:vAlign w:val="bottom"/>
            <w:gridSpan w:val="17"/>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089"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79" w:lineRule="exact"/>
        <w:rPr>
          <w:sz w:val="20"/>
          <w:szCs w:val="20"/>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revenue, expenses and other operating results;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customers and successfully retain existing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usage of our platform and upsell and cross sell additional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sustain our profitability;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investments in our business, our anticipated capital expenditures and our estimates regarding our capital requirements;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success of our sales and marketing efforts, and our ability to promote our brand;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 and our ability to identify, recruit and retain skilled personnel;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including any international expansion;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and any costs associated therewith;</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rates of the markets in which we compete; and</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general market, political, economic, and business conditions in our industry, or reductions in information technology spending, on our business, results of operations and financial condition.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The outcome of the events described in these forward-looking statements is subject to risks, uncertainties and other factors described under the header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and we undertake no obligation to update them to reflect events or circumstances after the date of this Quarterly Report on Form 10-Q or to reflect new information or the occurrence of unanticipated events, except as required by law.</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Unless the context otherwise indicates, references in this report to the terms “Datadog”, “the Company,” “we,” “our” and “us” refer to Datadog, Inc. and its subsidiaries. “Datadog” and other trade names and trademarks of ours appearing in this report are our property. This report contains trade names and trademarks of other companies, which are the property of their respective owners. We do not intend our use or display of other companies’ trade names or trademarks to imply an endorsement or sponsorship of us by such companies, or any relationship with any of these companies.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may announce material business and financial information to our investors using our investor relations website (www.investors.datadoghq.com). We therefore encourage investors and others interested in Datadog to review the information that we make available on our website, in addition to following our filings with the Securities and Exchange Commission, or the SEC, webcasts, press releases and conference calls.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114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1,246,983</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3,599,737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2,942,076</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$18,150 and $16,302 as of September 30, 2025 and</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4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549,648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598,919</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contract costs, current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56,095</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67,042</w:t>
            </w:r>
          </w:p>
        </w:tc>
        <w:tc>
          <w:tcPr>
            <w:tcW w:w="0" w:type="dxa"/>
            <w:vAlign w:val="bottom"/>
          </w:tcPr>
          <w:p>
            <w:pPr>
              <w:spacing w:after="0"/>
              <w:rPr>
                <w:sz w:val="1"/>
                <w:szCs w:val="1"/>
                <w:color w:val="auto"/>
              </w:rPr>
            </w:pPr>
          </w:p>
        </w:tc>
      </w:tr>
      <w:tr>
        <w:trPr>
          <w:trHeight w:val="237"/>
        </w:trPr>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4,838,105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4,911,115</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226,970</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assets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172,512</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360,381</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contract costs, non-current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86,573</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24,077</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6,052,470</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5,785,339</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4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135,243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107,731</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127,136</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31,970</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Convertible senior notes, net, current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634,023</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 current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974,264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961,853</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1,320,694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1,862,713</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196,905</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Convertible senior notes, net, non-current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982,402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979,282</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22,693</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9,383</w:t>
            </w:r>
          </w:p>
        </w:tc>
        <w:tc>
          <w:tcPr>
            <w:tcW w:w="0" w:type="dxa"/>
            <w:vAlign w:val="bottom"/>
          </w:tcPr>
          <w:p>
            <w:pPr>
              <w:spacing w:after="0"/>
              <w:rPr>
                <w:sz w:val="1"/>
                <w:szCs w:val="1"/>
                <w:color w:val="auto"/>
              </w:rPr>
            </w:pPr>
          </w:p>
        </w:tc>
      </w:tr>
      <w:tr>
        <w:trPr>
          <w:trHeight w:val="237"/>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2,613,352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3,070,976</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common stock, $0.00001 par value per share; 2,000,000,000 shares authorized as of September 30, 2025</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December 31, 2024; 325,117,580 and 316,787,538 shares issued and outstanding as of September 30, 2025</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December 31, 2024,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5"/>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B common stock, $0.00001 par value per share; 310,000,000 shares authorized as of September 30, 2025</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December 31, 2024; 25,437,097 and 25,331,244 shares issued and outstanding as of September 30, 2025 and</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18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3,335,703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2,689,013</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91,222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30,048</w:t>
            </w:r>
          </w:p>
        </w:tc>
        <w:tc>
          <w:tcPr>
            <w:tcW w:w="0" w:type="dxa"/>
            <w:vAlign w:val="bottom"/>
          </w:tcPr>
          <w:p>
            <w:pPr>
              <w:spacing w:after="0"/>
              <w:rPr>
                <w:sz w:val="1"/>
                <w:szCs w:val="1"/>
                <w:color w:val="auto"/>
              </w:rPr>
            </w:pPr>
          </w:p>
        </w:tc>
      </w:tr>
      <w:tr>
        <w:trPr>
          <w:trHeight w:val="236"/>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3,439,118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2,714,363</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6,052,470</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5,785,339</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089" w:right="339" w:bottom="686"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686" w:gutter="0" w:footer="0" w:header="0"/>
          <w:type w:val="continuous"/>
        </w:sectPr>
      </w:pPr>
    </w:p>
    <w:bookmarkStart w:id="4" w:name="page5"/>
    <w:bookmarkEnd w:id="4"/>
    <w:p>
      <w:pPr>
        <w:ind w:left="4940"/>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18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244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6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885,651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2,473,964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1,946,548</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176,457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500,063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371,353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709,194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1,973,901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1,575,195</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401,982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1,130,525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836,389</w:t>
            </w:r>
          </w:p>
        </w:tc>
        <w:tc>
          <w:tcPr>
            <w:tcW w:w="0" w:type="dxa"/>
            <w:vAlign w:val="bottom"/>
          </w:tcPr>
          <w:p>
            <w:pPr>
              <w:spacing w:after="0"/>
              <w:rPr>
                <w:sz w:val="1"/>
                <w:szCs w:val="1"/>
                <w:color w:val="auto"/>
              </w:rPr>
            </w:pPr>
          </w:p>
        </w:tc>
      </w:tr>
      <w:tr>
        <w:trPr>
          <w:trHeight w:val="243"/>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238,729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692,046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548,658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205,059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145,256</w:t>
            </w:r>
          </w:p>
        </w:tc>
        <w:tc>
          <w:tcPr>
            <w:tcW w:w="0" w:type="dxa"/>
            <w:vAlign w:val="bottom"/>
          </w:tcPr>
          <w:p>
            <w:pPr>
              <w:spacing w:after="0"/>
              <w:rPr>
                <w:sz w:val="1"/>
                <w:szCs w:val="1"/>
                <w:color w:val="auto"/>
              </w:rPr>
            </w:pPr>
          </w:p>
        </w:tc>
      </w:tr>
      <w:tr>
        <w:trPr>
          <w:trHeight w:val="237"/>
        </w:trPr>
        <w:tc>
          <w:tcPr>
            <w:tcW w:w="5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715,003</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531,982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2,027,630</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1,530,303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(53,729)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44,892</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0" w:type="dxa"/>
            <w:vAlign w:val="bottom"/>
          </w:tcPr>
          <w:p>
            <w:pPr>
              <w:spacing w:after="0"/>
              <w:rPr>
                <w:sz w:val="1"/>
                <w:szCs w:val="1"/>
                <w:color w:val="auto"/>
              </w:rPr>
            </w:pPr>
          </w:p>
        </w:tc>
      </w:tr>
      <w:tr>
        <w:trPr>
          <w:trHeight w:val="243"/>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135,739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109,647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127,280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105,222</w:t>
            </w:r>
          </w:p>
        </w:tc>
        <w:tc>
          <w:tcPr>
            <w:tcW w:w="0" w:type="dxa"/>
            <w:vAlign w:val="bottom"/>
          </w:tcPr>
          <w:p>
            <w:pPr>
              <w:spacing w:after="0"/>
              <w:rPr>
                <w:sz w:val="1"/>
                <w:szCs w:val="1"/>
                <w:color w:val="auto"/>
              </w:rPr>
            </w:pPr>
          </w:p>
        </w:tc>
      </w:tr>
      <w:tr>
        <w:trPr>
          <w:trHeight w:val="23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35,667</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56,136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73,551</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150,114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11,962</w:t>
            </w:r>
          </w:p>
        </w:tc>
        <w:tc>
          <w:tcPr>
            <w:tcW w:w="0" w:type="dxa"/>
            <w:vAlign w:val="bottom"/>
          </w:tcPr>
          <w:p>
            <w:pPr>
              <w:spacing w:after="0"/>
              <w:rPr>
                <w:sz w:val="1"/>
                <w:szCs w:val="1"/>
                <w:color w:val="auto"/>
              </w:rPr>
            </w:pPr>
          </w:p>
        </w:tc>
      </w:tr>
      <w:tr>
        <w:trPr>
          <w:trHeight w:val="26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33,885</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51,697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61,174</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138,152</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33,885</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51,697</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61,174</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138,152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20" w:type="dxa"/>
            <w:vAlign w:val="bottom"/>
            <w:vMerge w:val="continue"/>
          </w:tcPr>
          <w:p>
            <w:pPr>
              <w:spacing w:after="0"/>
              <w:rPr>
                <w:sz w:val="18"/>
                <w:szCs w:val="18"/>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used in calculating basic net income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2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348,645</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337,562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346,012</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334,779</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used in calculating diluted net income per share:</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362,001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361,905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357,331</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4"/>
                <w:szCs w:val="14"/>
                <w:color w:val="auto"/>
              </w:rPr>
            </w:pPr>
          </w:p>
        </w:tc>
        <w:tc>
          <w:tcPr>
            <w:tcW w:w="244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r>
      <w:tr>
        <w:trPr>
          <w:trHeight w:val="50"/>
        </w:trPr>
        <w:tc>
          <w:tcPr>
            <w:tcW w:w="566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186"/>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6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43"/>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138,152</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50"/>
        </w:trPr>
        <w:tc>
          <w:tcPr>
            <w:tcW w:w="5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r>
      <w:tr>
        <w:trPr>
          <w:trHeight w:val="243"/>
        </w:trPr>
        <w:tc>
          <w:tcPr>
            <w:tcW w:w="5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gain on available-for-sale marketable securities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13,861</w:t>
            </w:r>
          </w:p>
        </w:tc>
      </w:tr>
      <w:tr>
        <w:trPr>
          <w:trHeight w:val="27"/>
        </w:trPr>
        <w:tc>
          <w:tcPr>
            <w:tcW w:w="5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5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14,821</w:t>
            </w:r>
          </w:p>
        </w:tc>
      </w:tr>
      <w:tr>
        <w:trPr>
          <w:trHeight w:val="257"/>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37,788</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74,016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78,065</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152,973</w:t>
            </w:r>
          </w:p>
        </w:tc>
      </w:tr>
      <w:tr>
        <w:trPr>
          <w:trHeight w:val="27"/>
        </w:trPr>
        <w:tc>
          <w:tcPr>
            <w:tcW w:w="5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spacing w:after="0" w:line="1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220"/>
          </w:cols>
          <w:pgMar w:left="3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BALANCE—June 30, 2025</w:t>
      </w:r>
    </w:p>
    <w:p>
      <w:pPr>
        <w:spacing w:after="0" w:line="46" w:lineRule="exact"/>
        <w:rPr>
          <w:sz w:val="20"/>
          <w:szCs w:val="20"/>
          <w:color w:val="auto"/>
        </w:rPr>
      </w:pPr>
    </w:p>
    <w:p>
      <w:pPr>
        <w:ind w:left="160" w:hanging="161"/>
        <w:spacing w:after="0" w:line="290" w:lineRule="auto"/>
        <w:rPr>
          <w:sz w:val="20"/>
          <w:szCs w:val="20"/>
          <w:color w:val="auto"/>
        </w:rPr>
      </w:pPr>
      <w:r>
        <w:rPr>
          <w:rFonts w:ascii="Times New Roman" w:cs="Times New Roman" w:eastAsia="Times New Roman" w:hAnsi="Times New Roman"/>
          <w:sz w:val="16"/>
          <w:szCs w:val="16"/>
          <w:color w:val="auto"/>
        </w:rPr>
        <w:t>Issuance of common stock upon exercise of stock options</w:t>
      </w:r>
    </w:p>
    <w:p>
      <w:pPr>
        <w:spacing w:after="0" w:line="1" w:lineRule="exact"/>
        <w:rPr>
          <w:sz w:val="20"/>
          <w:szCs w:val="20"/>
          <w:color w:val="auto"/>
        </w:rPr>
      </w:pPr>
    </w:p>
    <w:p>
      <w:pPr>
        <w:ind w:left="160" w:right="220" w:hanging="161"/>
        <w:spacing w:after="0" w:line="281" w:lineRule="auto"/>
        <w:rPr>
          <w:sz w:val="20"/>
          <w:szCs w:val="20"/>
          <w:color w:val="auto"/>
        </w:rPr>
      </w:pPr>
      <w:r>
        <w:rPr>
          <w:rFonts w:ascii="Times New Roman" w:cs="Times New Roman" w:eastAsia="Times New Roman" w:hAnsi="Times New Roman"/>
          <w:sz w:val="16"/>
          <w:szCs w:val="16"/>
          <w:color w:val="auto"/>
        </w:rPr>
        <w:t>Vesting of restricted and performance stock units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46" w:lineRule="exact"/>
        <w:rPr>
          <w:sz w:val="20"/>
          <w:szCs w:val="20"/>
          <w:color w:val="auto"/>
        </w:rPr>
      </w:pPr>
    </w:p>
    <w:p>
      <w:pPr>
        <w:ind w:left="160" w:right="760" w:hanging="161"/>
        <w:spacing w:after="0" w:line="290" w:lineRule="auto"/>
        <w:rPr>
          <w:sz w:val="20"/>
          <w:szCs w:val="20"/>
          <w:color w:val="auto"/>
        </w:rPr>
      </w:pPr>
      <w:r>
        <w:rPr>
          <w:rFonts w:ascii="Times New Roman" w:cs="Times New Roman" w:eastAsia="Times New Roman" w:hAnsi="Times New Roman"/>
          <w:sz w:val="16"/>
          <w:szCs w:val="16"/>
          <w:color w:val="auto"/>
        </w:rPr>
        <w:t>Change in accumulated other comprehensive income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income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BALANCE—September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BALANCE—June 30, 2024</w:t>
      </w:r>
    </w:p>
    <w:p>
      <w:pPr>
        <w:spacing w:after="0" w:line="46" w:lineRule="exact"/>
        <w:rPr>
          <w:sz w:val="20"/>
          <w:szCs w:val="20"/>
          <w:color w:val="auto"/>
        </w:rPr>
      </w:pPr>
    </w:p>
    <w:p>
      <w:pPr>
        <w:ind w:left="160" w:hanging="161"/>
        <w:spacing w:after="0" w:line="280" w:lineRule="auto"/>
        <w:rPr>
          <w:sz w:val="20"/>
          <w:szCs w:val="20"/>
          <w:color w:val="auto"/>
        </w:rPr>
      </w:pPr>
      <w:r>
        <w:rPr>
          <w:rFonts w:ascii="Times New Roman" w:cs="Times New Roman" w:eastAsia="Times New Roman" w:hAnsi="Times New Roman"/>
          <w:sz w:val="16"/>
          <w:szCs w:val="16"/>
          <w:color w:val="auto"/>
        </w:rPr>
        <w:t>Issuance of common stock upon exercise of stock options</w:t>
      </w:r>
    </w:p>
    <w:p>
      <w:pPr>
        <w:spacing w:after="0" w:line="16" w:lineRule="exact"/>
        <w:rPr>
          <w:sz w:val="20"/>
          <w:szCs w:val="20"/>
          <w:color w:val="auto"/>
        </w:rPr>
      </w:pPr>
    </w:p>
    <w:p>
      <w:pPr>
        <w:ind w:left="160" w:right="220" w:hanging="161"/>
        <w:spacing w:after="0" w:line="280" w:lineRule="auto"/>
        <w:rPr>
          <w:sz w:val="20"/>
          <w:szCs w:val="20"/>
          <w:color w:val="auto"/>
        </w:rPr>
      </w:pPr>
      <w:r>
        <w:rPr>
          <w:rFonts w:ascii="Times New Roman" w:cs="Times New Roman" w:eastAsia="Times New Roman" w:hAnsi="Times New Roman"/>
          <w:sz w:val="16"/>
          <w:szCs w:val="16"/>
          <w:color w:val="auto"/>
        </w:rPr>
        <w:t>Vesting of restricted and performance stock units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46" w:lineRule="exact"/>
        <w:rPr>
          <w:sz w:val="20"/>
          <w:szCs w:val="20"/>
          <w:color w:val="auto"/>
        </w:rPr>
      </w:pPr>
    </w:p>
    <w:p>
      <w:pPr>
        <w:ind w:left="160" w:right="760" w:hanging="161"/>
        <w:spacing w:after="0" w:line="280" w:lineRule="auto"/>
        <w:rPr>
          <w:sz w:val="20"/>
          <w:szCs w:val="20"/>
          <w:color w:val="auto"/>
        </w:rPr>
      </w:pPr>
      <w:r>
        <w:rPr>
          <w:rFonts w:ascii="Times New Roman" w:cs="Times New Roman" w:eastAsia="Times New Roman" w:hAnsi="Times New Roman"/>
          <w:sz w:val="16"/>
          <w:szCs w:val="16"/>
          <w:color w:val="auto"/>
        </w:rPr>
        <w:t>Change in accumulated other comprehensive income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income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BALANCE—September 30, 2024</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Class A and Class B</w:t>
      </w:r>
    </w:p>
    <w:p>
      <w:pPr>
        <w:spacing w:after="0" w:line="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1722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17" w:lineRule="exact"/>
        <w:rPr>
          <w:sz w:val="20"/>
          <w:szCs w:val="20"/>
          <w:color w:val="auto"/>
        </w:rPr>
      </w:pPr>
    </w:p>
    <w:p>
      <w:pPr>
        <w:ind w:left="480"/>
        <w:spacing w:after="0"/>
        <w:tabs>
          <w:tab w:leader="none" w:pos="1820" w:val="left"/>
        </w:tabs>
        <w:rPr>
          <w:sz w:val="20"/>
          <w:szCs w:val="20"/>
          <w:color w:val="auto"/>
        </w:rPr>
      </w:pPr>
      <w:r>
        <w:rPr>
          <w:rFonts w:ascii="Times New Roman" w:cs="Times New Roman" w:eastAsia="Times New Roman" w:hAnsi="Times New Roman"/>
          <w:sz w:val="13"/>
          <w:szCs w:val="13"/>
          <w:b w:val="1"/>
          <w:bCs w:val="1"/>
          <w:color w:val="auto"/>
        </w:rPr>
        <w:t>Shares</w:t>
      </w:r>
      <w:r>
        <w:rPr>
          <w:sz w:val="20"/>
          <w:szCs w:val="20"/>
          <w:color w:val="auto"/>
        </w:rPr>
        <w:tab/>
      </w:r>
      <w:r>
        <w:rPr>
          <w:rFonts w:ascii="Times New Roman" w:cs="Times New Roman" w:eastAsia="Times New Roman" w:hAnsi="Times New Roman"/>
          <w:sz w:val="13"/>
          <w:szCs w:val="13"/>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20955</wp:posOffset>
            </wp:positionV>
            <wp:extent cx="71323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9" w:lineRule="exact"/>
        <w:rPr>
          <w:sz w:val="20"/>
          <w:szCs w:val="20"/>
          <w:color w:val="auto"/>
        </w:rPr>
      </w:pPr>
    </w:p>
    <w:p>
      <w:pPr>
        <w:jc w:val="both"/>
        <w:ind w:left="420"/>
        <w:spacing w:after="0"/>
        <w:tabs>
          <w:tab w:leader="none" w:pos="1420" w:val="left"/>
          <w:tab w:leader="none" w:pos="2540" w:val="left"/>
          <w:tab w:leader="none" w:pos="2820" w:val="left"/>
        </w:tabs>
        <w:rPr>
          <w:sz w:val="20"/>
          <w:szCs w:val="20"/>
          <w:color w:val="auto"/>
        </w:rPr>
      </w:pPr>
      <w:r>
        <w:rPr>
          <w:rFonts w:ascii="Times New Roman" w:cs="Times New Roman" w:eastAsia="Times New Roman" w:hAnsi="Times New Roman"/>
          <w:sz w:val="16"/>
          <w:szCs w:val="16"/>
          <w:color w:val="auto"/>
        </w:rPr>
        <w:t>348,608,581</w:t>
        <w:tab/>
        <w:t>$</w:t>
      </w:r>
      <w:r>
        <w:rPr>
          <w:sz w:val="20"/>
          <w:szCs w:val="20"/>
          <w:color w:val="auto"/>
        </w:rPr>
        <w:tab/>
      </w:r>
      <w:r>
        <w:rPr>
          <w:rFonts w:ascii="Times New Roman" w:cs="Times New Roman" w:eastAsia="Times New Roman" w:hAnsi="Times New Roman"/>
          <w:sz w:val="16"/>
          <w:szCs w:val="16"/>
          <w:color w:val="auto"/>
        </w:rPr>
        <w:t>3</w:t>
        <w:tab/>
        <w:t>$</w:t>
      </w:r>
    </w:p>
    <w:p>
      <w:pPr>
        <w:spacing w:after="0" w:line="262" w:lineRule="exact"/>
        <w:rPr>
          <w:sz w:val="20"/>
          <w:szCs w:val="20"/>
          <w:color w:val="auto"/>
        </w:rPr>
      </w:pPr>
    </w:p>
    <w:p>
      <w:pPr>
        <w:ind w:left="720"/>
        <w:spacing w:after="0"/>
        <w:tabs>
          <w:tab w:leader="none" w:pos="2460" w:val="left"/>
        </w:tabs>
        <w:rPr>
          <w:sz w:val="20"/>
          <w:szCs w:val="20"/>
          <w:color w:val="auto"/>
        </w:rPr>
      </w:pPr>
      <w:r>
        <w:rPr>
          <w:rFonts w:ascii="Times New Roman" w:cs="Times New Roman" w:eastAsia="Times New Roman" w:hAnsi="Times New Roman"/>
          <w:sz w:val="16"/>
          <w:szCs w:val="16"/>
          <w:color w:val="auto"/>
        </w:rPr>
        <w:t>406,278</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29210</wp:posOffset>
            </wp:positionV>
            <wp:extent cx="7132320" cy="283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spacing w:after="0" w:line="242" w:lineRule="exact"/>
        <w:rPr>
          <w:sz w:val="20"/>
          <w:szCs w:val="20"/>
          <w:color w:val="auto"/>
        </w:rPr>
      </w:pPr>
    </w:p>
    <w:p>
      <w:pPr>
        <w:ind w:left="600"/>
        <w:spacing w:after="0"/>
        <w:tabs>
          <w:tab w:leader="none" w:pos="2460" w:val="left"/>
        </w:tabs>
        <w:rPr>
          <w:sz w:val="20"/>
          <w:szCs w:val="20"/>
          <w:color w:val="auto"/>
        </w:rPr>
      </w:pPr>
      <w:r>
        <w:rPr>
          <w:rFonts w:ascii="Times New Roman" w:cs="Times New Roman" w:eastAsia="Times New Roman" w:hAnsi="Times New Roman"/>
          <w:sz w:val="16"/>
          <w:szCs w:val="16"/>
          <w:color w:val="auto"/>
        </w:rPr>
        <w:t>1,539,818</w:t>
      </w:r>
      <w:r>
        <w:rPr>
          <w:sz w:val="20"/>
          <w:szCs w:val="20"/>
          <w:color w:val="auto"/>
        </w:rPr>
        <w:tab/>
      </w:r>
      <w:r>
        <w:rPr>
          <w:rFonts w:ascii="Times New Roman" w:cs="Times New Roman" w:eastAsia="Times New Roman" w:hAnsi="Times New Roman"/>
          <w:sz w:val="16"/>
          <w:szCs w:val="16"/>
          <w:color w:val="auto"/>
        </w:rPr>
        <w:t>—</w:t>
      </w:r>
    </w:p>
    <w:p>
      <w:pPr>
        <w:spacing w:after="0" w:line="46" w:lineRule="exact"/>
        <w:rPr>
          <w:sz w:val="20"/>
          <w:szCs w:val="20"/>
          <w:color w:val="auto"/>
        </w:rPr>
      </w:pPr>
    </w:p>
    <w:p>
      <w:pPr>
        <w:ind w:left="1080"/>
        <w:spacing w:after="0"/>
        <w:tabs>
          <w:tab w:leader="none" w:pos="246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20320</wp:posOffset>
            </wp:positionV>
            <wp:extent cx="7132320" cy="283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spacing w:after="0" w:line="242" w:lineRule="exact"/>
        <w:rPr>
          <w:sz w:val="20"/>
          <w:szCs w:val="20"/>
          <w:color w:val="auto"/>
        </w:rPr>
      </w:pPr>
    </w:p>
    <w:p>
      <w:pPr>
        <w:ind w:left="1080"/>
        <w:spacing w:after="0"/>
        <w:tabs>
          <w:tab w:leader="none" w:pos="246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46" w:lineRule="exact"/>
        <w:rPr>
          <w:sz w:val="20"/>
          <w:szCs w:val="20"/>
          <w:color w:val="auto"/>
        </w:rPr>
      </w:pPr>
    </w:p>
    <w:p>
      <w:pPr>
        <w:ind w:left="1080"/>
        <w:spacing w:after="0"/>
        <w:tabs>
          <w:tab w:leader="none" w:pos="246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29210</wp:posOffset>
            </wp:positionV>
            <wp:extent cx="7132320"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3" w:lineRule="exact"/>
        <w:rPr>
          <w:sz w:val="20"/>
          <w:szCs w:val="20"/>
          <w:color w:val="auto"/>
        </w:rPr>
      </w:pPr>
    </w:p>
    <w:p>
      <w:pPr>
        <w:jc w:val="both"/>
        <w:ind w:left="420"/>
        <w:spacing w:after="0"/>
        <w:tabs>
          <w:tab w:leader="none" w:pos="1420" w:val="left"/>
          <w:tab w:leader="none" w:pos="2540" w:val="left"/>
          <w:tab w:leader="none" w:pos="2820" w:val="left"/>
        </w:tabs>
        <w:rPr>
          <w:sz w:val="20"/>
          <w:szCs w:val="20"/>
          <w:color w:val="auto"/>
        </w:rPr>
      </w:pPr>
      <w:r>
        <w:rPr>
          <w:rFonts w:ascii="Times New Roman" w:cs="Times New Roman" w:eastAsia="Times New Roman" w:hAnsi="Times New Roman"/>
          <w:sz w:val="16"/>
          <w:szCs w:val="16"/>
          <w:color w:val="auto"/>
        </w:rPr>
        <w:t>350,554,677</w:t>
        <w:tab/>
        <w:t>$</w:t>
      </w:r>
      <w:r>
        <w:rPr>
          <w:sz w:val="20"/>
          <w:szCs w:val="20"/>
          <w:color w:val="auto"/>
        </w:rPr>
        <w:tab/>
      </w:r>
      <w:r>
        <w:rPr>
          <w:rFonts w:ascii="Times New Roman" w:cs="Times New Roman" w:eastAsia="Times New Roman" w:hAnsi="Times New Roman"/>
          <w:sz w:val="16"/>
          <w:szCs w:val="16"/>
          <w:color w:val="auto"/>
        </w:rPr>
        <w:t>3</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54610</wp:posOffset>
            </wp:positionV>
            <wp:extent cx="17227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Class A and Class B</w:t>
      </w:r>
    </w:p>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17227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42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5"/>
                <w:szCs w:val="15"/>
                <w:color w:val="auto"/>
              </w:rPr>
            </w:pPr>
          </w:p>
        </w:tc>
        <w:tc>
          <w:tcPr>
            <w:tcW w:w="1020" w:type="dxa"/>
            <w:vAlign w:val="bottom"/>
          </w:tcPr>
          <w:p>
            <w:pPr>
              <w:jc w:val="right"/>
              <w:ind w:right="341"/>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5"/>
                <w:szCs w:val="15"/>
                <w:color w:val="auto"/>
              </w:rPr>
            </w:pPr>
          </w:p>
        </w:tc>
      </w:tr>
      <w:tr>
        <w:trPr>
          <w:trHeight w:val="210"/>
        </w:trPr>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336,769,659</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45"/>
        </w:trPr>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1,164,593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r>
      <w:tr>
        <w:trPr>
          <w:trHeight w:val="445"/>
        </w:trPr>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1,336,158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r>
      <w:tr>
        <w:trPr>
          <w:trHeight w:val="216"/>
        </w:trPr>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r>
      <w:tr>
        <w:trPr>
          <w:trHeight w:val="445"/>
        </w:trPr>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r>
      <w:tr>
        <w:trPr>
          <w:trHeight w:val="246"/>
        </w:trPr>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r>
      <w:tr>
        <w:trPr>
          <w:trHeight w:val="210"/>
        </w:trPr>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339,270,410</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8"/>
                <w:szCs w:val="18"/>
                <w:color w:val="auto"/>
              </w:rPr>
            </w:pPr>
          </w:p>
        </w:tc>
      </w:tr>
      <w:tr>
        <w:trPr>
          <w:trHeight w:val="23"/>
        </w:trPr>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-1036320</wp:posOffset>
            </wp:positionV>
            <wp:extent cx="7132320" cy="2825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-616585</wp:posOffset>
            </wp:positionV>
            <wp:extent cx="7132320" cy="2825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-179070</wp:posOffset>
            </wp:positionV>
            <wp:extent cx="71323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-1464945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60" w:type="dxa"/>
            <w:vAlign w:val="bottom"/>
          </w:tcPr>
          <w:p>
            <w:pPr>
              <w:jc w:val="right"/>
              <w:ind w:right="404"/>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00" w:type="dxa"/>
            <w:vAlign w:val="bottom"/>
          </w:tcPr>
          <w:p>
            <w:pPr>
              <w:spacing w:after="0"/>
              <w:rPr>
                <w:sz w:val="12"/>
                <w:szCs w:val="12"/>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44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8"/>
        </w:trPr>
        <w:tc>
          <w:tcPr>
            <w:tcW w:w="1060" w:type="dxa"/>
            <w:vAlign w:val="bottom"/>
          </w:tcPr>
          <w:p>
            <w:pPr>
              <w:jc w:val="right"/>
              <w:ind w:right="504"/>
              <w:spacing w:after="0" w:line="12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3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60" w:type="dxa"/>
            <w:vAlign w:val="bottom"/>
          </w:tcPr>
          <w:p>
            <w:pPr>
              <w:jc w:val="right"/>
              <w:ind w:right="484"/>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 Income</w:t>
            </w: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300" w:type="dxa"/>
            <w:vAlign w:val="bottom"/>
            <w:gridSpan w:val="2"/>
          </w:tcPr>
          <w:p>
            <w:pPr>
              <w:jc w:val="right"/>
              <w:ind w:right="1"/>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0" w:type="dxa"/>
            <w:vAlign w:val="bottom"/>
          </w:tcPr>
          <w:p>
            <w:pPr>
              <w:spacing w:after="0"/>
              <w:rPr>
                <w:sz w:val="1"/>
                <w:szCs w:val="1"/>
                <w:color w:val="auto"/>
              </w:rPr>
            </w:pPr>
          </w:p>
        </w:tc>
      </w:tr>
      <w:tr>
        <w:trPr>
          <w:trHeight w:val="235"/>
        </w:trPr>
        <w:tc>
          <w:tcPr>
            <w:tcW w:w="106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3,130,130</w:t>
            </w: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8,287</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57,337</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45"/>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3,195,757</w:t>
            </w:r>
          </w:p>
        </w:tc>
        <w:tc>
          <w:tcPr>
            <w:tcW w:w="0" w:type="dxa"/>
            <w:vAlign w:val="bottom"/>
          </w:tcPr>
          <w:p>
            <w:pPr>
              <w:spacing w:after="0"/>
              <w:rPr>
                <w:sz w:val="1"/>
                <w:szCs w:val="1"/>
                <w:color w:val="auto"/>
              </w:rPr>
            </w:pPr>
          </w:p>
        </w:tc>
      </w:tr>
      <w:tr>
        <w:trPr>
          <w:trHeight w:val="446"/>
        </w:trPr>
        <w:tc>
          <w:tcPr>
            <w:tcW w:w="106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1,271</w:t>
            </w:r>
          </w:p>
        </w:tc>
        <w:tc>
          <w:tcPr>
            <w:tcW w:w="10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w:t>
            </w:r>
          </w:p>
        </w:tc>
        <w:tc>
          <w:tcPr>
            <w:tcW w:w="0" w:type="dxa"/>
            <w:vAlign w:val="bottom"/>
          </w:tcPr>
          <w:p>
            <w:pPr>
              <w:spacing w:after="0"/>
              <w:rPr>
                <w:sz w:val="1"/>
                <w:szCs w:val="1"/>
                <w:color w:val="auto"/>
              </w:rPr>
            </w:pPr>
          </w:p>
        </w:tc>
      </w:tr>
      <w:tr>
        <w:trPr>
          <w:trHeight w:val="432"/>
        </w:trPr>
        <w:tc>
          <w:tcPr>
            <w:tcW w:w="106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106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204,302</w:t>
            </w:r>
          </w:p>
        </w:tc>
        <w:tc>
          <w:tcPr>
            <w:tcW w:w="1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204,302</w:t>
            </w:r>
          </w:p>
        </w:tc>
        <w:tc>
          <w:tcPr>
            <w:tcW w:w="0" w:type="dxa"/>
            <w:vAlign w:val="bottom"/>
          </w:tcPr>
          <w:p>
            <w:pPr>
              <w:spacing w:after="0"/>
              <w:rPr>
                <w:sz w:val="1"/>
                <w:szCs w:val="1"/>
                <w:color w:val="auto"/>
              </w:rPr>
            </w:pPr>
          </w:p>
        </w:tc>
      </w:tr>
      <w:tr>
        <w:trPr>
          <w:trHeight w:val="446"/>
        </w:trPr>
        <w:tc>
          <w:tcPr>
            <w:tcW w:w="106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3,903</w:t>
            </w:r>
          </w:p>
        </w:tc>
        <w:tc>
          <w:tcPr>
            <w:tcW w:w="0" w:type="dxa"/>
            <w:vAlign w:val="bottom"/>
          </w:tcPr>
          <w:p>
            <w:pPr>
              <w:spacing w:after="0"/>
              <w:rPr>
                <w:sz w:val="1"/>
                <w:szCs w:val="1"/>
                <w:color w:val="auto"/>
              </w:rPr>
            </w:pPr>
          </w:p>
        </w:tc>
      </w:tr>
      <w:tr>
        <w:trPr>
          <w:trHeight w:val="242"/>
        </w:trPr>
        <w:tc>
          <w:tcPr>
            <w:tcW w:w="106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33,885</w:t>
            </w:r>
          </w:p>
        </w:tc>
        <w:tc>
          <w:tcPr>
            <w:tcW w:w="0" w:type="dxa"/>
            <w:vAlign w:val="bottom"/>
          </w:tcPr>
          <w:p>
            <w:pPr>
              <w:spacing w:after="0"/>
              <w:rPr>
                <w:sz w:val="1"/>
                <w:szCs w:val="1"/>
                <w:color w:val="auto"/>
              </w:rPr>
            </w:pPr>
          </w:p>
        </w:tc>
      </w:tr>
      <w:tr>
        <w:trPr>
          <w:trHeight w:val="237"/>
        </w:trPr>
        <w:tc>
          <w:tcPr>
            <w:tcW w:w="106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3,335,703</w:t>
            </w: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12,190</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91,222</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3,439,118</w:t>
            </w: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-7620</wp:posOffset>
            </wp:positionV>
            <wp:extent cx="8318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318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60" w:type="dxa"/>
            <w:vAlign w:val="bottom"/>
          </w:tcPr>
          <w:p>
            <w:pPr>
              <w:jc w:val="right"/>
              <w:ind w:right="404"/>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44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2"/>
        </w:trPr>
        <w:tc>
          <w:tcPr>
            <w:tcW w:w="1060" w:type="dxa"/>
            <w:vAlign w:val="bottom"/>
          </w:tcPr>
          <w:p>
            <w:pPr>
              <w:jc w:val="right"/>
              <w:ind w:right="504"/>
              <w:spacing w:after="0" w:line="122" w:lineRule="exact"/>
              <w:rPr>
                <w:sz w:val="20"/>
                <w:szCs w:val="20"/>
                <w:color w:val="auto"/>
              </w:rPr>
            </w:pPr>
            <w:r>
              <w:rPr>
                <w:rFonts w:ascii="Times New Roman" w:cs="Times New Roman" w:eastAsia="Times New Roman" w:hAnsi="Times New Roman"/>
                <w:sz w:val="13"/>
                <w:szCs w:val="13"/>
                <w:b w:val="1"/>
                <w:bCs w:val="1"/>
                <w:color w:val="auto"/>
              </w:rPr>
              <w:t>Paid-in</w:t>
            </w:r>
          </w:p>
        </w:tc>
        <w:tc>
          <w:tcPr>
            <w:tcW w:w="142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Comprehensive (Loss)</w:t>
            </w: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060" w:type="dxa"/>
            <w:vAlign w:val="bottom"/>
          </w:tcPr>
          <w:p>
            <w:pPr>
              <w:jc w:val="right"/>
              <w:ind w:right="484"/>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Income</w:t>
            </w:r>
          </w:p>
        </w:tc>
        <w:tc>
          <w:tcPr>
            <w:tcW w:w="10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Accumulated Deficit</w:t>
            </w:r>
          </w:p>
        </w:tc>
        <w:tc>
          <w:tcPr>
            <w:tcW w:w="1300" w:type="dxa"/>
            <w:vAlign w:val="bottom"/>
            <w:gridSpan w:val="2"/>
          </w:tcPr>
          <w:p>
            <w:pPr>
              <w:jc w:val="right"/>
              <w:ind w:right="1"/>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0" w:type="dxa"/>
            <w:vAlign w:val="bottom"/>
          </w:tcPr>
          <w:p>
            <w:pPr>
              <w:spacing w:after="0"/>
              <w:rPr>
                <w:sz w:val="1"/>
                <w:szCs w:val="1"/>
                <w:color w:val="auto"/>
              </w:rPr>
            </w:pPr>
          </w:p>
        </w:tc>
      </w:tr>
      <w:tr>
        <w:trPr>
          <w:trHeight w:val="210"/>
        </w:trPr>
        <w:tc>
          <w:tcPr>
            <w:tcW w:w="106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2,484,264</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(9,716)</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(67,243)</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2,407,308</w:t>
            </w:r>
          </w:p>
        </w:tc>
        <w:tc>
          <w:tcPr>
            <w:tcW w:w="0" w:type="dxa"/>
            <w:vAlign w:val="bottom"/>
          </w:tcPr>
          <w:p>
            <w:pPr>
              <w:spacing w:after="0"/>
              <w:rPr>
                <w:sz w:val="1"/>
                <w:szCs w:val="1"/>
                <w:color w:val="auto"/>
              </w:rPr>
            </w:pPr>
          </w:p>
        </w:tc>
      </w:tr>
      <w:tr>
        <w:trPr>
          <w:trHeight w:val="445"/>
        </w:trPr>
        <w:tc>
          <w:tcPr>
            <w:tcW w:w="106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1,256</w:t>
            </w:r>
          </w:p>
        </w:tc>
        <w:tc>
          <w:tcPr>
            <w:tcW w:w="10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0" w:type="dxa"/>
            <w:vAlign w:val="bottom"/>
          </w:tcPr>
          <w:p>
            <w:pPr>
              <w:spacing w:after="0"/>
              <w:rPr>
                <w:sz w:val="1"/>
                <w:szCs w:val="1"/>
                <w:color w:val="auto"/>
              </w:rPr>
            </w:pPr>
          </w:p>
        </w:tc>
      </w:tr>
      <w:tr>
        <w:trPr>
          <w:trHeight w:val="445"/>
        </w:trPr>
        <w:tc>
          <w:tcPr>
            <w:tcW w:w="106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06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146,565</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146,565</w:t>
            </w:r>
          </w:p>
        </w:tc>
        <w:tc>
          <w:tcPr>
            <w:tcW w:w="0" w:type="dxa"/>
            <w:vAlign w:val="bottom"/>
          </w:tcPr>
          <w:p>
            <w:pPr>
              <w:spacing w:after="0"/>
              <w:rPr>
                <w:sz w:val="1"/>
                <w:szCs w:val="1"/>
                <w:color w:val="auto"/>
              </w:rPr>
            </w:pPr>
          </w:p>
        </w:tc>
      </w:tr>
      <w:tr>
        <w:trPr>
          <w:trHeight w:val="445"/>
        </w:trPr>
        <w:tc>
          <w:tcPr>
            <w:tcW w:w="106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22,319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22,319</w:t>
            </w:r>
          </w:p>
        </w:tc>
        <w:tc>
          <w:tcPr>
            <w:tcW w:w="0" w:type="dxa"/>
            <w:vAlign w:val="bottom"/>
          </w:tcPr>
          <w:p>
            <w:pPr>
              <w:spacing w:after="0"/>
              <w:rPr>
                <w:sz w:val="1"/>
                <w:szCs w:val="1"/>
                <w:color w:val="auto"/>
              </w:rPr>
            </w:pPr>
          </w:p>
        </w:tc>
      </w:tr>
      <w:tr>
        <w:trPr>
          <w:trHeight w:val="243"/>
        </w:trPr>
        <w:tc>
          <w:tcPr>
            <w:tcW w:w="106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51,697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51,697</w:t>
            </w:r>
          </w:p>
        </w:tc>
        <w:tc>
          <w:tcPr>
            <w:tcW w:w="0" w:type="dxa"/>
            <w:vAlign w:val="bottom"/>
          </w:tcPr>
          <w:p>
            <w:pPr>
              <w:spacing w:after="0"/>
              <w:rPr>
                <w:sz w:val="1"/>
                <w:szCs w:val="1"/>
                <w:color w:val="auto"/>
              </w:rPr>
            </w:pPr>
          </w:p>
        </w:tc>
      </w:tr>
      <w:tr>
        <w:trPr>
          <w:trHeight w:val="213"/>
        </w:trPr>
        <w:tc>
          <w:tcPr>
            <w:tcW w:w="106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2,632,085</w:t>
            </w:r>
          </w:p>
        </w:tc>
        <w:tc>
          <w:tcPr>
            <w:tcW w:w="1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12,603</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(15,546)</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2,629,145</w:t>
            </w:r>
          </w:p>
        </w:tc>
        <w:tc>
          <w:tcPr>
            <w:tcW w:w="0" w:type="dxa"/>
            <w:vAlign w:val="bottom"/>
          </w:tcPr>
          <w:p>
            <w:pPr>
              <w:spacing w:after="0"/>
              <w:rPr>
                <w:sz w:val="1"/>
                <w:szCs w:val="1"/>
                <w:color w:val="auto"/>
              </w:rPr>
            </w:pPr>
          </w:p>
        </w:tc>
      </w:tr>
      <w:tr>
        <w:trPr>
          <w:trHeight w:val="23"/>
        </w:trPr>
        <w:tc>
          <w:tcPr>
            <w:tcW w:w="10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-7620</wp:posOffset>
            </wp:positionV>
            <wp:extent cx="8318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3185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2660" w:space="180"/>
            <w:col w:w="2920" w:space="260"/>
            <w:col w:w="5200"/>
          </w:cols>
          <w:pgMar w:left="34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60" w:type="dxa"/>
            <w:vAlign w:val="bottom"/>
          </w:tcPr>
          <w:p>
            <w:pPr>
              <w:spacing w:after="0"/>
              <w:rPr>
                <w:sz w:val="12"/>
                <w:szCs w:val="12"/>
                <w:color w:val="auto"/>
              </w:rPr>
            </w:pPr>
          </w:p>
        </w:tc>
        <w:tc>
          <w:tcPr>
            <w:tcW w:w="2380" w:type="dxa"/>
            <w:vAlign w:val="bottom"/>
            <w:gridSpan w:val="3"/>
          </w:tcPr>
          <w:p>
            <w:pPr>
              <w:jc w:val="right"/>
              <w:ind w:right="405"/>
              <w:spacing w:after="0"/>
              <w:rPr>
                <w:sz w:val="20"/>
                <w:szCs w:val="20"/>
                <w:color w:val="auto"/>
              </w:rPr>
            </w:pPr>
            <w:r>
              <w:rPr>
                <w:rFonts w:ascii="Times New Roman" w:cs="Times New Roman" w:eastAsia="Times New Roman" w:hAnsi="Times New Roman"/>
                <w:sz w:val="13"/>
                <w:szCs w:val="13"/>
                <w:b w:val="1"/>
                <w:bCs w:val="1"/>
                <w:color w:val="auto"/>
              </w:rPr>
              <w:t>Class A and Class B</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2"/>
                <w:szCs w:val="12"/>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restart"/>
          </w:tcPr>
          <w:p>
            <w:pPr>
              <w:jc w:val="center"/>
              <w:ind w:right="103"/>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54"/>
        </w:trPr>
        <w:tc>
          <w:tcPr>
            <w:tcW w:w="2860" w:type="dxa"/>
            <w:vAlign w:val="bottom"/>
          </w:tcPr>
          <w:p>
            <w:pPr>
              <w:spacing w:after="0"/>
              <w:rPr>
                <w:sz w:val="4"/>
                <w:szCs w:val="4"/>
                <w:color w:val="auto"/>
              </w:rPr>
            </w:pPr>
          </w:p>
        </w:tc>
        <w:tc>
          <w:tcPr>
            <w:tcW w:w="2380" w:type="dxa"/>
            <w:vAlign w:val="bottom"/>
            <w:gridSpan w:val="3"/>
            <w:vMerge w:val="restart"/>
          </w:tcPr>
          <w:p>
            <w:pPr>
              <w:jc w:val="right"/>
              <w:ind w:right="545"/>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2860" w:type="dxa"/>
            <w:vAlign w:val="bottom"/>
          </w:tcPr>
          <w:p>
            <w:pPr>
              <w:spacing w:after="0"/>
              <w:rPr>
                <w:sz w:val="9"/>
                <w:szCs w:val="9"/>
                <w:color w:val="auto"/>
              </w:rPr>
            </w:pPr>
          </w:p>
        </w:tc>
        <w:tc>
          <w:tcPr>
            <w:tcW w:w="238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gridSpan w:val="2"/>
            <w:vMerge w:val="restart"/>
          </w:tcPr>
          <w:p>
            <w:pPr>
              <w:jc w:val="center"/>
              <w:ind w:right="360"/>
              <w:spacing w:after="0" w:line="14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420" w:type="dxa"/>
            <w:vAlign w:val="bottom"/>
            <w:gridSpan w:val="3"/>
            <w:vMerge w:val="restart"/>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Comprehensive (Loss)</w:t>
            </w: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vMerge w:val="restart"/>
          </w:tcPr>
          <w:p>
            <w:pPr>
              <w:jc w:val="center"/>
              <w:ind w:right="83"/>
              <w:spacing w:after="0" w:line="14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29"/>
        </w:trPr>
        <w:tc>
          <w:tcPr>
            <w:tcW w:w="28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860" w:type="dxa"/>
            <w:vAlign w:val="bottom"/>
          </w:tcPr>
          <w:p>
            <w:pPr>
              <w:spacing w:after="0"/>
              <w:rPr>
                <w:sz w:val="14"/>
                <w:szCs w:val="14"/>
                <w:color w:val="auto"/>
              </w:rPr>
            </w:pPr>
          </w:p>
        </w:tc>
        <w:tc>
          <w:tcPr>
            <w:tcW w:w="142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960" w:type="dxa"/>
            <w:vAlign w:val="bottom"/>
          </w:tcPr>
          <w:p>
            <w:pPr>
              <w:jc w:val="right"/>
              <w:ind w:right="25"/>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Income</w:t>
            </w:r>
          </w:p>
        </w:tc>
        <w:tc>
          <w:tcPr>
            <w:tcW w:w="12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160" w:type="dxa"/>
            <w:vAlign w:val="bottom"/>
          </w:tcPr>
          <w:p>
            <w:pPr>
              <w:spacing w:after="0"/>
              <w:rPr>
                <w:sz w:val="14"/>
                <w:szCs w:val="14"/>
                <w:color w:val="auto"/>
              </w:rPr>
            </w:pPr>
          </w:p>
        </w:tc>
        <w:tc>
          <w:tcPr>
            <w:tcW w:w="1140" w:type="dxa"/>
            <w:vAlign w:val="bottom"/>
          </w:tcPr>
          <w:p>
            <w:pPr>
              <w:jc w:val="center"/>
              <w:ind w:right="103"/>
              <w:spacing w:after="0"/>
              <w:rPr>
                <w:sz w:val="20"/>
                <w:szCs w:val="20"/>
                <w:color w:val="auto"/>
              </w:rPr>
            </w:pPr>
            <w:r>
              <w:rPr>
                <w:rFonts w:ascii="Times New Roman" w:cs="Times New Roman" w:eastAsia="Times New Roman" w:hAnsi="Times New Roman"/>
                <w:sz w:val="13"/>
                <w:szCs w:val="13"/>
                <w:b w:val="1"/>
                <w:bCs w:val="1"/>
                <w:color w:val="auto"/>
                <w:w w:val="97"/>
              </w:rPr>
              <w:t>Equity (Deficit)</w:t>
            </w:r>
          </w:p>
        </w:tc>
        <w:tc>
          <w:tcPr>
            <w:tcW w:w="0" w:type="dxa"/>
            <w:vAlign w:val="bottom"/>
          </w:tcPr>
          <w:p>
            <w:pPr>
              <w:spacing w:after="0"/>
              <w:rPr>
                <w:sz w:val="1"/>
                <w:szCs w:val="1"/>
                <w:color w:val="auto"/>
              </w:rPr>
            </w:pPr>
          </w:p>
        </w:tc>
      </w:tr>
      <w:tr>
        <w:trPr>
          <w:trHeight w:val="29"/>
        </w:trPr>
        <w:tc>
          <w:tcPr>
            <w:tcW w:w="28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BALANCE—December 31, 2024</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342,118,782</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2,689,013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30,048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2,714,363</w:t>
            </w:r>
          </w:p>
        </w:tc>
        <w:tc>
          <w:tcPr>
            <w:tcW w:w="0" w:type="dxa"/>
            <w:vAlign w:val="bottom"/>
          </w:tcPr>
          <w:p>
            <w:pPr>
              <w:spacing w:after="0"/>
              <w:rPr>
                <w:sz w:val="1"/>
                <w:szCs w:val="1"/>
                <w:color w:val="auto"/>
              </w:rPr>
            </w:pP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of stock options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3,117,818</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4,583</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and performance</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units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4,265,877</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restricted shares of common</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for acquisitions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771,355</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53,038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53,038</w:t>
            </w:r>
          </w:p>
        </w:tc>
        <w:tc>
          <w:tcPr>
            <w:tcW w:w="0" w:type="dxa"/>
            <w:vAlign w:val="bottom"/>
          </w:tcPr>
          <w:p>
            <w:pPr>
              <w:spacing w:after="0"/>
              <w:rPr>
                <w:sz w:val="1"/>
                <w:szCs w:val="1"/>
                <w:color w:val="auto"/>
              </w:rPr>
            </w:pPr>
          </w:p>
        </w:tc>
      </w:tr>
      <w:tr>
        <w:trPr>
          <w:trHeight w:val="205"/>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the</w:t>
            </w: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287,014</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28,578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28,578</w:t>
            </w:r>
          </w:p>
        </w:tc>
        <w:tc>
          <w:tcPr>
            <w:tcW w:w="0" w:type="dxa"/>
            <w:vAlign w:val="bottom"/>
          </w:tcPr>
          <w:p>
            <w:pPr>
              <w:spacing w:after="0"/>
              <w:rPr>
                <w:sz w:val="1"/>
                <w:szCs w:val="1"/>
                <w:color w:val="auto"/>
              </w:rPr>
            </w:pPr>
          </w:p>
        </w:tc>
      </w:tr>
      <w:tr>
        <w:trPr>
          <w:trHeight w:val="23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560,648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560,648</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 of common stock in connection</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with the 2025 Convertible Senior Notes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(6,169)</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accumulated other</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comprehensive income</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16,891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16,891</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61,174</w:t>
            </w:r>
          </w:p>
        </w:tc>
        <w:tc>
          <w:tcPr>
            <w:tcW w:w="0" w:type="dxa"/>
            <w:vAlign w:val="bottom"/>
          </w:tcPr>
          <w:p>
            <w:pPr>
              <w:spacing w:after="0"/>
              <w:rPr>
                <w:sz w:val="1"/>
                <w:szCs w:val="1"/>
                <w:color w:val="auto"/>
              </w:rPr>
            </w:pPr>
          </w:p>
        </w:tc>
      </w:tr>
      <w:tr>
        <w:trPr>
          <w:trHeight w:val="239"/>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BALANCE—September 30, 2025</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350,554,677</w:t>
            </w:r>
          </w:p>
        </w:tc>
        <w:tc>
          <w:tcPr>
            <w:tcW w:w="1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3,335,703</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12,190</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91,222</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3,439,118</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gridSpan w:val="3"/>
          </w:tcPr>
          <w:p>
            <w:pPr>
              <w:jc w:val="right"/>
              <w:ind w:right="405"/>
              <w:spacing w:after="0"/>
              <w:rPr>
                <w:sz w:val="20"/>
                <w:szCs w:val="20"/>
                <w:color w:val="auto"/>
              </w:rPr>
            </w:pPr>
            <w:r>
              <w:rPr>
                <w:rFonts w:ascii="Times New Roman" w:cs="Times New Roman" w:eastAsia="Times New Roman" w:hAnsi="Times New Roman"/>
                <w:sz w:val="13"/>
                <w:szCs w:val="13"/>
                <w:b w:val="1"/>
                <w:bCs w:val="1"/>
                <w:color w:val="auto"/>
              </w:rPr>
              <w:t>Class A and Class B</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2"/>
                <w:szCs w:val="12"/>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restart"/>
          </w:tcPr>
          <w:p>
            <w:pPr>
              <w:jc w:val="center"/>
              <w:ind w:right="126"/>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2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60" w:type="dxa"/>
            <w:vAlign w:val="bottom"/>
            <w:gridSpan w:val="3"/>
          </w:tcPr>
          <w:p>
            <w:pPr>
              <w:jc w:val="right"/>
              <w:ind w:right="525"/>
              <w:spacing w:after="0" w:line="122"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gridSpan w:val="2"/>
          </w:tcPr>
          <w:p>
            <w:pPr>
              <w:jc w:val="center"/>
              <w:ind w:right="360"/>
              <w:spacing w:after="0" w:line="61" w:lineRule="exact"/>
              <w:rPr>
                <w:sz w:val="20"/>
                <w:szCs w:val="20"/>
                <w:color w:val="auto"/>
              </w:rPr>
            </w:pPr>
            <w:r>
              <w:rPr>
                <w:rFonts w:ascii="Times New Roman" w:cs="Times New Roman" w:eastAsia="Times New Roman" w:hAnsi="Times New Roman"/>
                <w:sz w:val="7"/>
                <w:szCs w:val="7"/>
                <w:b w:val="1"/>
                <w:bCs w:val="1"/>
                <w:color w:val="auto"/>
              </w:rPr>
              <w:t>Paid-in</w:t>
            </w:r>
          </w:p>
        </w:tc>
        <w:tc>
          <w:tcPr>
            <w:tcW w:w="1420" w:type="dxa"/>
            <w:vAlign w:val="bottom"/>
            <w:gridSpan w:val="3"/>
          </w:tcPr>
          <w:p>
            <w:pPr>
              <w:jc w:val="center"/>
              <w:ind w:right="100"/>
              <w:spacing w:after="0" w:line="61" w:lineRule="exact"/>
              <w:rPr>
                <w:sz w:val="20"/>
                <w:szCs w:val="20"/>
                <w:color w:val="auto"/>
              </w:rPr>
            </w:pPr>
            <w:r>
              <w:rPr>
                <w:rFonts w:ascii="Times New Roman" w:cs="Times New Roman" w:eastAsia="Times New Roman" w:hAnsi="Times New Roman"/>
                <w:sz w:val="7"/>
                <w:szCs w:val="7"/>
                <w:b w:val="1"/>
                <w:bCs w:val="1"/>
                <w:color w:val="auto"/>
              </w:rPr>
              <w:t>Comprehensive (Loss)</w:t>
            </w:r>
          </w:p>
        </w:tc>
        <w:tc>
          <w:tcPr>
            <w:tcW w:w="180" w:type="dxa"/>
            <w:vAlign w:val="bottom"/>
          </w:tcPr>
          <w:p>
            <w:pPr>
              <w:spacing w:after="0"/>
              <w:rPr>
                <w:sz w:val="5"/>
                <w:szCs w:val="5"/>
                <w:color w:val="auto"/>
              </w:rPr>
            </w:pPr>
          </w:p>
        </w:tc>
        <w:tc>
          <w:tcPr>
            <w:tcW w:w="1160" w:type="dxa"/>
            <w:vAlign w:val="bottom"/>
            <w:gridSpan w:val="2"/>
          </w:tcPr>
          <w:p>
            <w:pPr>
              <w:jc w:val="center"/>
              <w:ind w:right="300"/>
              <w:spacing w:after="0" w:line="61" w:lineRule="exact"/>
              <w:rPr>
                <w:sz w:val="20"/>
                <w:szCs w:val="20"/>
                <w:color w:val="auto"/>
              </w:rPr>
            </w:pPr>
            <w:r>
              <w:rPr>
                <w:rFonts w:ascii="Times New Roman" w:cs="Times New Roman" w:eastAsia="Times New Roman" w:hAnsi="Times New Roman"/>
                <w:sz w:val="7"/>
                <w:szCs w:val="7"/>
                <w:b w:val="1"/>
                <w:bCs w:val="1"/>
                <w:color w:val="auto"/>
              </w:rPr>
              <w:t>Accumulated</w:t>
            </w:r>
          </w:p>
        </w:tc>
        <w:tc>
          <w:tcPr>
            <w:tcW w:w="180" w:type="dxa"/>
            <w:vAlign w:val="bottom"/>
          </w:tcPr>
          <w:p>
            <w:pPr>
              <w:spacing w:after="0"/>
              <w:rPr>
                <w:sz w:val="5"/>
                <w:szCs w:val="5"/>
                <w:color w:val="auto"/>
              </w:rPr>
            </w:pPr>
          </w:p>
        </w:tc>
        <w:tc>
          <w:tcPr>
            <w:tcW w:w="1120" w:type="dxa"/>
            <w:vAlign w:val="bottom"/>
          </w:tcPr>
          <w:p>
            <w:pPr>
              <w:jc w:val="center"/>
              <w:ind w:right="106"/>
              <w:spacing w:after="0" w:line="61" w:lineRule="exact"/>
              <w:rPr>
                <w:sz w:val="20"/>
                <w:szCs w:val="20"/>
                <w:color w:val="auto"/>
              </w:rPr>
            </w:pPr>
            <w:r>
              <w:rPr>
                <w:rFonts w:ascii="Times New Roman" w:cs="Times New Roman" w:eastAsia="Times New Roman" w:hAnsi="Times New Roman"/>
                <w:sz w:val="7"/>
                <w:szCs w:val="7"/>
                <w:b w:val="1"/>
                <w:bCs w:val="1"/>
                <w:color w:val="auto"/>
              </w:rPr>
              <w:t>Stockholders'</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5"/>
                <w:szCs w:val="15"/>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80" w:type="dxa"/>
            <w:vAlign w:val="bottom"/>
          </w:tcPr>
          <w:p>
            <w:pPr>
              <w:spacing w:after="0"/>
              <w:rPr>
                <w:sz w:val="15"/>
                <w:szCs w:val="15"/>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80" w:type="dxa"/>
            <w:vAlign w:val="bottom"/>
          </w:tcPr>
          <w:p>
            <w:pPr>
              <w:spacing w:after="0"/>
              <w:rPr>
                <w:sz w:val="15"/>
                <w:szCs w:val="15"/>
                <w:color w:val="auto"/>
              </w:rPr>
            </w:pPr>
          </w:p>
        </w:tc>
        <w:tc>
          <w:tcPr>
            <w:tcW w:w="1120" w:type="dxa"/>
            <w:vAlign w:val="bottom"/>
          </w:tcPr>
          <w:p>
            <w:pPr>
              <w:jc w:val="center"/>
              <w:ind w:right="126"/>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16"/>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BALANCE—December 31, 2023</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331,079,746</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2,181,267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(153,698)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2,025,354</w:t>
            </w:r>
          </w:p>
        </w:tc>
        <w:tc>
          <w:tcPr>
            <w:tcW w:w="0" w:type="dxa"/>
            <w:vAlign w:val="bottom"/>
          </w:tcPr>
          <w:p>
            <w:pPr>
              <w:spacing w:after="0"/>
              <w:rPr>
                <w:sz w:val="1"/>
                <w:szCs w:val="1"/>
                <w:color w:val="auto"/>
              </w:rPr>
            </w:pPr>
          </w:p>
        </w:tc>
      </w:tr>
      <w:tr>
        <w:trPr>
          <w:trHeight w:val="202"/>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of stock options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3,752,432</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5,155</w:t>
            </w:r>
          </w:p>
        </w:tc>
        <w:tc>
          <w:tcPr>
            <w:tcW w:w="0" w:type="dxa"/>
            <w:vAlign w:val="bottom"/>
          </w:tcPr>
          <w:p>
            <w:pPr>
              <w:spacing w:after="0"/>
              <w:rPr>
                <w:sz w:val="1"/>
                <w:szCs w:val="1"/>
                <w:color w:val="auto"/>
              </w:rPr>
            </w:pPr>
          </w:p>
        </w:tc>
      </w:tr>
      <w:tr>
        <w:trPr>
          <w:trHeight w:val="205"/>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and performance</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units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4,059,497</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restricted shares of common</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for acquisitions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136,079</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the</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242,656</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22,507</w:t>
            </w:r>
          </w:p>
        </w:tc>
        <w:tc>
          <w:tcPr>
            <w:tcW w:w="0" w:type="dxa"/>
            <w:vAlign w:val="bottom"/>
          </w:tcPr>
          <w:p>
            <w:pPr>
              <w:spacing w:after="0"/>
              <w:rPr>
                <w:sz w:val="1"/>
                <w:szCs w:val="1"/>
                <w:color w:val="auto"/>
              </w:rPr>
            </w:pPr>
          </w:p>
        </w:tc>
      </w:tr>
      <w:tr>
        <w:trPr>
          <w:trHeight w:val="240"/>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423,156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423,156</w:t>
            </w:r>
          </w:p>
        </w:tc>
        <w:tc>
          <w:tcPr>
            <w:tcW w:w="0" w:type="dxa"/>
            <w:vAlign w:val="bottom"/>
          </w:tcPr>
          <w:p>
            <w:pPr>
              <w:spacing w:after="0"/>
              <w:rPr>
                <w:sz w:val="1"/>
                <w:szCs w:val="1"/>
                <w:color w:val="auto"/>
              </w:rPr>
            </w:pPr>
          </w:p>
        </w:tc>
      </w:tr>
      <w:tr>
        <w:trPr>
          <w:trHeight w:val="205"/>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accumulated other</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comprehensive income</w:t>
            </w:r>
          </w:p>
        </w:tc>
        <w:tc>
          <w:tcPr>
            <w:tcW w:w="1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14,821</w:t>
            </w:r>
          </w:p>
        </w:tc>
        <w:tc>
          <w:tcPr>
            <w:tcW w:w="0" w:type="dxa"/>
            <w:vAlign w:val="bottom"/>
          </w:tcPr>
          <w:p>
            <w:pPr>
              <w:spacing w:after="0"/>
              <w:rPr>
                <w:sz w:val="1"/>
                <w:szCs w:val="1"/>
                <w:color w:val="auto"/>
              </w:rPr>
            </w:pPr>
          </w:p>
        </w:tc>
      </w:tr>
      <w:tr>
        <w:trPr>
          <w:trHeight w:val="240"/>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138,152</w:t>
            </w:r>
          </w:p>
        </w:tc>
        <w:tc>
          <w:tcPr>
            <w:tcW w:w="0" w:type="dxa"/>
            <w:vAlign w:val="bottom"/>
          </w:tcPr>
          <w:p>
            <w:pPr>
              <w:spacing w:after="0"/>
              <w:rPr>
                <w:sz w:val="1"/>
                <w:szCs w:val="1"/>
                <w:color w:val="auto"/>
              </w:rPr>
            </w:pPr>
          </w:p>
        </w:tc>
      </w:tr>
      <w:tr>
        <w:trPr>
          <w:trHeight w:val="264"/>
        </w:trPr>
        <w:tc>
          <w:tcPr>
            <w:tcW w:w="2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BALANCE—September 30, 2024</w:t>
            </w:r>
          </w:p>
        </w:tc>
        <w:tc>
          <w:tcPr>
            <w:tcW w:w="1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339,270,410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2,632,085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2,629,145</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8" w:name="page9"/>
    <w:bookmarkEnd w:id="8"/>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39370</wp:posOffset>
            </wp:positionV>
            <wp:extent cx="17316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3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03"/>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r>
      <w:tr>
        <w:trPr>
          <w:trHeight w:val="193"/>
        </w:trPr>
        <w:tc>
          <w:tcPr>
            <w:tcW w:w="8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61,174</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138,152</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193"/>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39,227</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Accretion of discounts on marketable securities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(32,152)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(39,539)</w:t>
            </w:r>
          </w:p>
        </w:tc>
      </w:tr>
      <w:tr>
        <w:trPr>
          <w:trHeight w:val="193"/>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Amortization of issuance costs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2,672</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Amortization of deferred contract costs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48,061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37,768</w:t>
            </w:r>
          </w:p>
        </w:tc>
      </w:tr>
      <w:tr>
        <w:trPr>
          <w:trHeight w:val="193"/>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Stock-based compensation, net of amounts capitalized</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545,285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411,875</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Non-cash lease expense</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26,450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20,261</w:t>
            </w:r>
          </w:p>
        </w:tc>
      </w:tr>
      <w:tr>
        <w:trPr>
          <w:trHeight w:val="193"/>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Allowance for credit losses on accounts receivable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12,382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10,374</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r>
      <w:tr>
        <w:trPr>
          <w:trHeight w:val="193"/>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Accounts receivable, net</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38,887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11,842</w:t>
            </w:r>
          </w:p>
        </w:tc>
      </w:tr>
      <w:tr>
        <w:trPr>
          <w:trHeight w:val="193"/>
        </w:trPr>
        <w:tc>
          <w:tcPr>
            <w:tcW w:w="83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Deferred contract costs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(78,538)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(51,323)</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(10,073)</w:t>
            </w:r>
          </w:p>
        </w:tc>
      </w:tr>
      <w:tr>
        <w:trPr>
          <w:trHeight w:val="193"/>
        </w:trPr>
        <w:tc>
          <w:tcPr>
            <w:tcW w:w="83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Other assets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3,636</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24,299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8,576</w:t>
            </w:r>
          </w:p>
        </w:tc>
      </w:tr>
      <w:tr>
        <w:trPr>
          <w:trHeight w:val="193"/>
        </w:trPr>
        <w:tc>
          <w:tcPr>
            <w:tcW w:w="83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32,408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(5,709)</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30"/>
        </w:trPr>
        <w:tc>
          <w:tcPr>
            <w:tcW w:w="8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Deferred revenue</w:t>
            </w: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27,284</w:t>
            </w:r>
          </w:p>
        </w:tc>
      </w:tr>
      <w:tr>
        <w:trPr>
          <w:trHeight w:val="186"/>
        </w:trPr>
        <w:tc>
          <w:tcPr>
            <w:tcW w:w="83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723,066</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605,375</w:t>
            </w:r>
          </w:p>
        </w:tc>
      </w:tr>
      <w:tr>
        <w:trPr>
          <w:trHeight w:val="37"/>
        </w:trPr>
        <w:tc>
          <w:tcPr>
            <w:tcW w:w="83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88"/>
        </w:trPr>
        <w:tc>
          <w:tcPr>
            <w:tcW w:w="83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r>
      <w:tr>
        <w:trPr>
          <w:trHeight w:val="193"/>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(2,517,372)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(2,145,933)</w:t>
            </w:r>
          </w:p>
        </w:tc>
      </w:tr>
      <w:tr>
        <w:trPr>
          <w:trHeight w:val="193"/>
        </w:trPr>
        <w:tc>
          <w:tcPr>
            <w:tcW w:w="8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Maturities of marketable securities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1,884,273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1,590,387</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sale of marketable securities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93"/>
        </w:trPr>
        <w:tc>
          <w:tcPr>
            <w:tcW w:w="8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(40,686)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(26,958)</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Capitalized software development costs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(58,684)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(44,286)</w:t>
            </w:r>
          </w:p>
        </w:tc>
      </w:tr>
      <w:tr>
        <w:trPr>
          <w:trHeight w:val="193"/>
        </w:trPr>
        <w:tc>
          <w:tcPr>
            <w:tcW w:w="8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paid for acquisition of businesses; net of cash acquired</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(117,282)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w:t>
            </w:r>
          </w:p>
        </w:tc>
      </w:tr>
      <w:tr>
        <w:trPr>
          <w:trHeight w:val="37"/>
        </w:trPr>
        <w:tc>
          <w:tcPr>
            <w:tcW w:w="83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23"/>
        </w:trPr>
        <w:tc>
          <w:tcPr>
            <w:tcW w:w="836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(836,626)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(627,476)</w:t>
            </w:r>
          </w:p>
        </w:tc>
      </w:tr>
      <w:tr>
        <w:trPr>
          <w:trHeight w:val="88"/>
        </w:trPr>
        <w:tc>
          <w:tcPr>
            <w:tcW w:w="836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r>
      <w:tr>
        <w:trPr>
          <w:trHeight w:val="210"/>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193"/>
        </w:trPr>
        <w:tc>
          <w:tcPr>
            <w:tcW w:w="8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5,201</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issuance of common stock under the employee stock purchase plan</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28,578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22,507</w:t>
            </w:r>
          </w:p>
        </w:tc>
      </w:tr>
      <w:tr>
        <w:trPr>
          <w:trHeight w:val="193"/>
        </w:trPr>
        <w:tc>
          <w:tcPr>
            <w:tcW w:w="8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issuance of 2029 Convertible Senior Notes, net of issuance costs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30"/>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Repayments of 2025 Convertible Senior Notes</w:t>
            </w: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(635,547)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86"/>
        </w:trPr>
        <w:tc>
          <w:tcPr>
            <w:tcW w:w="83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(602,530)</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27,659</w:t>
            </w:r>
          </w:p>
        </w:tc>
      </w:tr>
      <w:tr>
        <w:trPr>
          <w:trHeight w:val="37"/>
        </w:trPr>
        <w:tc>
          <w:tcPr>
            <w:tcW w:w="83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42"/>
        </w:trPr>
        <w:tc>
          <w:tcPr>
            <w:tcW w:w="8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93"/>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1,521</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149"/>
        </w:trPr>
        <w:tc>
          <w:tcPr>
            <w:tcW w:w="8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bl>
    <w:p>
      <w:pPr>
        <w:spacing w:after="0" w:line="4" w:lineRule="exact"/>
        <w:rPr>
          <w:sz w:val="20"/>
          <w:szCs w:val="20"/>
          <w:color w:val="auto"/>
        </w:rPr>
      </w:pPr>
    </w:p>
    <w:p>
      <w:pPr>
        <w:sectPr>
          <w:pgSz w:w="11900" w:h="16838" w:orient="portrait"/>
          <w:cols w:equalWidth="0" w:num="1">
            <w:col w:w="11080"/>
          </w:cols>
          <w:pgMar w:left="320" w:top="1089" w:right="499" w:bottom="1440" w:gutter="0" w:footer="0" w:header="0"/>
        </w:sectPr>
      </w:pPr>
    </w:p>
    <w:p>
      <w:pPr>
        <w:ind w:left="20" w:right="3320"/>
        <w:spacing w:after="0" w:line="372" w:lineRule="auto"/>
        <w:rPr>
          <w:sz w:val="20"/>
          <w:szCs w:val="20"/>
          <w:color w:val="auto"/>
        </w:rPr>
      </w:pPr>
      <w:r>
        <w:rPr>
          <w:rFonts w:ascii="Times New Roman" w:cs="Times New Roman" w:eastAsia="Times New Roman" w:hAnsi="Times New Roman"/>
          <w:sz w:val="14"/>
          <w:szCs w:val="14"/>
          <w:color w:val="auto"/>
        </w:rPr>
        <w:t>NET (DECREASE) INCREASE IN CASH AND CASH EQUIVALENTS CASH AND CASH EQUIVALENTS—Beginning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02945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2945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CASH AND CASH EQUIVALENTS—End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029450"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(706,381)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7,079</w:t>
            </w:r>
          </w:p>
        </w:tc>
      </w:tr>
      <w:tr>
        <w:trPr>
          <w:trHeight w:val="230"/>
        </w:trPr>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1,246,983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330,339</w:t>
            </w:r>
          </w:p>
        </w:tc>
      </w:tr>
      <w:tr>
        <w:trPr>
          <w:trHeight w:val="37"/>
        </w:trPr>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540,602</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337,418</w:t>
            </w:r>
          </w:p>
        </w:tc>
      </w:tr>
      <w:tr>
        <w:trPr>
          <w:trHeight w:val="37"/>
        </w:trPr>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ectPr>
          <w:pgSz w:w="11900" w:h="16838" w:orient="portrait"/>
          <w:cols w:equalWidth="0" w:num="2">
            <w:col w:w="7640" w:space="720"/>
            <w:col w:w="2720"/>
          </w:cols>
          <w:pgMar w:left="320" w:top="1089" w:right="49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7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154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15,328</w:t>
            </w:r>
          </w:p>
        </w:tc>
        <w:tc>
          <w:tcPr>
            <w:tcW w:w="54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15,811</w:t>
            </w:r>
          </w:p>
        </w:tc>
      </w:tr>
      <w:tr>
        <w:trPr>
          <w:trHeight w:val="108"/>
        </w:trPr>
        <w:tc>
          <w:tcPr>
            <w:tcW w:w="72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210"/>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15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r>
      <w:tr>
        <w:trPr>
          <w:trHeight w:val="193"/>
        </w:trPr>
        <w:tc>
          <w:tcPr>
            <w:tcW w:w="7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property and equipment purchases</w:t>
            </w:r>
          </w:p>
        </w:tc>
        <w:tc>
          <w:tcPr>
            <w:tcW w:w="15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6,064</w:t>
            </w:r>
          </w:p>
        </w:tc>
        <w:tc>
          <w:tcPr>
            <w:tcW w:w="5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2,743</w:t>
            </w:r>
          </w:p>
        </w:tc>
      </w:tr>
      <w:tr>
        <w:trPr>
          <w:trHeight w:val="37"/>
        </w:trPr>
        <w:tc>
          <w:tcPr>
            <w:tcW w:w="72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10"/>
        </w:trPr>
        <w:tc>
          <w:tcPr>
            <w:tcW w:w="7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Stock-based compensation included in capitalized software development costs</w:t>
            </w:r>
          </w:p>
        </w:tc>
        <w:tc>
          <w:tcPr>
            <w:tcW w:w="154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15,363</w:t>
            </w:r>
          </w:p>
        </w:tc>
        <w:tc>
          <w:tcPr>
            <w:tcW w:w="54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11,281</w:t>
            </w:r>
          </w:p>
        </w:tc>
      </w:tr>
      <w:tr>
        <w:trPr>
          <w:trHeight w:val="193"/>
        </w:trPr>
        <w:tc>
          <w:tcPr>
            <w:tcW w:w="7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Issuance of restricted shares of common stock for the acquisition of businesses</w:t>
            </w:r>
          </w:p>
        </w:tc>
        <w:tc>
          <w:tcPr>
            <w:tcW w:w="15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53,038</w:t>
            </w:r>
          </w:p>
        </w:tc>
        <w:tc>
          <w:tcPr>
            <w:tcW w:w="5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2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193"/>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Acquisition holdback</w:t>
            </w:r>
          </w:p>
        </w:tc>
        <w:tc>
          <w:tcPr>
            <w:tcW w:w="154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16,072</w:t>
            </w:r>
          </w:p>
        </w:tc>
        <w:tc>
          <w:tcPr>
            <w:tcW w:w="54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28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080"/>
          </w:cols>
          <w:pgMar w:left="320" w:top="1089" w:right="499" w:bottom="1440" w:gutter="0" w:footer="0" w:header="0"/>
          <w:type w:val="continuous"/>
        </w:sectPr>
      </w:pPr>
    </w:p>
    <w:p>
      <w:pPr>
        <w:spacing w:after="0" w:line="6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89" w:right="49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22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Datadog, Inc. (“Datadog” or the “Company”) was incorporated in the State of Delaware on June 4, 2010. The Company is the observability and security platform for cloud applications. </w:t>
      </w:r>
      <w:r>
        <w:rPr>
          <w:rFonts w:ascii="Times New Roman" w:cs="Times New Roman" w:eastAsia="Times New Roman" w:hAnsi="Times New Roman"/>
          <w:sz w:val="18"/>
          <w:szCs w:val="18"/>
          <w:color w:val="231F20"/>
        </w:rPr>
        <w:t>The Company’s SaaS platform integrates and automates infrastructure monitoring, application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monitoring, log management, user experience monitoring, cloud security, and many other capabilities to provide unified, real-time observability and security of its customers’ entire technology stack. </w:t>
      </w:r>
      <w:r>
        <w:rPr>
          <w:rFonts w:ascii="Times New Roman" w:cs="Times New Roman" w:eastAsia="Times New Roman" w:hAnsi="Times New Roman"/>
          <w:sz w:val="18"/>
          <w:szCs w:val="18"/>
          <w:color w:val="000000"/>
        </w:rPr>
        <w:t>The Company is headquartered in New York City and has various other global office locations.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Condensed Consolidated Financial Information</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Datadog, Inc. and its wholly-owned subsidiaries, and have been prepared in accordance with generally accepted accounting principles in the United States (“GAAP”) and following the requirements of the SEC for interim reporting. As permitted under those rules, certain footnotes or other financial information that are normally required by GAAP can be condensed or omitted. These financial statements have been prepared on the same basis as the Company’s annual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December 31, 2025 or for any other interim period or for any other future year. The accompanying unaudited condensed consolidated financial statements and related financial information should be read in conjunction with the audited consolidated financial statements and the related notes contained in the Company’s Annual Report on Form 10-K for the fiscal year ended December 31, 2024, as filed with the SEC on February 20, 2025 (the “Annual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GAAP.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Datadog, Inc. and its wholly-owned subsidiaries. All intercompany transactions and balances have been eliminated in consolidation.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amounts reported in the condensed consolidated financial statements and accompanying notes. Such estimates include the fair value of marketable securities, the allowance for credit losses, the fair value of acquired assets and assumed liabilities from business combinations, useful lives of property, equipment, software and finite lived intangibles, stock-based compensation, valuation of long-lived assets and their recoverability, including goodwill, the incremental borrowing rate for operating leases, estimated expected period of benefit for deferred contract costs, fair value of the liability component of the convertible debt, realization of deferred tax assets and uncertain tax positions, revenue recognition and the allocation of overhead costs between cost of revenue and operating expenses. The Company bases its estimates on historical experience and also on assumptions that management considers reasonable. The Company assesses these estimates on a regular basis; however, actual results could materially differ from these estimates.</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January 2025, the Company completed an assessment of the useful life of its capitalized software development costs, resulting in an increase in the estimated useful life of capitalized software development costs from two to three years. This change in accounting estimate was effective beginning fiscal year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Accounting Pronouncements Not Yet Adopted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 w:name="page11"/>
    <w:bookmarkEnd w:id="10"/>
    <w:p>
      <w:pPr>
        <w:jc w:val="both"/>
        <w:ind w:firstLine="648"/>
        <w:spacing w:after="0" w:line="259" w:lineRule="auto"/>
        <w:rPr>
          <w:sz w:val="20"/>
          <w:szCs w:val="20"/>
          <w:color w:val="auto"/>
        </w:rPr>
      </w:pPr>
      <w:r>
        <w:rPr>
          <w:rFonts w:ascii="Times New Roman" w:cs="Times New Roman" w:eastAsia="Times New Roman" w:hAnsi="Times New Roman"/>
          <w:sz w:val="18"/>
          <w:szCs w:val="18"/>
          <w:color w:val="231F20"/>
        </w:rPr>
        <w:t>In December 2023, the FASB issued ASU No. 2023-09</w:t>
      </w:r>
      <w:r>
        <w:rPr>
          <w:rFonts w:ascii="Times New Roman" w:cs="Times New Roman" w:eastAsia="Times New Roman" w:hAnsi="Times New Roman"/>
          <w:sz w:val="18"/>
          <w:szCs w:val="18"/>
          <w:b w:val="1"/>
          <w:bCs w:val="1"/>
          <w:i w:val="1"/>
          <w:iCs w:val="1"/>
          <w:color w:val="231F20"/>
        </w:rPr>
        <w: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Income Taxes (Topic 740): Improvements to Income Tax Disclosures</w:t>
      </w:r>
      <w:r>
        <w:rPr>
          <w:rFonts w:ascii="Times New Roman" w:cs="Times New Roman" w:eastAsia="Times New Roman" w:hAnsi="Times New Roman"/>
          <w:sz w:val="18"/>
          <w:szCs w:val="18"/>
          <w:color w:val="231F20"/>
        </w:rPr>
        <w:t xml:space="preserve"> (“ASU No. 2023-09</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which intends to increase the transparency of income tax disclosures, particularly the rate reconciliation table and disclosures about income taxes paid. For public business entities, it is effective for annual periods beginning after December 15, 2024, and interim periods beginning after December 15, 2025, with early adoption permitted. The Company expects to adopt ASU 2023-09 in its consolidated financial statements for the year ended December 31, 2025. The adoption will require certain additional disclosures in the notes to the Company’s consolidated financial statements.</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231F20"/>
        </w:rPr>
        <w:t xml:space="preserve">In November 2024, the FASB issued ASU No. 2024-03, </w:t>
      </w:r>
      <w:r>
        <w:rPr>
          <w:rFonts w:ascii="Times New Roman" w:cs="Times New Roman" w:eastAsia="Times New Roman" w:hAnsi="Times New Roman"/>
          <w:sz w:val="18"/>
          <w:szCs w:val="18"/>
          <w:i w:val="1"/>
          <w:iCs w:val="1"/>
          <w:color w:val="231F20"/>
        </w:rPr>
        <w:t>Income Statement-Reporting Comprehensive Income-Expense Disaggregation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 xml:space="preserve">Disclosures (Subtopic 220-40) </w:t>
      </w:r>
      <w:r>
        <w:rPr>
          <w:rFonts w:ascii="Times New Roman" w:cs="Times New Roman" w:eastAsia="Times New Roman" w:hAnsi="Times New Roman"/>
          <w:sz w:val="18"/>
          <w:szCs w:val="18"/>
          <w:color w:val="231F20"/>
        </w:rPr>
        <w:t>("ASU No. 2024-03"), which requires disaggregated disclosure of income statement expenses for public business entities.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The ASU does not change the expense captions an entity presents on the face of the income statement; rather, it requires disaggregation of certain expense captions into specified categories in disclosures within the footnotes to the financial statements. For public business entities, it is effective for fiscal years beginning after December 15, 2026, and interim periods within fiscal years beginning after December 15, 2027, with early adoption permitted. The amendments in this ASU should be applied prospectively, however, public business entities are permitted to apply the amendments in the ASU retrospectively. The Company is currently evaluating the impact of the adoption of this standard on its consolidated financial statements.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231F20"/>
        </w:rPr>
        <w:t xml:space="preserve">In July 2025, the FASB issued ASU No. 2025-05, </w:t>
      </w:r>
      <w:r>
        <w:rPr>
          <w:rFonts w:ascii="Times New Roman" w:cs="Times New Roman" w:eastAsia="Times New Roman" w:hAnsi="Times New Roman"/>
          <w:sz w:val="18"/>
          <w:szCs w:val="18"/>
          <w:i w:val="1"/>
          <w:iCs w:val="1"/>
          <w:color w:val="231F20"/>
        </w:rPr>
        <w:t>Financial Instruments-Credit Losses (Topic 326): Measurement of Credit Losses for Accounts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Receivable and Contract Assets (</w:t>
      </w:r>
      <w:r>
        <w:rPr>
          <w:rFonts w:ascii="Times New Roman" w:cs="Times New Roman" w:eastAsia="Times New Roman" w:hAnsi="Times New Roman"/>
          <w:sz w:val="18"/>
          <w:szCs w:val="18"/>
          <w:color w:val="231F20"/>
        </w:rPr>
        <w:t>"ASU No. 2025-05"</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color w:val="231F20"/>
        </w:rPr>
        <w:t>, which provides a practical expedient related to the estimation of expected credit losses for current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accounts receivable and current contract assets that arise from transactions accounted for under ASC 606. The practical expedient permits an entity to assume that current conditions as of the balance sheet date do not change for the remaining life of the asset. This guidance is effective for annual periods, including interim reporting periods, beginning after December 15, 2025, on a prospective basis. Early adoption is permitted. The Company is currently evaluating the impact of the adoption of this standard on its consolidated financial statements.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231F20"/>
        </w:rPr>
        <w:t xml:space="preserve">In September 2025, the FASB issued ASU 2025-06, </w:t>
      </w:r>
      <w:r>
        <w:rPr>
          <w:rFonts w:ascii="Times New Roman" w:cs="Times New Roman" w:eastAsia="Times New Roman" w:hAnsi="Times New Roman"/>
          <w:sz w:val="18"/>
          <w:szCs w:val="18"/>
          <w:i w:val="1"/>
          <w:iCs w:val="1"/>
          <w:color w:val="231F20"/>
        </w:rPr>
        <w:t>Intangibles—Goodwill and Other—Internal-Use Software (Subtopic 350-40): Targeted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 xml:space="preserve">Improvements to the Accounting for Internal-Use Software </w:t>
      </w:r>
      <w:r>
        <w:rPr>
          <w:rFonts w:ascii="Times New Roman" w:cs="Times New Roman" w:eastAsia="Times New Roman" w:hAnsi="Times New Roman"/>
          <w:sz w:val="18"/>
          <w:szCs w:val="18"/>
          <w:color w:val="231F20"/>
        </w:rPr>
        <w:t>("ASU No. 2025-06"), to modernize the accounting for software costs that are accounted for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under Subtopic 350-40. The ASU removes all references to software development stages and allows software development costs to be capitalized once management commits to funding the project and it is probable that the project will be completed and used as intended. The ASU also introduces the concept of "significant development uncertainty," which, if present, prevents capitalization. The guidance is effective for annual reporting periods, including interim reporting periods, beginning after December 15, 2027. The guidance may be applied prospectively, retrospectively, or via a modified prospective transition method. The Company is currently evaluating the impact of the adoption of this standard on its consolidated financial statements.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Marketable Securities</w:t>
      </w:r>
    </w:p>
    <w:p>
      <w:pPr>
        <w:spacing w:after="0" w:line="229" w:lineRule="exact"/>
        <w:rPr>
          <w:sz w:val="20"/>
          <w:szCs w:val="20"/>
          <w:color w:val="auto"/>
        </w:rPr>
      </w:pPr>
    </w:p>
    <w:p>
      <w:pPr>
        <w:jc w:val="both"/>
        <w:ind w:firstLine="486"/>
        <w:spacing w:after="0" w:line="270" w:lineRule="auto"/>
        <w:rPr>
          <w:sz w:val="20"/>
          <w:szCs w:val="20"/>
          <w:color w:val="auto"/>
        </w:rPr>
      </w:pPr>
      <w:r>
        <w:rPr>
          <w:rFonts w:ascii="Times New Roman" w:cs="Times New Roman" w:eastAsia="Times New Roman" w:hAnsi="Times New Roman"/>
          <w:sz w:val="18"/>
          <w:szCs w:val="18"/>
          <w:color w:val="auto"/>
        </w:rPr>
        <w:t>The following is a summary of available-for-sale marketable securities, excluding those securities classified within cash and cash equivalents on the condensed consolidated balance sheets as of September 30, 2025 and December 31, 2024 (in thousands):</w:t>
      </w:r>
    </w:p>
    <w:tbl>
      <w:tblPr>
        <w:tblLayout w:type="fixed"/>
        <w:tblInd w:w="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4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31"/>
        </w:trPr>
        <w:tc>
          <w:tcPr>
            <w:tcW w:w="40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1"/>
                <w:szCs w:val="11"/>
                <w:color w:val="auto"/>
              </w:rPr>
            </w:pPr>
          </w:p>
        </w:tc>
        <w:tc>
          <w:tcPr>
            <w:tcW w:w="1020" w:type="dxa"/>
            <w:vAlign w:val="bottom"/>
          </w:tcPr>
          <w:p>
            <w:pPr>
              <w:jc w:val="right"/>
              <w:ind w:right="435"/>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40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Pr>
          <w:p>
            <w:pPr>
              <w:spacing w:after="0"/>
              <w:rPr>
                <w:sz w:val="16"/>
                <w:szCs w:val="16"/>
                <w:color w:val="auto"/>
              </w:rPr>
            </w:pPr>
          </w:p>
        </w:tc>
        <w:tc>
          <w:tcPr>
            <w:tcW w:w="102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8"/>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5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2,280,706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2,287,125</w:t>
            </w: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593,266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594,631</w:t>
            </w: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534,320</w:t>
            </w: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182,165</w:t>
            </w: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r>
      <w:tr>
        <w:trPr>
          <w:trHeight w:val="223"/>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15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3,591,684</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3,599,737</w:t>
            </w:r>
          </w:p>
        </w:tc>
      </w:tr>
      <w:tr>
        <w:trPr>
          <w:trHeight w:val="20"/>
        </w:trPr>
        <w:tc>
          <w:tcPr>
            <w:tcW w:w="40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858"/>
        </w:trPr>
        <w:tc>
          <w:tcPr>
            <w:tcW w:w="4060" w:type="dxa"/>
            <w:vAlign w:val="bottom"/>
          </w:tcPr>
          <w:p>
            <w:pPr>
              <w:spacing w:after="0"/>
              <w:rPr>
                <w:sz w:val="24"/>
                <w:szCs w:val="24"/>
                <w:color w:val="auto"/>
              </w:rPr>
            </w:pPr>
          </w:p>
        </w:tc>
        <w:tc>
          <w:tcPr>
            <w:tcW w:w="1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40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31"/>
        </w:trPr>
        <w:tc>
          <w:tcPr>
            <w:tcW w:w="5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1"/>
                <w:szCs w:val="11"/>
                <w:color w:val="auto"/>
              </w:rPr>
            </w:pPr>
          </w:p>
        </w:tc>
        <w:tc>
          <w:tcPr>
            <w:tcW w:w="1020" w:type="dxa"/>
            <w:vAlign w:val="bottom"/>
          </w:tcPr>
          <w:p>
            <w:pPr>
              <w:jc w:val="right"/>
              <w:ind w:right="435"/>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Pr>
          <w:p>
            <w:pPr>
              <w:spacing w:after="0"/>
              <w:rPr>
                <w:sz w:val="16"/>
                <w:szCs w:val="16"/>
                <w:color w:val="auto"/>
              </w:rPr>
            </w:pPr>
          </w:p>
        </w:tc>
        <w:tc>
          <w:tcPr>
            <w:tcW w:w="102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8"/>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1,893,599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1,896,041</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466,460</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390,283</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187,802</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23"/>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2,939,623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2,942,076</w:t>
            </w:r>
          </w:p>
        </w:tc>
      </w:tr>
      <w:tr>
        <w:trPr>
          <w:trHeight w:val="21"/>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September 30, 2025, the fair values of available-for-sale marketable securities, by remaining contractual maturity, were as follows (in thousands):</w:t>
      </w:r>
    </w:p>
    <w:p>
      <w:pPr>
        <w:spacing w:after="0" w:line="207" w:lineRule="exact"/>
        <w:rPr>
          <w:sz w:val="20"/>
          <w:szCs w:val="20"/>
          <w:color w:val="auto"/>
        </w:rPr>
      </w:pPr>
    </w:p>
    <w:tbl>
      <w:tblPr>
        <w:tblLayout w:type="fixed"/>
        <w:tblInd w:w="2460" w:type="dxa"/>
        <w:tblCellMar>
          <w:top w:w="0" w:type="dxa"/>
          <w:left w:w="0" w:type="dxa"/>
          <w:bottom w:w="0" w:type="dxa"/>
          <w:right w:w="0" w:type="dxa"/>
        </w:tblCellMar>
      </w:tblP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2,388,545</w:t>
            </w:r>
          </w:p>
        </w:tc>
      </w:tr>
      <w:tr>
        <w:trPr>
          <w:trHeight w:val="229"/>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in one year through five years</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1,211,192</w:t>
            </w:r>
          </w:p>
        </w:tc>
      </w:tr>
      <w:tr>
        <w:trPr>
          <w:trHeight w:val="248"/>
        </w:trPr>
        <w:tc>
          <w:tcPr>
            <w:tcW w:w="4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3,599,737</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does not believe that any unrealized losses are attributable to credit-related factors based on its evaluation of available evidence. To determine whether a decline in value is related to credit loss, the Company evaluates, among other factors: the extent to which the fair value is less than the amortized cost basis, changes to the rating of the security by a rating agency and any adverse conditions specifically related to an issuer of a security or its industry. Unrealized gains and losses on marketable securities are presented net of tax.</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that have been measured at fair value on a recurring basis as of September 30, 2025 and December 31, 2024, and indicate the fair value hierarchy of the valuation inputs utilized to determine such fair value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320" w:type="dxa"/>
            <w:vAlign w:val="bottom"/>
            <w:gridSpan w:val="9"/>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Fair Value Measurement as of September 30, 2025</w:t>
            </w:r>
          </w:p>
        </w:tc>
        <w:tc>
          <w:tcPr>
            <w:tcW w:w="1020" w:type="dxa"/>
            <w:vAlign w:val="bottom"/>
          </w:tcPr>
          <w:p>
            <w:pPr>
              <w:spacing w:after="0"/>
              <w:rPr>
                <w:sz w:val="16"/>
                <w:szCs w:val="16"/>
                <w:color w:val="auto"/>
              </w:rPr>
            </w:pPr>
          </w:p>
        </w:tc>
      </w:tr>
      <w:tr>
        <w:trPr>
          <w:trHeight w:val="23"/>
        </w:trPr>
        <w:tc>
          <w:tcPr>
            <w:tcW w:w="5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274,606</w:t>
            </w:r>
          </w:p>
        </w:tc>
        <w:tc>
          <w:tcPr>
            <w:tcW w:w="4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274,606</w:t>
            </w:r>
          </w:p>
        </w:tc>
      </w:tr>
      <w:tr>
        <w:trPr>
          <w:trHeight w:val="229"/>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139,239</w:t>
            </w:r>
          </w:p>
        </w:tc>
      </w:tr>
      <w:tr>
        <w:trPr>
          <w:trHeight w:val="230"/>
        </w:trPr>
        <w:tc>
          <w:tcPr>
            <w:tcW w:w="5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79,679</w:t>
            </w:r>
          </w:p>
        </w:tc>
      </w:tr>
      <w:tr>
        <w:trPr>
          <w:trHeight w:val="229"/>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13,122</w:t>
            </w:r>
          </w:p>
        </w:tc>
      </w:tr>
      <w:tr>
        <w:trPr>
          <w:trHeight w:val="229"/>
        </w:trPr>
        <w:tc>
          <w:tcPr>
            <w:tcW w:w="5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2,287,125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2,287,125</w:t>
            </w:r>
          </w:p>
        </w:tc>
      </w:tr>
      <w:tr>
        <w:trPr>
          <w:trHeight w:val="230"/>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594,631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594,631</w:t>
            </w:r>
          </w:p>
        </w:tc>
      </w:tr>
      <w:tr>
        <w:trPr>
          <w:trHeight w:val="229"/>
        </w:trPr>
        <w:tc>
          <w:tcPr>
            <w:tcW w:w="5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534,320</w:t>
            </w:r>
          </w:p>
        </w:tc>
      </w:tr>
      <w:tr>
        <w:trPr>
          <w:trHeight w:val="229"/>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182,165</w:t>
            </w:r>
          </w:p>
        </w:tc>
      </w:tr>
      <w:tr>
        <w:trPr>
          <w:trHeight w:val="230"/>
        </w:trPr>
        <w:tc>
          <w:tcPr>
            <w:tcW w:w="5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r>
      <w:tr>
        <w:trPr>
          <w:trHeight w:val="223"/>
        </w:trPr>
        <w:tc>
          <w:tcPr>
            <w:tcW w:w="56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financial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274,606</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3,831,911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4,106,517</w:t>
            </w:r>
          </w:p>
        </w:tc>
      </w:tr>
      <w:tr>
        <w:trPr>
          <w:trHeight w:val="21"/>
        </w:trPr>
        <w:tc>
          <w:tcPr>
            <w:tcW w:w="5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97"/>
        </w:trPr>
        <w:tc>
          <w:tcPr>
            <w:tcW w:w="5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320" w:type="dxa"/>
            <w:vAlign w:val="bottom"/>
            <w:gridSpan w:val="9"/>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Fair Value Measurement as of December 31, 2024</w:t>
            </w:r>
          </w:p>
        </w:tc>
        <w:tc>
          <w:tcPr>
            <w:tcW w:w="1020" w:type="dxa"/>
            <w:vAlign w:val="bottom"/>
          </w:tcPr>
          <w:p>
            <w:pPr>
              <w:spacing w:after="0"/>
              <w:rPr>
                <w:sz w:val="24"/>
                <w:szCs w:val="24"/>
                <w:color w:val="auto"/>
              </w:rPr>
            </w:pPr>
          </w:p>
        </w:tc>
      </w:tr>
      <w:tr>
        <w:trPr>
          <w:trHeight w:val="23"/>
        </w:trPr>
        <w:tc>
          <w:tcPr>
            <w:tcW w:w="5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1,193,927</w:t>
            </w:r>
          </w:p>
        </w:tc>
        <w:tc>
          <w:tcPr>
            <w:tcW w:w="4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1,193,927</w:t>
            </w:r>
          </w:p>
        </w:tc>
      </w:tr>
      <w:tr>
        <w:trPr>
          <w:trHeight w:val="230"/>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r>
      <w:tr>
        <w:trPr>
          <w:trHeight w:val="230"/>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9,088</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1,896,041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1,896,041</w:t>
            </w:r>
          </w:p>
        </w:tc>
      </w:tr>
      <w:tr>
        <w:trPr>
          <w:trHeight w:val="230"/>
        </w:trPr>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390,283</w:t>
            </w:r>
          </w:p>
        </w:tc>
      </w:tr>
      <w:tr>
        <w:trPr>
          <w:trHeight w:val="230"/>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187,802</w:t>
            </w:r>
          </w:p>
        </w:tc>
      </w:tr>
      <w:tr>
        <w:trPr>
          <w:trHeight w:val="230"/>
        </w:trPr>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466,460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466,460</w:t>
            </w:r>
          </w:p>
        </w:tc>
      </w:tr>
      <w:tr>
        <w:trPr>
          <w:trHeight w:val="229"/>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23"/>
        </w:trPr>
        <w:tc>
          <w:tcPr>
            <w:tcW w:w="56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financial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1,193,927</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2,953,666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4,147,593</w:t>
            </w:r>
          </w:p>
        </w:tc>
      </w:tr>
      <w:tr>
        <w:trPr>
          <w:trHeight w:val="21"/>
        </w:trPr>
        <w:tc>
          <w:tcPr>
            <w:tcW w:w="5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including money market funds with an original maturity of three months or less at the date of purchase, to be cash equivalents. The Company uses quoted prices in active markets for assets to determine the fair value of its Level 1 investments in money market funds. The Company classifies its commercial paper, corporate debt securities, certificates of deposit, U.S. government agency securities, and U.S. government treasury securities within Level 2 because they are valued using inputs other than quoted prices that are directly or indirectly observable in the market, including readily available pricing sources for the identical underlying security which may not be actively traded.</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addition to its cash equivalents and marketable securities, the Company measures the fair value of its outstanding convertible senior notes on a quarterly basis for disclosure purposes. The Company considers the fair value of the convertible senior notes to be a Level 2 measurement due to limited trading activity of the convertible senior notes. Refer to Note 7, </w:t>
      </w:r>
      <w:r>
        <w:rPr>
          <w:rFonts w:ascii="Times New Roman" w:cs="Times New Roman" w:eastAsia="Times New Roman" w:hAnsi="Times New Roman"/>
          <w:sz w:val="18"/>
          <w:szCs w:val="18"/>
          <w:i w:val="1"/>
          <w:iCs w:val="1"/>
          <w:color w:val="auto"/>
        </w:rPr>
        <w:t>Convertible Senior Notes</w:t>
      </w:r>
      <w:r>
        <w:rPr>
          <w:rFonts w:ascii="Times New Roman" w:cs="Times New Roman" w:eastAsia="Times New Roman" w:hAnsi="Times New Roman"/>
          <w:sz w:val="18"/>
          <w:szCs w:val="18"/>
          <w:color w:val="auto"/>
        </w:rPr>
        <w:t>, to the condensed consolidated financial statements for further details.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1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4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and equipment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46,155</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20,752</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67,855</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289,519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285,015</w:t>
            </w:r>
          </w:p>
        </w:tc>
      </w:tr>
      <w:tr>
        <w:trPr>
          <w:trHeight w:val="22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419,777</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(162,566)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(192,807)</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226,970</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capitalizes costs related to the development of computer software for internal use and is included in capitalized software development costs within property and equipment, net.</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was approximately $13.3 million and $34.6 million for the three and nine months ended September 30, 2025, respectively. Depreciation and amortization expense was approximately $12.4 million and $34.0 million for the three and nine months ended September 30,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Acquisitions, Intangible Assets and Goodwill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Acquisitions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2025, the Company entered into three purchase agreements for acquisitions of businesses, each of which was accounted for as a business combination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does not consider these acquisitions to be material, individually or in aggregate. The total purchase price in aggregate of $178.4 million consisted of $109.3 million in cash payments, net of cash acquired, $16.1 million of deferred acquisition holdback payments and the issuance of 771,355 restricted shares of Class A common stock. The total purchase price was allocated to intangible assets in the amount of $17.6 million and goodwill in the amount of $163.1 million based on the respective estimated fair values. The purchase price allocations are preliminary. The Company continues to collect information with regard to its estimates and assumptions, including potential liabilities and contingencies. The Company will record adjustments to the fair value of the assets acquired, liabilities assumed and goodwill within the 12 month measurement period, if necessary. The resulting goodwill from each of the agreements is not deductible for income tax purposes. Pro forma results of operations from these acquisitions have not been presented because they were not material to the consolidated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Acquisitions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During the year ended December 31, 2024, the Company entered into one purchase agreement for an acquisition of a business, which was accounted for as a business combination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does not consider this acquisition to be material. The total purchase price was allocated to intangible assets in the amount of $0.7 million and goodwill in the amount of $10.2 million based on the respective estimated fair values. The resulting goodwill from the agreements is not deductible for income tax purposes. Pro forma results of operations from the acquisition have not been presented because they were not material to the consolidated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Intangible assets, net consisted of the following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4"/>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1080" w:type="dxa"/>
            <w:vAlign w:val="bottom"/>
          </w:tcPr>
          <w:p>
            <w:pPr>
              <w:jc w:val="center"/>
              <w:ind w:right="139"/>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7"/>
                <w:szCs w:val="17"/>
                <w:color w:val="auto"/>
              </w:rPr>
            </w:pPr>
          </w:p>
        </w:tc>
        <w:tc>
          <w:tcPr>
            <w:tcW w:w="10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29"/>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11,453</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5,357</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5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4"/>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1080" w:type="dxa"/>
            <w:vAlign w:val="bottom"/>
          </w:tcPr>
          <w:p>
            <w:pPr>
              <w:jc w:val="center"/>
              <w:ind w:right="139"/>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10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28"/>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Intangible amortization expense was approximately $1.7 million and $1.4 million for the three months ended September 30, 2025 and 2024, respectively, and $4.5 million and $5.2 million for the nine months ended September 30, 2025 and 2024, respectively.</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2025, future amortization expense by year is expected to be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6,128</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5,583</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w:t>
            </w: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3"/>
        </w:trPr>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16,810</w:t>
            </w:r>
          </w:p>
        </w:tc>
      </w:tr>
      <w:tr>
        <w:trPr>
          <w:trHeight w:val="20"/>
        </w:trPr>
        <w:tc>
          <w:tcPr>
            <w:tcW w:w="9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changes in the carrying amount of goodwill were as follows (in thousands):</w:t>
      </w:r>
    </w:p>
    <w:p>
      <w:pPr>
        <w:spacing w:after="0" w:line="138"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14"/>
          <w:szCs w:val="14"/>
          <w:b w:val="1"/>
          <w:bCs w:val="1"/>
          <w:color w:val="auto"/>
        </w:rPr>
        <w:t>Amount</w:t>
      </w:r>
    </w:p>
    <w:p>
      <w:pPr>
        <w:sectPr>
          <w:pgSz w:w="11900" w:h="16838" w:orient="portrait"/>
          <w:cols w:equalWidth="0" w:num="1">
            <w:col w:w="11240"/>
          </w:cols>
          <w:pgMar w:left="320" w:top="1222" w:right="339" w:bottom="1440" w:gutter="0" w:footer="0" w:header="0"/>
        </w:sectPr>
      </w:pP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2025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September 30, 2025</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Expenses and Other Current Liabilities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Accrued expenses and other current liabilities consisted of the following (in thousands):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jc w:val="both"/>
        <w:ind w:left="1420"/>
        <w:spacing w:after="0"/>
        <w:tabs>
          <w:tab w:leader="none" w:pos="20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360,381</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163,102</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6,560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887095</wp:posOffset>
            </wp:positionH>
            <wp:positionV relativeFrom="paragraph">
              <wp:posOffset>14605</wp:posOffset>
            </wp:positionV>
            <wp:extent cx="8401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11" w:lineRule="exact"/>
        <w:rPr>
          <w:sz w:val="20"/>
          <w:szCs w:val="20"/>
          <w:color w:val="auto"/>
        </w:rPr>
      </w:pPr>
    </w:p>
    <w:p>
      <w:pPr>
        <w:jc w:val="both"/>
        <w:ind w:left="1420"/>
        <w:spacing w:after="0"/>
        <w:tabs>
          <w:tab w:leader="none" w:pos="20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530,043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887095</wp:posOffset>
            </wp:positionH>
            <wp:positionV relativeFrom="paragraph">
              <wp:posOffset>17145</wp:posOffset>
            </wp:positionV>
            <wp:extent cx="8401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887095</wp:posOffset>
            </wp:positionH>
            <wp:positionV relativeFrom="paragraph">
              <wp:posOffset>43180</wp:posOffset>
            </wp:positionV>
            <wp:extent cx="8401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4"/>
          <w:szCs w:val="14"/>
          <w:b w:val="1"/>
          <w:bCs w:val="1"/>
          <w:color w:val="auto"/>
        </w:rPr>
        <w:t>September 30,</w:t>
      </w:r>
      <w:r>
        <w:rPr>
          <w:sz w:val="20"/>
          <w:szCs w:val="20"/>
          <w:color w:val="auto"/>
        </w:rPr>
        <w:tab/>
      </w:r>
      <w:r>
        <w:rPr>
          <w:rFonts w:ascii="Times New Roman" w:cs="Times New Roman" w:eastAsia="Times New Roman" w:hAnsi="Times New Roman"/>
          <w:sz w:val="14"/>
          <w:szCs w:val="14"/>
          <w:b w:val="1"/>
          <w:bCs w:val="1"/>
          <w:color w:val="auto"/>
        </w:rPr>
        <w:t>December 31,</w:t>
      </w:r>
    </w:p>
    <w:p>
      <w:pPr>
        <w:ind w:left="300"/>
        <w:spacing w:after="0"/>
        <w:tabs>
          <w:tab w:leader="none" w:pos="182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15" w:lineRule="exact"/>
        <w:rPr>
          <w:sz w:val="20"/>
          <w:szCs w:val="20"/>
          <w:color w:val="auto"/>
        </w:rPr>
      </w:pPr>
    </w:p>
    <w:p>
      <w:pPr>
        <w:sectPr>
          <w:pgSz w:w="11900" w:h="16838" w:orient="portrait"/>
          <w:cols w:equalWidth="0" w:num="2">
            <w:col w:w="7800" w:space="720"/>
            <w:col w:w="2720"/>
          </w:cols>
          <w:pgMar w:left="320" w:top="1222"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and commissions</w:t>
            </w: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92,900</w:t>
            </w:r>
          </w:p>
        </w:tc>
        <w:tc>
          <w:tcPr>
            <w:tcW w:w="10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71,746</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tax liability and sales tax</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47,534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28,639</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26,751</w:t>
            </w:r>
          </w:p>
        </w:tc>
      </w:tr>
      <w:tr>
        <w:trPr>
          <w:trHeight w:val="22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175,198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127,136</w:t>
            </w:r>
          </w:p>
        </w:tc>
      </w:tr>
      <w:tr>
        <w:trPr>
          <w:trHeight w:val="20"/>
        </w:trPr>
        <w:tc>
          <w:tcPr>
            <w:tcW w:w="8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231F20"/>
        </w:rPr>
        <w:t>D</w:t>
      </w:r>
      <w:r>
        <w:rPr>
          <w:rFonts w:ascii="Times New Roman" w:cs="Times New Roman" w:eastAsia="Times New Roman" w:hAnsi="Times New Roman"/>
          <w:sz w:val="18"/>
          <w:szCs w:val="18"/>
          <w:color w:val="000000"/>
        </w:rPr>
        <w:t>ue to the timing of when invoices are received, payables for cloud hosting and infrastructure expenses are included within accounts payable on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consolidated balance sheets, amounting to $117.8 million and $93.4 million as of September 30, 2025 and December 31, 2024, respectively.</w:t>
      </w:r>
    </w:p>
    <w:p>
      <w:pPr>
        <w:sectPr>
          <w:pgSz w:w="11900" w:h="16838" w:orient="portrait"/>
          <w:cols w:equalWidth="0" w:num="1">
            <w:col w:w="11240"/>
          </w:cols>
          <w:pgMar w:left="320" w:top="1222" w:right="339"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8. Convertible Senior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Convertible Senior Notes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June 2, 2020, the Company issued $747.5 million aggregate principal amount of 0.125% Convertible Senior Notes due 2025 (the “2025 Notes”) in a private placement to qualified institutional buyers pursuant to Rule 144A under the Securities Act of 1933, as amended (“Securities Act”). The total net proceeds from the sale of the 2025 Notes, after deducting the initial purchasers’ discounts and debt issuance costs, were approximately $730.2 million. The 2025 Notes bore interest at a rate of 0.125% per year, payable semiannually in arrears on June 15 and December 15 of each year, beginning on December 15, 2020. The 2025 Notes matured on June 15, 2025.</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Holders of the 2025 Notes had the option to convert all or any portion of their 2025 Notes, in integral multiples of $1,000 principal amount, at the option of the holder at any time on or after March 15, 2025 until the close of business on the second scheduled trading day immediately preceding the maturity date for the 2025 Notes. The conversion rate for the 2025 Notes was initially 10.8338 shares of Class A common stock per $1,000 principal amount of 2025 Notes (equivalent to an initial conversion price for the 2025 Notes of approximately $92.30 per share of Class A common stock), subject to adjustment as set forth in the indenture governing the 2025 Notes (the “2025 Indenture”).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remaining $634.1 million aggregate principal amount of the 2025 Notes were converted prior to maturity and in connection with such conversions, the Company delivered $634.1 million in cash and issued 1,354,569 shares of the Company's Class A common stock to converting note 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2029 Convertible Senior Notes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December 12, 2024, the Company issued $1.0 billion aggregate principal amount of 0.00% Convertible Senior Notes due 2029 (the “2029 Notes” and together with the 2025 Notes, the “Notes”) in a private placement to qualified institutional buyers pursuant to Rule 144A under the Securities Act. The total net proceeds from the sale of the 2029 Notes, after deducting the initial purchasers’ discounts and debt issuance costs, were approximately $979.1 million. The 2029 Notes do not bear interest and the principal amount of the 2029 Notes will not accrete. The 2029 Notes will mature on December 1, 2029, unless earlier converted, redeemed or repurchased.</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Holders may convert their 2029 Notes at their option at any time prior to the close of business on the business day immediately preceding September 1, 2029 only under the following circumstances:</w:t>
      </w:r>
    </w:p>
    <w:p>
      <w:pPr>
        <w:spacing w:after="0" w:line="54" w:lineRule="exact"/>
        <w:rPr>
          <w:sz w:val="20"/>
          <w:szCs w:val="20"/>
          <w:color w:val="auto"/>
        </w:rPr>
      </w:pPr>
    </w:p>
    <w:p>
      <w:pPr>
        <w:jc w:val="both"/>
        <w:ind w:left="980" w:hanging="486"/>
        <w:spacing w:after="0" w:line="261" w:lineRule="auto"/>
        <w:tabs>
          <w:tab w:leader="none" w:pos="9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the calendar quarter ending on March 31, 2025 (and only during such calendar quarter), if the last reported sale price of the Company’s Class A common stock for at least 20 trading days (whether or not consecutive) during a period of 30 consecutive trading days ending on, and including, the last trading day of the immediately preceding calendar quarter is greater than or equal to 130% of the conversion price for the 2029 Notes on each applicable trading day;</w:t>
      </w:r>
    </w:p>
    <w:p>
      <w:pPr>
        <w:spacing w:after="0" w:line="7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ten consecutive trading day period (the “measurement period”) in which the trading price per $1,000 principal amount of 2029 Notes for each trading day of the measurement period was less than 98% of the product of the last reported sale price of the Company’s Class A common stock and the conversion rate on each such trading day;</w:t>
      </w:r>
    </w:p>
    <w:p>
      <w:pPr>
        <w:spacing w:after="0" w:line="67" w:lineRule="exact"/>
        <w:rPr>
          <w:rFonts w:ascii="Times New Roman" w:cs="Times New Roman" w:eastAsia="Times New Roman" w:hAnsi="Times New Roman"/>
          <w:sz w:val="18"/>
          <w:szCs w:val="18"/>
          <w:color w:val="auto"/>
        </w:rPr>
      </w:pPr>
    </w:p>
    <w:p>
      <w:pPr>
        <w:ind w:left="980" w:hanging="486"/>
        <w:spacing w:after="0" w:line="282" w:lineRule="auto"/>
        <w:tabs>
          <w:tab w:leader="none" w:pos="9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such 2029 Notes for redemption, at any time prior to the close of business on the scheduled trading day immediately preceding the redemption date; or</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 as set forth in the indenture governing the 2029 Notes (the “2029 Indenture”).</w:t>
      </w:r>
    </w:p>
    <w:p>
      <w:pPr>
        <w:spacing w:after="0" w:line="2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or after September 1, 2029 until the close of business on the second scheduled trading day immediately preceding the maturity date for the 2029 Notes, holders may convert all or any portion of their 2029 Notes, in integral multiples of $1,000 principal amount, at the option of the holder regardless of the foregoing circumstances. The conversion rate for the 2029 Notes is initially 4.5955 shares of Class A common stock per $1,000 principal amount of 2029 Notes (equivalent to an initial conversion price for the 2029 Notes of approximately $217.60 per share of Class A common stock), subject to adjustment as set forth in the 2029 Indenture. Upon conversion, the Company will pay or deliver, as the case may be, cash, shares of Class A common stock or a combination of cash and shares of Class A common stock, at the Company’s election. If the Company satisfies its conversion obligation solely in cash or through payment and delivery, as the case may be, of a combination of cash and shares of Class A common stock, the amount of cash and shares of Class A common stock, if any, due upon conversion will be based on a daily conversion value calculated on a proportionate basis for each trading day in a 20 trading day observation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6" w:name="page17"/>
    <w:bookmarkEnd w:id="16"/>
    <w:p>
      <w:pPr>
        <w:jc w:val="both"/>
        <w:spacing w:after="0" w:line="266" w:lineRule="auto"/>
        <w:rPr>
          <w:sz w:val="20"/>
          <w:szCs w:val="20"/>
          <w:color w:val="auto"/>
        </w:rPr>
      </w:pPr>
      <w:r>
        <w:rPr>
          <w:rFonts w:ascii="Times New Roman" w:cs="Times New Roman" w:eastAsia="Times New Roman" w:hAnsi="Times New Roman"/>
          <w:sz w:val="18"/>
          <w:szCs w:val="18"/>
          <w:color w:val="auto"/>
        </w:rPr>
        <w:t>period as described in the 2029 Indenture. In addition, if specific corporate events occur prior to the applicable maturity date for the 2029 Notes, or if the Company elects to redeem the 2029 Notes, the Company will increase the conversion rate for the 2029 Notes for a holder who elects to convert their 2029 Notes in connection with such a corporate event or redemption in certain circumstances.</w:t>
      </w:r>
    </w:p>
    <w:p>
      <w:pPr>
        <w:spacing w:after="0" w:line="176"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the conditional conversion features of the 2029 Notes were not triggered. Therefore the 2029 Notes are not convertible, in whole or in part, at the option of the holders between October 1, 2025 through December 31, 2025. As of September 30, 2025, the 2029 Notes were classified as non-current liabilities on the Company's condensed consolidated balance sheet.</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may not redeem the 2029 Notes prior to December 6, 2027. The Company may redeem for cash all or any portion of the 2029 Notes, at its option, on or after December 6, 2027 if the last reported sale price of its Class A common stock was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notice of redemption at a redemption price equal to 100% of the principal amount of the 2029 Notes to be redeemed, plus accrued and unpaid interest to, but excluding, the redemption date.</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net carrying amount of the Notes was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2025 Notes: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635,448</w:t>
            </w: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r>
      <w:tr>
        <w:trPr>
          <w:trHeight w:val="223"/>
        </w:trPr>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carrying amount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634,023</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7"/>
        </w:trPr>
        <w:tc>
          <w:tcPr>
            <w:tcW w:w="81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2029 Notes:</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29"/>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(20,718)</w:t>
            </w:r>
          </w:p>
        </w:tc>
      </w:tr>
      <w:tr>
        <w:trPr>
          <w:trHeight w:val="223"/>
        </w:trPr>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carrying amount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982,402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979,282</w:t>
            </w:r>
          </w:p>
        </w:tc>
      </w:tr>
      <w:tr>
        <w:trPr>
          <w:trHeight w:val="20"/>
        </w:trPr>
        <w:tc>
          <w:tcPr>
            <w:tcW w:w="8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89" w:lineRule="auto"/>
        <w:rPr>
          <w:sz w:val="20"/>
          <w:szCs w:val="20"/>
          <w:color w:val="auto"/>
        </w:rPr>
      </w:pPr>
      <w:r>
        <w:rPr>
          <w:rFonts w:ascii="Times New Roman" w:cs="Times New Roman" w:eastAsia="Times New Roman" w:hAnsi="Times New Roman"/>
          <w:sz w:val="17"/>
          <w:szCs w:val="17"/>
          <w:color w:val="auto"/>
        </w:rPr>
        <w:t>As of September 30, 2025, the total estimated fair value of the 2029 Notes was approximately $992.2 million. The fair value was determined based on the closing trading price or quoted market price per $100 of the Notes as of the last day of trading for the period. The fair value of the Notes is primarily affected by the trading price of the Company’s Class A common stock and market interest rates and has been classified as level 2 in the fair value hierarchy.</w:t>
      </w:r>
    </w:p>
    <w:p>
      <w:pPr>
        <w:spacing w:after="0" w:line="15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Issuance costs were being amortized to interest expense over the contractual terms of the 2025 Notes at an effective interest rate of 0.59%. Issuance costs are being amortized to interest expense over the contractual terms of the 2029 Notes at an effective interest rate of 0.43%.</w:t>
      </w:r>
    </w:p>
    <w:p>
      <w:pPr>
        <w:spacing w:after="0" w:line="16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interest expense related to the 2025 and 2029 Notes for the three and nine months ended September 30, 2025 and 2024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60" w:type="dxa"/>
            <w:vAlign w:val="bottom"/>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3"/>
                <w:szCs w:val="13"/>
                <w:color w:val="auto"/>
              </w:rPr>
            </w:pPr>
          </w:p>
        </w:tc>
      </w:tr>
      <w:tr>
        <w:trPr>
          <w:trHeight w:val="195"/>
        </w:trPr>
        <w:tc>
          <w:tcPr>
            <w:tcW w:w="42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r>
      <w:tr>
        <w:trPr>
          <w:trHeight w:val="195"/>
        </w:trPr>
        <w:tc>
          <w:tcPr>
            <w:tcW w:w="42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30"/>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4,556</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2,672</w:t>
            </w:r>
          </w:p>
        </w:tc>
      </w:tr>
      <w:tr>
        <w:trPr>
          <w:trHeight w:val="248"/>
        </w:trPr>
        <w:tc>
          <w:tcPr>
            <w:tcW w:w="4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Capped Calls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connection with the pricing of the 2025 and 2029 Notes, the Company entered into privately negotiated capped call transactions with certain option counterparties (the “Capped Calls”). The initial strike price of the Capped Calls corresponds to the initial conversion price of each of the Notes. The Capped Calls are expected to partially offset the potential dilution to the Company’s Class A common stock upon any conversion of the Notes, with such offset subject to a cap based on the cap price. For accounting purposes, the Capped Calls are separate transactions, and not part of the Notes. As these transactions meet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7" w:name="page18"/>
    <w:bookmarkEnd w:id="17"/>
    <w:p>
      <w:pPr>
        <w:jc w:val="both"/>
        <w:spacing w:after="0" w:line="282" w:lineRule="auto"/>
        <w:rPr>
          <w:sz w:val="20"/>
          <w:szCs w:val="20"/>
          <w:color w:val="auto"/>
        </w:rPr>
      </w:pPr>
      <w:r>
        <w:rPr>
          <w:rFonts w:ascii="Times New Roman" w:cs="Times New Roman" w:eastAsia="Times New Roman" w:hAnsi="Times New Roman"/>
          <w:sz w:val="18"/>
          <w:szCs w:val="18"/>
          <w:color w:val="auto"/>
        </w:rPr>
        <w:t>certain accounting criteria, the Capped Calls are recorded in stockholders’ equity and are not accounted for as derivatives. The cost incurred to purchase the Capped Calls was recorded as a reduction to additional paid-in capital and will not be remeasured.</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key terms and costs incurred for the Capped Calls related to each of the Notes (in millions, except per share amounts):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 Notes</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2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2029 Notes</w:t>
            </w:r>
          </w:p>
        </w:tc>
      </w:tr>
      <w:tr>
        <w:trPr>
          <w:trHeight w:val="23"/>
        </w:trPr>
        <w:tc>
          <w:tcPr>
            <w:tcW w:w="70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strike price per share, subject to certain adjustments</w:t>
            </w:r>
          </w:p>
        </w:tc>
        <w:tc>
          <w:tcPr>
            <w:tcW w:w="1400" w:type="dxa"/>
            <w:vAlign w:val="bottom"/>
            <w:shd w:val="clear" w:color="auto" w:fill="CCEEFF"/>
          </w:tcPr>
          <w:p>
            <w:pPr>
              <w:jc w:val="right"/>
              <w:ind w:right="121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217.60</w:t>
            </w: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Initial cap price per share, subject to certain adjustments</w:t>
            </w:r>
          </w:p>
        </w:tc>
        <w:tc>
          <w:tcPr>
            <w:tcW w:w="1400" w:type="dxa"/>
            <w:vAlign w:val="bottom"/>
          </w:tcPr>
          <w:p>
            <w:pPr>
              <w:jc w:val="right"/>
              <w:ind w:right="121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151.40</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322.38</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cost incurred</w:t>
            </w:r>
          </w:p>
        </w:tc>
        <w:tc>
          <w:tcPr>
            <w:tcW w:w="1400" w:type="dxa"/>
            <w:vAlign w:val="bottom"/>
            <w:shd w:val="clear" w:color="auto" w:fill="CCEEFF"/>
          </w:tcPr>
          <w:p>
            <w:pPr>
              <w:jc w:val="right"/>
              <w:ind w:right="121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3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covered, subject to anti-dilution adjustments</w:t>
            </w:r>
          </w:p>
        </w:tc>
        <w:tc>
          <w:tcPr>
            <w:tcW w:w="14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bl>
    <w:p>
      <w:pPr>
        <w:spacing w:after="0" w:line="2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connection with the maturity of the 2025 Notes, the Company issued 1,354,569 shares to holders of the 2025 Notes that converted prior to maturity and received 1,360,738 shares from the relevant option counterparties upon settlement of the Capped Calls relating to the 2025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2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Non-cancelable Material Commitments—</w:t>
      </w:r>
      <w:r>
        <w:rPr>
          <w:rFonts w:ascii="Times New Roman" w:cs="Times New Roman" w:eastAsia="Times New Roman" w:hAnsi="Times New Roman"/>
          <w:sz w:val="18"/>
          <w:szCs w:val="18"/>
          <w:color w:val="auto"/>
        </w:rPr>
        <w:t>During the nine months ended September 30, 2025, other than certain non-cancelable operating leases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described in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there have been no other material changes outside the ordinary course of business to the Company’s contractual obligations and commitments from those disclosed in the Annual Report.</w:t>
      </w:r>
    </w:p>
    <w:p>
      <w:pPr>
        <w:spacing w:after="0" w:line="171"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401(k) Plan</w:t>
      </w:r>
      <w:r>
        <w:rPr>
          <w:rFonts w:ascii="Times New Roman" w:cs="Times New Roman" w:eastAsia="Times New Roman" w:hAnsi="Times New Roman"/>
          <w:sz w:val="18"/>
          <w:szCs w:val="18"/>
          <w:color w:val="auto"/>
        </w:rPr>
        <w:t>—The Company sponsors a 401(k) defined contribution plan covering all eligible U.S. employees. The Company is responsible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administrative costs of the 401(k) plan and makes matching contributions to the 401(k) plan. For the three and nine months ended September 30, 2025, the Company incurred expense of $2.5 million and $7.1 million, respectively, for matching contributions. For the three and nine months ended September 30, 2024, the Company incurred expense of $2.6 million and $6.4 million, respectively, for matching contributions.</w:t>
      </w:r>
    </w:p>
    <w:p>
      <w:pPr>
        <w:spacing w:after="0" w:line="176"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Legal Matters</w:t>
      </w:r>
      <w:r>
        <w:rPr>
          <w:rFonts w:ascii="Times New Roman" w:cs="Times New Roman" w:eastAsia="Times New Roman" w:hAnsi="Times New Roman"/>
          <w:sz w:val="18"/>
          <w:szCs w:val="18"/>
          <w:color w:val="auto"/>
        </w:rPr>
        <w:t>—The Company is involved from time to time in various claims and legal actions arising in the ordinary course of business. While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not feasible to predict or determine the ultimate outcome of these matters, the Company believes that none of its current legal proceedings will have a material adverse effect on its financial position or results of operations.</w:t>
      </w:r>
    </w:p>
    <w:p>
      <w:pPr>
        <w:spacing w:after="0" w:line="17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Indemnification</w:t>
      </w:r>
      <w:r>
        <w:rPr>
          <w:rFonts w:ascii="Times New Roman" w:cs="Times New Roman" w:eastAsia="Times New Roman" w:hAnsi="Times New Roman"/>
          <w:sz w:val="18"/>
          <w:szCs w:val="18"/>
          <w:color w:val="auto"/>
        </w:rPr>
        <w:t>—The Company enters into indemnification provisions under some agreements with other parties in the ordinary course of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business partners, investors, contractors, customers and the Company’s officers, directors and certain employees. The Company has agreed to indemnify and defend the indemnified party claims and related losses suffered or incurred by the indemnified party from actual or threatened third-party claim because of the Company’s activities or non-compliance with certain representations and warranties made by the Company. It is not possible to determine the maximum potential loss under these indemnification provisions due to the Company’s limited history of prior indemnification claims and the unique facts and circumstances involved in each particular provision. To date, losses recorded in the Company’s condensed consolidated statements of operations in connection with the indemnification provisions have not been 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has entered into various non-cancelable operating leases for its facilities expiring between 2025 and 2036. Certain lease agreements contain an option for the Company to renew a lease for a term of up to three years or an option to terminate a lease early within one year. The Company considers these options, which may be elected at the Company’s sole discretion, in determining the lease term on a lease-by-lease basis.</w:t>
      </w:r>
    </w:p>
    <w:p>
      <w:pPr>
        <w:spacing w:after="0" w:line="17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Lease expense for these leases is recognized on a straight-line basis over the lease term, with variable lease payments recognized in the period those payments are incurred.</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lease cost recognized within the Company’s condensed consolidated statements of operations were as follows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440" w:type="dxa"/>
            <w:vAlign w:val="bottom"/>
            <w:gridSpan w:val="4"/>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5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r>
      <w:tr>
        <w:trPr>
          <w:trHeight w:val="196"/>
        </w:trPr>
        <w:tc>
          <w:tcPr>
            <w:tcW w:w="56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6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1"/>
                <w:szCs w:val="21"/>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31,613</w:t>
            </w:r>
          </w:p>
        </w:tc>
      </w:tr>
      <w:tr>
        <w:trPr>
          <w:trHeight w:val="234"/>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10369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222" w:lineRule="exact"/>
        <w:rPr>
          <w:sz w:val="20"/>
          <w:szCs w:val="20"/>
          <w:color w:val="auto"/>
        </w:rPr>
      </w:pPr>
    </w:p>
    <w:p>
      <w:pPr>
        <w:ind w:left="340" w:right="220" w:hanging="332"/>
        <w:spacing w:after="0" w:line="302" w:lineRule="auto"/>
        <w:tabs>
          <w:tab w:leader="none" w:pos="338"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non-cash lease expense of $9.1 million and $6.7 million for the three months ended September 30, 2025 and 2024, respectively, and $26.5 million and $20.3 million for the nine months ended September 30, 2025 and 2024, respectively.</w:t>
      </w:r>
    </w:p>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Supplemental cash flow information and non-cash activity related to the Company’s operating leases are as follows (in thousands):</w:t>
      </w:r>
    </w:p>
    <w:p>
      <w:pPr>
        <w:spacing w:after="0" w:line="124"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8,988</w:t>
            </w:r>
          </w:p>
        </w:tc>
      </w:tr>
      <w:tr>
        <w:trPr>
          <w:trHeight w:val="234"/>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 obtained in exchange for new lease liabilities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70,174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61,635</w:t>
            </w:r>
          </w:p>
        </w:tc>
      </w:tr>
      <w:tr>
        <w:trPr>
          <w:trHeight w:val="522"/>
        </w:trPr>
        <w:tc>
          <w:tcPr>
            <w:tcW w:w="8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Maturities of lease liabilities by fiscal year for the Company’s operating leases are as follows (in thousands):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68"/>
        </w:trPr>
        <w:tc>
          <w:tcPr>
            <w:tcW w:w="8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10,959</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56,261</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57,657</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48,536</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45,427</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161,876</w:t>
            </w: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380,716</w:t>
            </w: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(83,801)</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296,915</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September 30, 2025, the Company had various operating leases that had not yet commenced, which are excluded from the table above. The operating leases will commence between fiscal years 2025 through 2027 with total undiscounted future payments of $249.9 million and a weighted-average lease term of 9.1 years.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Weighted average remaining lease term and discount rate for the Company’s operating leases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48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4480" w:type="dxa"/>
            <w:vAlign w:val="bottom"/>
          </w:tcPr>
          <w:p>
            <w:pPr>
              <w:spacing w:after="0"/>
              <w:rPr>
                <w:sz w:val="16"/>
                <w:szCs w:val="16"/>
                <w:color w:val="auto"/>
              </w:rPr>
            </w:pPr>
          </w:p>
        </w:tc>
        <w:tc>
          <w:tcPr>
            <w:tcW w:w="6760" w:type="dxa"/>
            <w:vAlign w:val="bottom"/>
            <w:gridSpan w:val="2"/>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52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6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6.63 %</w:t>
            </w:r>
          </w:p>
        </w:tc>
      </w:tr>
      <w:tr>
        <w:trPr>
          <w:trHeight w:val="859"/>
        </w:trPr>
        <w:tc>
          <w:tcPr>
            <w:tcW w:w="4480" w:type="dxa"/>
            <w:vAlign w:val="bottom"/>
          </w:tcPr>
          <w:p>
            <w:pPr>
              <w:spacing w:after="0"/>
              <w:rPr>
                <w:sz w:val="24"/>
                <w:szCs w:val="24"/>
                <w:color w:val="auto"/>
              </w:rPr>
            </w:pPr>
          </w:p>
        </w:tc>
        <w:tc>
          <w:tcPr>
            <w:tcW w:w="5280" w:type="dxa"/>
            <w:vAlign w:val="bottom"/>
          </w:tcPr>
          <w:p>
            <w:pPr>
              <w:jc w:val="right"/>
              <w:ind w:right="3956"/>
              <w:spacing w:after="0"/>
              <w:rPr>
                <w:sz w:val="20"/>
                <w:szCs w:val="20"/>
                <w:color w:val="auto"/>
              </w:rPr>
            </w:pPr>
            <w:r>
              <w:rPr>
                <w:rFonts w:ascii="Times New Roman" w:cs="Times New Roman" w:eastAsia="Times New Roman" w:hAnsi="Times New Roman"/>
                <w:sz w:val="18"/>
                <w:szCs w:val="18"/>
                <w:color w:val="auto"/>
              </w:rPr>
              <w:t>18</w:t>
            </w:r>
          </w:p>
        </w:tc>
        <w:tc>
          <w:tcPr>
            <w:tcW w:w="1480" w:type="dxa"/>
            <w:vAlign w:val="bottom"/>
          </w:tcPr>
          <w:p>
            <w:pPr>
              <w:spacing w:after="0"/>
              <w:rPr>
                <w:sz w:val="24"/>
                <w:szCs w:val="24"/>
                <w:color w:val="auto"/>
              </w:rPr>
            </w:pPr>
          </w:p>
        </w:tc>
      </w:tr>
      <w:tr>
        <w:trPr>
          <w:trHeight w:val="115"/>
        </w:trPr>
        <w:tc>
          <w:tcPr>
            <w:tcW w:w="4480" w:type="dxa"/>
            <w:vAlign w:val="bottom"/>
            <w:tcBorders>
              <w:bottom w:val="single" w:sz="8" w:color="9A9A9A"/>
            </w:tcBorders>
          </w:tcPr>
          <w:p>
            <w:pPr>
              <w:spacing w:after="0"/>
              <w:rPr>
                <w:sz w:val="10"/>
                <w:szCs w:val="10"/>
                <w:color w:val="auto"/>
              </w:rPr>
            </w:pPr>
          </w:p>
        </w:tc>
        <w:tc>
          <w:tcPr>
            <w:tcW w:w="52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11.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Geographical Information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by location is determined by the billing address of the customer. The following table sets forth revenue by geographic area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44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55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r>
      <w:tr>
        <w:trPr>
          <w:trHeight w:val="196"/>
        </w:trPr>
        <w:tc>
          <w:tcPr>
            <w:tcW w:w="55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52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North America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633,924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484,533</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1,754,428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1,358,135</w:t>
            </w:r>
          </w:p>
        </w:tc>
      </w:tr>
      <w:tr>
        <w:trPr>
          <w:trHeight w:val="229"/>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251,727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205,483</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719,536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588,413</w:t>
            </w:r>
          </w:p>
        </w:tc>
      </w:tr>
      <w:tr>
        <w:trPr>
          <w:trHeight w:val="248"/>
        </w:trPr>
        <w:tc>
          <w:tcPr>
            <w:tcW w:w="5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885,651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690,016</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2,473,964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1,946,548</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0369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322" w:lineRule="exact"/>
        <w:rPr>
          <w:sz w:val="20"/>
          <w:szCs w:val="20"/>
          <w:color w:val="auto"/>
        </w:rPr>
      </w:pPr>
    </w:p>
    <w:p>
      <w:pPr>
        <w:ind w:left="340" w:right="280" w:hanging="332"/>
        <w:spacing w:after="0" w:line="282" w:lineRule="auto"/>
        <w:tabs>
          <w:tab w:leader="none" w:pos="338"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revenue from the United States of $605.3 million and $462.4 million for the three months ended September 30, 2025 and 2024, respectively, and $1,673.4 million and $1,293.5 million for the nine months ended September 30, 2025 and 2024,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 and Remaining Performance Obligations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Certain of the Company’s customers pay in advance of satisfaction of performance obligations and other customers with monthly contract terms are billed in arrears on a monthly basis. The Company records contract liabilities to deferred revenue when customers are billed or when the Company receives customer payments in advance of the performance obligations being satisfied on the Company’s contracts.</w:t>
      </w:r>
    </w:p>
    <w:p>
      <w:pPr>
        <w:spacing w:after="0" w:line="176" w:lineRule="exact"/>
        <w:rPr>
          <w:sz w:val="20"/>
          <w:szCs w:val="20"/>
          <w:color w:val="auto"/>
        </w:rPr>
      </w:pPr>
    </w:p>
    <w:p>
      <w:pPr>
        <w:jc w:val="both"/>
        <w:ind w:firstLine="486"/>
        <w:spacing w:after="0" w:line="289" w:lineRule="auto"/>
        <w:rPr>
          <w:sz w:val="20"/>
          <w:szCs w:val="20"/>
          <w:color w:val="auto"/>
        </w:rPr>
      </w:pPr>
      <w:r>
        <w:rPr>
          <w:rFonts w:ascii="Times New Roman" w:cs="Times New Roman" w:eastAsia="Times New Roman" w:hAnsi="Times New Roman"/>
          <w:sz w:val="17"/>
          <w:szCs w:val="17"/>
          <w:color w:val="auto"/>
        </w:rPr>
        <w:t>Revenue recognized during the three months ended September 30, 2025 and 2024, which was included in the deferred revenue balances at the beginning of each such period, was $459.3 million and $378.6 million, respectively. Revenue recognized during the nine months ended September 30, 2025 and 2024, which was included in the deferred revenue balances at the beginning of each such period was $870.8 million and $701.4 million, respectively.</w:t>
      </w:r>
    </w:p>
    <w:p>
      <w:pPr>
        <w:spacing w:after="0" w:line="15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 As of September 30, 2025 and December 31, 2024, the aggregate transaction price allocated to remaining performance obligations was $2,787.6 million and $2,273.1 million, respectively. There is uncertainty in the timing of revenues associated with the Company’s drawdown contracts, as future revenue can often vary significantly from past revenue. However, the Company expects to recognize substantially all of the remaining performance obligations over the next 24 months.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Accounts receivable deemed uncollectible are charged against the allowance for credit losses when identified. During the nine months ended September 30, 2025 and 2024, the Company charged $10.6 million and $6.8 million, respectively, of accounts receivable deemed uncollectible against the allowance for credit losses.</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Unbilled accounts receivable represents revenue recognized on contracts for which billings have not yet been presented to customers because the amounts were earned but not contractually billable as of the balance sheet date. The unbilled accounts receivable balance is due within one year. As of September 30, 2025 and December 31, 2024, unbilled accounts receivable of approximately $88.0 million and $77.0 million, respectively, was included in accounts receivable on the Company’s condensed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Sales commissions earned by the Company’s sales force are considered incremental and recoverable costs of obtaining a contract with a customer. These costs are deferred and then amortized over a period of benefit, which is determined to be four years. Amounts expected to be recognized within one year of the balance sheet date are recorded as deferred contract costs, current; the remaining portion is recorded as deferred contract costs, non-current, in the condensed consolidated balance sheets.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Deferred contract costs on the Company’s condensed consolidated balance sheets were $173.1 million and $142.7 million as of September 30, 2025 and December 31, 2024, respectively. Amortization expense was $17.3 million and $13.5</w:t>
      </w:r>
    </w:p>
    <w:p>
      <w:pPr>
        <w:sectPr>
          <w:pgSz w:w="11900" w:h="16838" w:orient="portrait"/>
          <w:cols w:equalWidth="0" w:num="1">
            <w:col w:w="11240"/>
          </w:cols>
          <w:pgMar w:left="320" w:top="1305"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color w:val="auto"/>
        </w:rPr>
        <w:t>million for the three months ended September 30, 2025 and 2024, respectively, and $48.1 million and $37.8 million for the nine months ended September 30, 2025 and 2024, respectively.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and Class B Common Stock</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has two classes of common stock, Class A and Class B. The rights of the holders of Class A and Class B common stock are identical, except with respect to voting and conversion. Each share of Class A common stock is entitled to one vote per share and each share of Class B common stock is entitled to ten votes per share. Shares of Class B common stock may be converted into Class A common stock at any time at the option of the stockholder and are automatically converted to Class A common stock upon sale or transfer, subject to certain limited exceptions.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2025, 155,060 shares and 1,098,431 shares of Class B common stock were converted into Class A common stock, respectively.</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September 30, 2025, the Company had authorized 2,000,000,000 shares of Class A common stock and 310,000,000 shares of Class B common stock, each at a par value per share of $0.00001, of which 325,117,580 shares of Class A common stock and 25,437,097 shares of Class B common stock were issued and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has two equity incentive plans, the 2012 Equity Incentive Plan (the “2012 Plan”) and the 2019 Equity Incentive Plan (the “2019 Plan”). In connection with the Company’s initial public offering of Class A common stock (the “IPO”), the Company ceased granting awards under the 2012 Plan, and all shares that remained available for issuance under the 2012 Plan at that time were transferred to the 2019 Plan. Additionally, as of September 30, 2025, there were 3,817,506 shares of Class A common stock issuable upon conversion of Class B common stock underlying options outstanding under the 2012 Plan. Under the 2019 Plan, the Board and any other committee or subcommittee of the Board may grant stock options, stock appreciation rights, restricted stock, restricted stock units (“RSUs”) and performance stock units (“PSUs”) and other awards, each equity award valued or based on the Company’s Class A common stock, to employees, directors, consultants and advisors of the Company. As of September 30, 2025, there were 95,556,809 shares available for grant under the 2019 Plan.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and weighted-average exercise prices: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5"/>
        </w:trPr>
        <w:tc>
          <w:tcPr>
            <w:tcW w:w="5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5"/>
        </w:trPr>
        <w:tc>
          <w:tcPr>
            <w:tcW w:w="5620" w:type="dxa"/>
            <w:vAlign w:val="bottom"/>
          </w:tcPr>
          <w:p>
            <w:pPr>
              <w:spacing w:after="0"/>
              <w:rPr>
                <w:sz w:val="15"/>
                <w:szCs w:val="15"/>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5"/>
                <w:szCs w:val="15"/>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6"/>
        </w:trPr>
        <w:tc>
          <w:tcPr>
            <w:tcW w:w="5620" w:type="dxa"/>
            <w:vAlign w:val="bottom"/>
          </w:tcPr>
          <w:p>
            <w:pPr>
              <w:spacing w:after="0"/>
              <w:rPr>
                <w:sz w:val="15"/>
                <w:szCs w:val="15"/>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5"/>
                <w:szCs w:val="15"/>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190"/>
        </w:trPr>
        <w:tc>
          <w:tcPr>
            <w:tcW w:w="562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160" w:type="dxa"/>
            <w:vAlign w:val="bottom"/>
          </w:tcPr>
          <w:p>
            <w:pPr>
              <w:spacing w:after="0"/>
              <w:rPr>
                <w:sz w:val="16"/>
                <w:szCs w:val="16"/>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562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43"/>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outstanding—December 31, 2024</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6,953,119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961,910</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(3,117,818)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forfeited or expired</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8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outstanding—September 30, 2025</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3,835,301</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519,104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56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Ending Exercisable—September 30, 2025</w:t>
            </w: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3,835,301</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7.05</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519,104</w:t>
            </w:r>
          </w:p>
        </w:tc>
      </w:tr>
      <w:tr>
        <w:trPr>
          <w:trHeight w:val="20"/>
        </w:trPr>
        <w:tc>
          <w:tcPr>
            <w:tcW w:w="5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September 30, 2025, there were 17,795 shares of Class A common stock and 3,817,506 shares of Class B common stock issuable upon the exercise of options outstanding. As of December 31, 2024, there were 17,795 shares of Class A common stock and 6,935,324 shares of Class B common stock issuable upon the exercise of options outstanding.</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were no options granted during the nine months ended September 30, 2025 and 2024. The Company received approximately $4.6 million and $5.2 million in cash proceeds from options exercised during the nine months ended September 30, 2025 and 2024, respectively. The intrinsic value of options exercised during the nine months ended September 30, 2025 and 2024 was approximately $372.0 million and $445.1 million, respectively.</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Restricted Stock and Performance Stock Units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activity for the Company’s unvested RSUs and PSUs: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Weighted-</w:t>
            </w:r>
          </w:p>
        </w:tc>
      </w:tr>
      <w:tr>
        <w:trPr>
          <w:trHeight w:val="176"/>
        </w:trPr>
        <w:tc>
          <w:tcPr>
            <w:tcW w:w="7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Average Grant Date</w:t>
            </w:r>
          </w:p>
        </w:tc>
      </w:tr>
      <w:tr>
        <w:trPr>
          <w:trHeight w:val="190"/>
        </w:trPr>
        <w:tc>
          <w:tcPr>
            <w:tcW w:w="7640" w:type="dxa"/>
            <w:vAlign w:val="bottom"/>
          </w:tcPr>
          <w:p>
            <w:pPr>
              <w:spacing w:after="0"/>
              <w:rPr>
                <w:sz w:val="16"/>
                <w:szCs w:val="16"/>
                <w:color w:val="auto"/>
              </w:rPr>
            </w:pPr>
          </w:p>
        </w:tc>
        <w:tc>
          <w:tcPr>
            <w:tcW w:w="166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15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37"/>
        </w:trPr>
        <w:tc>
          <w:tcPr>
            <w:tcW w:w="764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43"/>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2024</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13,806,700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116.09</w:t>
            </w: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6,903,847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116.12</w:t>
            </w:r>
          </w:p>
        </w:tc>
      </w:tr>
      <w:tr>
        <w:trPr>
          <w:trHeight w:val="27"/>
        </w:trPr>
        <w:tc>
          <w:tcPr>
            <w:tcW w:w="7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(4,265,877)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112.53</w:t>
            </w: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Forfeited/canceled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(1,082,634)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114.35</w:t>
            </w:r>
          </w:p>
        </w:tc>
      </w:tr>
      <w:tr>
        <w:trPr>
          <w:trHeight w:val="27"/>
        </w:trPr>
        <w:tc>
          <w:tcPr>
            <w:tcW w:w="76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r>
      <w:tr>
        <w:trPr>
          <w:trHeight w:val="288"/>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Balance—September 30, 2025</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15,362,036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117.21</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granted 771,355 restricted shares of Class A common stock in connection with acquisitions during the nine months ended September 30, 2025.</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Total compensation cost related to unvested RSUs and restricted shares of common stock not yet recognized was approximately $1,527.6 million and $1,378.1 million as of September 30, 2025 and December 31, 2024, respectively. The weighted-average period over which this compensation cost related to unvested RSUs and restricted shares of common stock will be recognized is 2.8 years as of September 30, 2025 and December 31, 2024.</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Total compensation cost related to unvested PSUs not yet recognized was approximately $112.2 million and $52.3 million as of September 30, 2025 and December 31, 2024, respectively. The weighted-average period over which this compensation cost related to unvested PSUs will be recognized is 1.4 years and 1.3 years as of September 30, 2025 and December 31,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September 2019, the Board adopted and approved the 2019 Employee Stock Purchase Plan (the “ESPP”).</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ESPP is implemented through a series of offerings under which eligible employees are granted purchase rights to purchase shares of the Company’s Class A common stock on specified dates during such offerings. Under the ESPP, the Company may specify offerings with durations of not more than 27 months and may specify shorter purchase periods within each offering. Historically offering periods have been approximately 6 months. On each purchase date, eligible employees will purchase the shares at a price per share equal to 85% of the lesser of (1) the fair market value of the Company’s Class A common stock on the first trading day of the offering period, or (2) the fair market value of the Company’s Class A common stock on the purchase date, as defined in the ESPP.</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recognized $4.8 million and $13.9 million of stock-based compensation expense related to the ESPP during the three and nine months ended September 30, 2025, respectively. As of September 30, 2025, $25.8 million has been withheld on behalf of employees for a future purchase under the ESPP due to the timing of payroll deductions. During the nine months ended September 30, 2025, the Company issued 287,014 shares of Class A common stock under the ESPP. As of September 30, 2025, 23,476,780 shares of Class A common stock remain available for grant under the ESPP.</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Company recognizes and measures compensation expense for all stock-based payment awards granted to employees, directors and nonemployees, including stock options, restricted stock units (“RSUs”), performance-based awards (“PSUs”), and the employee stock purchase plan (the “ESPP”) based on the fair value of the awards on the date of grant. The determination of the grant date fair value using an option-pricing model is affected by the estimated fair value of the Company’s common stock as well as assumptions regarding a number of other complex and subjective variables. These variables include expected stock price volatility over the expected term of the award, actual and projected employee stock option exercise behaviors, the risk-free interest rate for the expected term of the award and expected dividends. The fair value of RSUs and PSUs is determined by the closing price on the date of grant of the Company’s Class A common stock, as reported on the Nasdaq Global Select Market. The Company estimates the fair value of the rights to acquire stock under the ESPP using the Black-Scholes option-pricing model. Stock-based compensation for stock options and RSUs is recognized on a straight-line basis over the requisite service period and account for forfeitures as they occur. Stock-based compensation for PSUs is amortized under the accelerated attribution method and may be adjusted over the vesting period based on interim estimates of performance against pre-set objectives. PSUs will vest upon achievement of specified performance targets and subject to continuous service through the applicable vesting dates. The compensation cost is recognized over the requisite service period when it is probable that the performance condition will be satisfied and the Company accounts for forfeitures as they occur.</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also has certain options that have performance-based vesting conditions; stock-based compensation expense for such awards is recognized on a straight-line basis from the time the vesting condition is likely to be met through the time the vesting condition has been achieved.</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Stock-based compensation expense was included in the condensed consolidated statement of operations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4"/>
                <w:szCs w:val="14"/>
                <w:color w:val="auto"/>
              </w:rPr>
            </w:pPr>
          </w:p>
        </w:tc>
        <w:tc>
          <w:tcPr>
            <w:tcW w:w="238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6"/>
                <w:szCs w:val="16"/>
                <w:color w:val="auto"/>
              </w:rPr>
            </w:pPr>
          </w:p>
        </w:tc>
      </w:tr>
      <w:tr>
        <w:trPr>
          <w:trHeight w:val="51"/>
        </w:trPr>
        <w:tc>
          <w:tcPr>
            <w:tcW w:w="568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186"/>
        </w:trPr>
        <w:tc>
          <w:tcPr>
            <w:tcW w:w="5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6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44"/>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18,169</w:t>
            </w:r>
          </w:p>
        </w:tc>
      </w:tr>
      <w:tr>
        <w:trPr>
          <w:trHeight w:val="24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124,288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342,468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266,025</w:t>
            </w:r>
          </w:p>
        </w:tc>
      </w:tr>
      <w:tr>
        <w:trPr>
          <w:trHeight w:val="27"/>
        </w:trPr>
        <w:tc>
          <w:tcPr>
            <w:tcW w:w="5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113,030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88,481</w:t>
            </w:r>
          </w:p>
        </w:tc>
      </w:tr>
      <w:tr>
        <w:trPr>
          <w:trHeight w:val="24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68,315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39,200</w:t>
            </w:r>
          </w:p>
        </w:tc>
      </w:tr>
      <w:tr>
        <w:trPr>
          <w:trHeight w:val="27"/>
        </w:trPr>
        <w:tc>
          <w:tcPr>
            <w:tcW w:w="5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3"/>
        </w:trPr>
        <w:tc>
          <w:tcPr>
            <w:tcW w:w="5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net of amounts capitalized</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200,558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142,190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545,285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411,875</w:t>
            </w:r>
          </w:p>
        </w:tc>
      </w:tr>
      <w:tr>
        <w:trPr>
          <w:trHeight w:val="237"/>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stock-based compensation expense</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11,281</w:t>
            </w:r>
          </w:p>
        </w:tc>
      </w:tr>
      <w:tr>
        <w:trPr>
          <w:trHeight w:val="27"/>
        </w:trPr>
        <w:tc>
          <w:tcPr>
            <w:tcW w:w="5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89"/>
        </w:trPr>
        <w:tc>
          <w:tcPr>
            <w:tcW w:w="5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204,302</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146,565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560,648</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423,156</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Interest Income and Other Income,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income and other income, net consist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40" w:type="dxa"/>
            <w:vAlign w:val="bottom"/>
            <w:gridSpan w:val="4"/>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40" w:type="dxa"/>
            <w:vAlign w:val="bottom"/>
            <w:gridSpan w:val="4"/>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r>
      <w:tr>
        <w:trPr>
          <w:trHeight w:val="37"/>
        </w:trPr>
        <w:tc>
          <w:tcPr>
            <w:tcW w:w="56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6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43"/>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45,615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40,082</w:t>
            </w:r>
          </w:p>
        </w:tc>
        <w:tc>
          <w:tcPr>
            <w:tcW w:w="42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147,095</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112,758</w:t>
            </w: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loss, net</w:t>
            </w:r>
          </w:p>
        </w:tc>
        <w:tc>
          <w:tcPr>
            <w:tcW w:w="300" w:type="dxa"/>
            <w:vAlign w:val="bottom"/>
          </w:tcPr>
          <w:p>
            <w:pPr>
              <w:spacing w:after="0"/>
              <w:rPr>
                <w:sz w:val="21"/>
                <w:szCs w:val="21"/>
                <w:color w:val="auto"/>
              </w:rPr>
            </w:pPr>
          </w:p>
        </w:tc>
        <w:tc>
          <w:tcPr>
            <w:tcW w:w="10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8"/>
              </w:rPr>
              <w:t>(1,718)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(2,650)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(11,356)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w:t>
            </w:r>
          </w:p>
        </w:tc>
      </w:tr>
      <w:tr>
        <w:trPr>
          <w:trHeight w:val="27"/>
        </w:trPr>
        <w:tc>
          <w:tcPr>
            <w:tcW w:w="5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43,897</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37,432</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135,739</w:t>
            </w:r>
          </w:p>
        </w:tc>
        <w:tc>
          <w:tcPr>
            <w:tcW w:w="120" w:type="dxa"/>
            <w:vAlign w:val="bottom"/>
            <w:shd w:val="clear" w:color="auto" w:fill="CFF0FC"/>
          </w:tcPr>
          <w:p>
            <w:pPr>
              <w:spacing w:after="0"/>
              <w:rPr>
                <w:sz w:val="24"/>
                <w:szCs w:val="24"/>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109,647</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recorded a provision for income taxes of $1.8 million and $4.4 million for the three months ended September 30, 2025 and 2024, respectively, and a provision for income taxes of $12.4 million and $12.0 million for the nine months ended September 30, 2025 and 2024, respectively. The Company has generated U.S. operating income and has minimal profits in its foreign jurisdictions during the quarter.</w:t>
      </w:r>
    </w:p>
    <w:p>
      <w:pPr>
        <w:spacing w:after="0" w:line="174"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color w:val="auto"/>
        </w:rPr>
        <w:t xml:space="preserve">The Company has applied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and has determined that it has uncertain positions that would result in a tax reserve for each of the nine months ended September 30, 2025 and 2024. The Company’s policy is to recognize interest</w:t>
      </w:r>
    </w:p>
    <w:p>
      <w:pPr>
        <w:sectPr>
          <w:pgSz w:w="11900" w:h="16838" w:orient="portrait"/>
          <w:cols w:equalWidth="0" w:num="1">
            <w:col w:w="11240"/>
          </w:cols>
          <w:pgMar w:left="320" w:top="1305" w:right="33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23" w:name="page24"/>
    <w:bookmarkEnd w:id="2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and penalties related to uncertain income tax positions in income tax expense. The Company is subject to U.S. federal tax authority, U.S. state tax authority and foreign tax authority examinations.</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has evaluated the available evidence supporting the realization of its deferred tax assets, including the amount and timing of future taxable income, and has determined that it is more likely than not that its net deferred tax assets will not be realized in the United States. Due to uncertainties surrounding the realization of the deferred tax assets, the Company recorded a full valuation allowance against substantially all of its net deferred tax assets. When the Company determines that it will be able to realize some portion or all of its deferred tax assets, an adjustment to its valuation allowance on its deferred tax assets would have the effect of increasing net income in the period such determination is made.</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United States. The OBBBA permanently extends certain provisions of the Tax Cuts and Jobs Act, including 100% bonus depreciation for certain qualified property, and reverses the requirement to capitalize and amortize domestic research and experimentation (“R&amp;E”) expenses. As a result, for tax years beginning after December 31, 2024, taxpayers may deduct such expenses in the year incurred. The legislation also introduced an election to accelerate any unamortized domestic R&amp;E expenditures over a one- or two-year period beginning with the 2025 tax year and includes modifications to the international tax framework.</w:t>
      </w:r>
    </w:p>
    <w:p>
      <w:pPr>
        <w:spacing w:after="0" w:line="181"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ASC 740,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the Company has reflected the effects of the OBBBA in its financial statements for the quarter ended September 30, 2025. The enactment of the OBBBA reduced the Company’s forecasted U.S. income tax expense for 2025. The legislation did not impact the Company’s U.S. net deferred tax assets or liabilities, as a full valuation allowance continues to be maintained against those balances.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Net Income Per Share</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Basic and diluted net income per common share is presented in conformity with the two-class method required for participating securities. Basic and diluted net income per share is computed using the weighted-average number of shares of common stock outstanding during the period. The undistributed earnings are allocated based on the contractual participation rights of the Class A and Class B common stock as if the earnings for the year have been distributed. As the liquidation and dividend rights are identical, the undistributed earnings are allocated on a proportionate basis. Further, as the conversion of Class B common stock is assumed in the computation of the diluted net income per share of Class A common stock, the undistributed earnings are equal to net income for that computation.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4" w:name="page25"/>
    <w:bookmarkEnd w:id="24"/>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income per share (in thousands, except per share data):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0"/>
        </w:trPr>
        <w:tc>
          <w:tcPr>
            <w:tcW w:w="2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50"/>
        </w:trPr>
        <w:tc>
          <w:tcPr>
            <w:tcW w:w="27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3"/>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3"/>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3"/>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3"/>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186"/>
        </w:trPr>
        <w:tc>
          <w:tcPr>
            <w:tcW w:w="2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Pr>
          <w:p>
            <w:pPr>
              <w:spacing w:after="0"/>
              <w:rPr>
                <w:sz w:val="16"/>
                <w:szCs w:val="16"/>
                <w:color w:val="auto"/>
              </w:rPr>
            </w:pPr>
          </w:p>
        </w:tc>
      </w:tr>
      <w:tr>
        <w:trPr>
          <w:trHeight w:val="37"/>
        </w:trPr>
        <w:tc>
          <w:tcPr>
            <w:tcW w:w="27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23"/>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Class B</w:t>
            </w:r>
          </w:p>
        </w:tc>
      </w:tr>
      <w:tr>
        <w:trPr>
          <w:trHeight w:val="213"/>
        </w:trPr>
        <w:tc>
          <w:tcPr>
            <w:tcW w:w="2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Numerator:</w:t>
            </w: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r>
      <w:tr>
        <w:trPr>
          <w:trHeight w:val="253"/>
        </w:trPr>
        <w:tc>
          <w:tcPr>
            <w:tcW w:w="2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31,408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47,688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56,648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127,401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10,751</w:t>
            </w:r>
          </w:p>
        </w:tc>
      </w:tr>
      <w:tr>
        <w:trPr>
          <w:trHeight w:val="233"/>
        </w:trPr>
        <w:tc>
          <w:tcPr>
            <w:tcW w:w="2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Denominator:</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12"/>
        </w:trPr>
        <w:tc>
          <w:tcPr>
            <w:tcW w:w="2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Weighted-average shares used in</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43"/>
        </w:trPr>
        <w:tc>
          <w:tcPr>
            <w:tcW w:w="2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calculating net income per share, basic</w:t>
            </w: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323,159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25,486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311,388</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26,174</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320,410</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25,602</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308,727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26,052</w:t>
            </w:r>
          </w:p>
        </w:tc>
      </w:tr>
      <w:tr>
        <w:trPr>
          <w:trHeight w:val="230"/>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0.41</w:t>
            </w:r>
          </w:p>
        </w:tc>
      </w:tr>
      <w:tr>
        <w:trPr>
          <w:trHeight w:val="20"/>
        </w:trPr>
        <w:tc>
          <w:tcPr>
            <w:tcW w:w="27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9"/>
        </w:trPr>
        <w:tc>
          <w:tcPr>
            <w:tcW w:w="2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33"/>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53"/>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Numerator:</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02"/>
        </w:trPr>
        <w:tc>
          <w:tcPr>
            <w:tcW w:w="27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Allocation of distributed income, net</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4"/>
        </w:trPr>
        <w:tc>
          <w:tcPr>
            <w:tcW w:w="2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of interest expense and related tax</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32,137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47,688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59,385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4,745</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127,401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10,751</w:t>
            </w:r>
          </w:p>
        </w:tc>
      </w:tr>
      <w:tr>
        <w:trPr>
          <w:trHeight w:val="212"/>
        </w:trPr>
        <w:tc>
          <w:tcPr>
            <w:tcW w:w="2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Reallocation of undistributed net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189"/>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as a result of conversion of</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37"/>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Class B to Class A shares</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27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Allocation of undistributed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34,672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51,697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64,130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4,745</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138,152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10,751</w:t>
            </w:r>
          </w:p>
        </w:tc>
      </w:tr>
      <w:tr>
        <w:trPr>
          <w:trHeight w:val="20"/>
        </w:trPr>
        <w:tc>
          <w:tcPr>
            <w:tcW w:w="27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10"/>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Denominator:</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02"/>
        </w:trPr>
        <w:tc>
          <w:tcPr>
            <w:tcW w:w="2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Number of shares used in basic</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4"/>
        </w:trPr>
        <w:tc>
          <w:tcPr>
            <w:tcW w:w="2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calculation</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323,159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311,388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320,410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25,602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308,727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26,052</w:t>
            </w:r>
          </w:p>
        </w:tc>
      </w:tr>
      <w:tr>
        <w:trPr>
          <w:trHeight w:val="212"/>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Weighted-average effect of diluted</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3"/>
        </w:trPr>
        <w:tc>
          <w:tcPr>
            <w:tcW w:w="2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securities:</w:t>
            </w: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r>
      <w:tr>
        <w:trPr>
          <w:trHeight w:val="202"/>
        </w:trPr>
        <w:tc>
          <w:tcPr>
            <w:tcW w:w="2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Conversion of Class B to Class A</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4"/>
        </w:trPr>
        <w:tc>
          <w:tcPr>
            <w:tcW w:w="2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common shares outstanding</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Employee stock options</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2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Restricted stock units and</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43"/>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performance stock units</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2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Unvested restricted stock in</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4"/>
        </w:trPr>
        <w:tc>
          <w:tcPr>
            <w:tcW w:w="2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connection with acquisition</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Shares issuable upon conversion of</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43"/>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the 2025 Notes</w:t>
            </w: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2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Shares issuable upon conversion of</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40"/>
        </w:trPr>
        <w:tc>
          <w:tcPr>
            <w:tcW w:w="2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the 2029 Notes</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276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Number of shares used in diluted</w:t>
            </w: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r>
      <w:tr>
        <w:trPr>
          <w:trHeight w:val="237"/>
        </w:trPr>
        <w:tc>
          <w:tcPr>
            <w:tcW w:w="2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calculation</w:t>
            </w:r>
          </w:p>
        </w:tc>
        <w:tc>
          <w:tcPr>
            <w:tcW w:w="1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362,001</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25,486</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357,635</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26,174</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361,905</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25,602</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357,331</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26,052</w:t>
            </w:r>
          </w:p>
        </w:tc>
      </w:tr>
      <w:tr>
        <w:trPr>
          <w:trHeight w:val="243"/>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0.41</w:t>
            </w:r>
          </w:p>
        </w:tc>
      </w:tr>
      <w:tr>
        <w:trPr>
          <w:trHeight w:val="20"/>
        </w:trPr>
        <w:tc>
          <w:tcPr>
            <w:tcW w:w="2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Potentially dilutive securities that were not included in the diluted per share calculations because they would be anti-dilutive were as follows (in thousands):</w:t>
      </w:r>
    </w:p>
    <w:p>
      <w:pPr>
        <w:spacing w:after="0" w:line="88"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4"/>
          <w:szCs w:val="14"/>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41910</wp:posOffset>
            </wp:positionV>
            <wp:extent cx="17487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4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5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subject to outstanding stock options, RSUs and PSUs</w:t>
            </w:r>
          </w:p>
        </w:tc>
        <w:tc>
          <w:tcPr>
            <w:tcW w:w="9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23"/>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1"/>
        </w:trPr>
        <w:tc>
          <w:tcPr>
            <w:tcW w:w="8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uses the if-converted method for calculating any potential dilutive effect of the conversion options embedded in the Notes on diluted net income per share.</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25" w:name="page26"/>
    <w:bookmarkEnd w:id="25"/>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entered into Capped Calls in connection with the issuance of the Notes. The effect of the Capped Calls was excluded from the calculation of diluted net income per share as the effect of the Capped Calls would have been anti-dilutive. In connection with the maturity of the 2025 Notes, the Company received shares from the relevant option counterparties, which resulted in no dilution to the Company’s Class A common stock.</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in our Annual Report on Form 10-K for the fiscal year ended December 31, 2024, or the Annual Report.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for a discussion of important factors that could cause our actual results to differ materially from those anticipated in these forward-looking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Datadog is the observability and security platform for cloud applications.</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SaaS platform integrates and automates infrastructure monitoring, application performance monitoring, log management, user experience monitoring, cloud security, and many other capabilities to provide unified, real-time observability and security for our customers’ entire technology stack. Datadog is used by organizations of all sizes and across a wide range of industries to enable digital transformation and cloud migration, drive collaboration among development, operations, security and business teams, accelerate time to market for applications, reduce time to problem resolution, secure applications and infrastructure, understand user behavior and track key business metrics.</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generate revenue from the sale of subscriptions to customers using our cloud-based platform. The terms of our subscription agreements are primarily monthly or annual. Customers also have the option to purchase additional products, such as additional containers to monitor, custom metrics packages, anomaly detection and app analytics. Professional services are generally not required for the implementation of our products and revenue from such services has been immaterial to date.</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employ a land-and-expand business model centered around offering products that are easy to adopt and have a very short time to value. Our customers can expand their footprint with us on a self-service basis. Our customers often significantly increase their usage of the products they initially buy from us and expand their usage to other products we offer on our platform. We grow with our customers as they expand their workloads in the public and private cloud.</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of September 30, 2025, we had $540.6 million in cash and cash equivalents and $3.6 billion in marketable securities. We generated revenue of $885.7 million and $690.0 million in the three months ended September 30, 2025 and 2024, respectively, representing year-over-year growth of 28%. For the nine months ended September 30, 2025 and 2024, our revenue was $2,474.0 million and $1,946.5 million, respectively, representing year-over-year growth of 27%. Substantially all of our revenue is from subscription software sales. While we have continued to make significant expenditures and investments, including in personnel-related costs, sales and marketing, infrastructure and operations, we generated net income of $33.9 million and $51.7 million for the three months ended September 30, 2025 and 2024, respectively, and $61.2 million and $138.2 million for the nine months ended September 30, 2025 and 2024, respectively. Our operating cash flow was $723.1 million and $605.4 million for the nine months ended September 30, 2025 and 2024, respectively. Our free cash flow was $623.7 million and $534.1 million for the nine months ended September 30, 2025 and 2024, respectively. See the section titled “—Liquidity and Capital Resources—Non-GAAP Free Cash Flow” below.</w:t>
      </w:r>
    </w:p>
    <w:p>
      <w:pPr>
        <w:spacing w:after="0" w:line="18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Unfavorable conditions in the economy both in the United States and abroad may negatively affect the growth of our business and our results of operations. For example, macroeconomic events including changes in trade policies, such as trade wars, tariffs or other trade restrictions or the threat of such actions, fluctuating inflation and interest rates, and the conflicts in Ukraine and the Middle East have led to economic uncertainty. Historically, during periods of economic uncertainty and downturns, businesses may slow spending on information technology, which may impact our business and our customers’ businesses.</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Due to our subscription model, the effect of macroeconomic conditions may not be fully reflected in our results of operations until future periods. However, if economic uncertainty increases or the global economy worsens, our business, financial condition and results of operations may be harmed. For further discussion of the potential impacts of macroeconomic events on our business, financial condition, and operating results, see “Risk Factors” included in Part II, Item 1A of this report.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Acquiring New Customers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believe there is substantial opportunity to continue to grow our customer base. We intend to drive new customer acquisition by continuing to invest significantly in sales and marketing to engage our prospective customers, increase brand awareness and drive adoption of our platform and products. We also plan to continue to invest in building brand awareness within the development and operations communities. As of September 30, 2025, we had approximately 32,000 customers spanning organizations of a broad range of sizes and industries, compared to approximately 29,200 as of September 30, 2024. Our ability to attract new customers will depend on a number of factors, including the effectiveness and pricing of our products, offerings of our competitors and the effectiveness of our marketing efforts.</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define the number of customers as the number of accounts with a unique account identifier for which we have an active subscription in the period indicated. Users of our free trials or tier are not included in our customer count. A single organization with multiple divisions, segments or subsidiaries is generally counted as a single customer. However, in some cases where they have separate billing terms, we may count separate divisions, segments or subsidiaries as multiple customers.</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Expanding Within Our Existing Customer Base</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base of customers represents a significant opportunity for further sales expansion. As of September 30, 2025, we had approximately 4,060 customers with annual run-rate revenue, or ARR, of $100,000 or more, representing 89% of our ARR, up from 3,490 customers as of September 30, 2024, representing 88% of our ARR. We monitor our number of customers with ARR of $100,000 or more, and believe it is useful to investors, as an indicator of our ability to grow the number of customers that are exceeding this ARR threshold. We define ARR as the annual run-rate revenue of subscription agreements from all customers at a point in time. We calculate ARR by taking the monthly run-rate revenue, or MRR, and multiplying it by 12. MRR for each month is calculated by aggregating, for all customers during that month, monthly revenue from committed contractual amounts, additional usage, usage from subscriptions for a committed contractual amount of usage that is delivered as used and monthly subscriptions. ARR and MRR should be viewed independently of revenue, and do not represent our revenue under GAAP on a monthly or annualized basis, as they are operating metrics that can be impacted by contract start and end dates and renewal rates. ARR and MRR are not intended to be replacements or forecasts of revenue.</w:t>
      </w:r>
    </w:p>
    <w:p>
      <w:pPr>
        <w:spacing w:after="0" w:line="18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 further indication of the propensity of our customer relationships to expand over time is our dollar-based net retention rate, which compares our ARR from the same set of customers in one period, relative to the year-ago period. As of September 30, 2025, our trailing 12-month dollar-based net retention rate was about 120%. As of September 30, 2024, our trailing 12-month dollar-based net retention rate was mid-110%'s. The increase in our trailing 12-month dollar-based net retention rate was attributable to increased usage growth from existing customers. We calculate dollar-based net retention rate as of a period end by starting with the ARR from the cohort of all customers as of 12 months prior to such period-end, or the Prior Period ARR. We then calculate the ARR from these same customers as of the current period-end, or the Current Period ARR. Current Period ARR includes any expansion and is net of contraction or attrition over the last 12 months but excludes ARR from new customers in the current period. We then divide the total Current Period ARR by the total Prior Period ARR to arrive at the point-in-time dollar-based net retention rate. We then calculate the weighted average of the trailing 12-month point-in-time dollar-based net retention rates, to arrive at the trailing 12-month dollar-based net retention rate.</w:t>
      </w:r>
    </w:p>
    <w:p>
      <w:pPr>
        <w:spacing w:after="0" w:line="18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believe that our land-and-expand business model allows us to efficiently increase revenue from our existing customer base. Our customers often expand the deployment of our platform across large teams and more broadly within the enterprise as they migrate more workloads to the cloud, find new use cases for our platform, and generally realize the benefits of our platform. We intend to continue to invest in enhancing awareness of our brand and developing more products, features and functionality, which we believe are important factors to achieve widespread adoption of our platform. Our ability to increase sales to existing customers will depend on a number of factors, including our customers’ satisfaction with our solution, competition, pricing and overall changes in our customers’ spending levels.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8" w:name="page29"/>
    <w:bookmarkEnd w:id="28"/>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Sustaining Innovation and Technology Leadership</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success is dependent on our ability to sustain innovation and technology leadership in order to maintain our competitive advantage. We believe that we have built a highly differentiated platform that will position us to further extend the adoption of our platform and products. Datadog is frequently deployed across a customer’s entire infrastructure, making it ubiquitous. Datadog is a daily part of the lives of developers, operations engineers and business leaders. We employ a land-and-expand business model centered around offering products that are easy to adopt and have a very short time to value. Our efficient go-to-market model enables us to prioritize significant investment in innovation. We have demonstrated the success of our platform approach, through expansion beyond our initial infrastructure monitoring solution to include over 20 products. Approximately 84% of our customers were using two or more products as of September 30, 2025, consistent with approximately 83% a year earlier. Additionally, as of September 30, 2025, approximately 54% of our customers were using four or more products, up from approximately 49% a year earlier, approximately 31% of our customers were using six or more products, up from 26% a year earlier, and approximately 16% of our customers were using eight or more products, up from 12% a year earlier. We believe these metrics indicate strong expansion of product adoption across our platform.</w:t>
      </w:r>
    </w:p>
    <w:p>
      <w:pPr>
        <w:spacing w:after="0" w:line="19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intend to continue to invest in building additional products, features and functionality that expand our capabilities and facilitate the extension of our platform to new use cases. We also intend to continue to evaluate strategic acquisitions and investments in businesses and technologies to drive product and market expansion. Our future success is dependent on our ability to successfully develop, market and sell existing and new products to both new and existing customers.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Expanding Internationally</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believe there is a significant opportunity to expand usage of our platform outside of North America. Revenue, as determined based on the billing address of our customers, from regions outside of North America was approximately 29% and 30% of our total revenue for the nine months ended September 30, 2025 and 2024, respectively. In addition, we have made and plan to continue to make significant investments to expand geographically, particularly in EMEA and APAC. Although these investments may adversely affect our operating results in the near term, we believe that they will contribute to our long-term growth. Beyond North America, we now have sales presence internationally, primarily in Amsterdam, Dublin, London, Paris, Seoul, Singapore, Sydney, and Tokyo.</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Tax Law Changes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United States. The OBBBA makes permanent several provisions of the Tax Cuts and Jobs Act, including 100% bonus depreciation for certain qualified property, and reverses the requirement under the Tax Cuts and Jobs Act to capitalize and amortize domestic research and experimentation (“R&amp;E”) expenses. Beginning with tax years after December 31, 2024, taxpayers may again deduct such expenses in the year incurred. The OBBBA also introduced an election to accelerate any unamortized domestic R&amp;E expenditures over a one- or two-year period beginning with the 2025 tax year and includes modifications to the international tax framework.</w:t>
      </w:r>
    </w:p>
    <w:p>
      <w:pPr>
        <w:spacing w:after="0" w:line="208"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ASC 740,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the impacts of the OBBBA are reflected in the Company’s results for the quarter ended September 30, 2025. The enactment of the OBBBA reduced the Company’s forecasted U.S. income tax expense for 2025. These changes did not affect the Company’s U.S. net deferred tax assets or liabilities, as the Company continues to maintain a full valuation allowance against those balances.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generate revenue from the sale of subscriptions to customers using our cloud-based platform. The terms of our subscription agreements are primarily monthly, annual or multi-year, with the majority of our revenue coming from annual subscriptions. Our customers can enter into a subscription for a committed contractual amount of usage that is apportioned ratably on a monthly basis over the term of the subscription period, a subscription for a committed contractual amount of usage that is delivered as used, or a monthly subscription based on usage. To the extent that our customers’ usage exceeds the committed contracted amounts under their subscriptions, either on a monthly basis in the case of a ratable subscription or once the entire commitment is used in the case of a delivered-as-used subscription, they are charged for their incremental usage.</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Usage is measured primarily by the number of hosts or by the volume of data indexed. A host is generally defined as a server, either in the cloud or on-premise. Our infrastructure monitoring, APM and </w:t>
      </w:r>
      <w:r>
        <w:rPr>
          <w:rFonts w:ascii="Times New Roman" w:cs="Times New Roman" w:eastAsia="Times New Roman" w:hAnsi="Times New Roman"/>
          <w:sz w:val="18"/>
          <w:szCs w:val="18"/>
          <w:color w:val="333333"/>
        </w:rPr>
        <w:t>network performance monitoring</w:t>
      </w:r>
      <w:r>
        <w:rPr>
          <w:rFonts w:ascii="Times New Roman" w:cs="Times New Roman" w:eastAsia="Times New Roman" w:hAnsi="Times New Roman"/>
          <w:sz w:val="18"/>
          <w:szCs w:val="18"/>
          <w:color w:val="auto"/>
        </w:rPr>
        <w:t xml:space="preserve"> products are priced per host, our logs product is priced primarily per log events indexed and secondarily by events ingested. </w:t>
      </w:r>
      <w:r>
        <w:rPr>
          <w:rFonts w:ascii="Times New Roman" w:cs="Times New Roman" w:eastAsia="Times New Roman" w:hAnsi="Times New Roman"/>
          <w:sz w:val="18"/>
          <w:szCs w:val="18"/>
          <w:color w:val="333333"/>
        </w:rPr>
        <w:t>Customers</w:t>
      </w:r>
    </w:p>
    <w:p>
      <w:pPr>
        <w:sectPr>
          <w:pgSz w:w="11900" w:h="16838" w:orient="portrait"/>
          <w:cols w:equalWidth="0" w:num="1">
            <w:col w:w="11240"/>
          </w:cols>
          <w:pgMar w:left="320" w:top="1305"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29" w:name="page30"/>
    <w:bookmarkEnd w:id="29"/>
    <w:p>
      <w:pPr>
        <w:jc w:val="both"/>
        <w:ind w:right="20"/>
        <w:spacing w:after="0" w:line="282" w:lineRule="auto"/>
        <w:rPr>
          <w:sz w:val="20"/>
          <w:szCs w:val="20"/>
          <w:color w:val="auto"/>
        </w:rPr>
      </w:pPr>
      <w:r>
        <w:rPr>
          <w:rFonts w:ascii="Times New Roman" w:cs="Times New Roman" w:eastAsia="Times New Roman" w:hAnsi="Times New Roman"/>
          <w:sz w:val="18"/>
          <w:szCs w:val="18"/>
          <w:color w:val="333333"/>
        </w:rPr>
        <w:t>also have the option to purchase additional products, such as additional container or serverless monitoring, custom metrics packages, anomaly detection, synthetic monitoring and app analytics.</w:t>
      </w:r>
    </w:p>
    <w:p>
      <w:pPr>
        <w:spacing w:after="0" w:line="16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the case of subscriptions for committed contractual amounts of usage, revenue is recognized ratably over the term of the subscription agreement, generally beginning on the date that our platform is made available to a customer. As a result, much of our revenue is generated from subscriptions entered into during previous periods. Consequently,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the case of a subscription for a committed contractual amount of usage that is delivered as used, a monthly subscription based on usage, or usage in excess of a ratable subscription, we recognize revenue as the product is used, which may lead to fluctuations in our revenue and results of operations. In addition, historically, we have experienced seasonality in new customer bookings, as we typically enter into a higher percentage of subscription agreements with new customers in the fourth quarter of the year.</w:t>
      </w:r>
    </w:p>
    <w:p>
      <w:pPr>
        <w:spacing w:after="0" w:line="18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Due to ease of implementation of our products, professional services generally are not required and revenue from such services has been immaterial to date.</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Cost of revenue primarily consists of expenses related to providing our products to customers, including payments to our third-party cloud infrastructure providers for hosting our software, personnel-related expenses for operations and global support, including salaries, benefits, bonuses and stock-based compensation, payment processing fees, information technology, depreciation and amortization related to the amortization of acquired intangibles and internal-use software and other overhead costs such as allocated facilities.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intend to continue to invest additional resources in our platform infrastructure and our customer support and success organizations to expand the capability of our platform and ensure that our customers are realizing the full benefit of our platform and products. The level, timing and relative investment in our infrastructure could affect our cost of revenue in the future.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Gross profit represents revenue less cost of revenue. Gross margin is gross profit expressed as a percentage of revenue. Our gross margin may fluctuate from period to period as our revenue fluctuates, and as a result of the timing and amount of investments to expand our products and geographical coverage.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sales and marketing and general and administrative expenses. Personnel costs are the most significant component of operating expenses and consist of salaries, benefits, bonuses, stock-based compensation expense and sales commissions. Operating expenses also include overhead costs for facilities and shared IT-related expenses, including depreciation expense.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consists primarily of personnel costs for our engineering, service and design teams. Additionally, research and development expense includes contractor fees, depreciation and amortization and allocated overhead costs. Research and development costs are expensed as incurred, with the exception of certain software development costs which are eligible for capitalization. We expect that our research and development expense will increase in absolute dollars as our business grows, particularly as we incur additional costs related to continued investments in our platform.</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Sales and marketing expense consists primarily of personnel costs for our sales and marketing organization, costs of general marketing and promotional activities, including the free tier and free introductory trials of our products, travel-related expenses, amortization of acquired customer relationships, and allocated overhead costs. Sales commissions earned by our sales force are deferred and amortized on a straight-line basis over the expected period of benefit, which we have determined to be four years. We expect that our sales and marketing expense will increase in absolute dollars as we expand our sales and marketing efforts.</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30" w:name="page31"/>
    <w:bookmarkEnd w:id="30"/>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consists primarily of personnel costs for finance, legal, human resources, and other administrative functions. In addition, general and administrative expense includes non-personnel costs, such as legal, accounting and other professional fees, hardware and software costs, certain tax, license and insurance-related expenses and allocated overhead costs. We expect that our general and administrative expense will increase in absolute dollars as our business grows.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Other income, net consists of interest income, primarily due to income earned on money market funds included in cash and cash equivalents and on marketable securities, partially offset by interest expense due on the Notes and amortization of premiums on our marketable securities.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Provision for income taxes consists of U.S. federal and state income taxes and income taxes in certain foreign jurisdictions in which we conduct business. We recorded a full valuation allowance on our federal and state deferred tax assets as we have concluded that it is not more likely than not that the deferred tax assets will be realized.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for the periods indicated: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230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5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r>
      <w:tr>
        <w:trPr>
          <w:trHeight w:val="196"/>
        </w:trPr>
        <w:tc>
          <w:tcPr>
            <w:tcW w:w="5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7"/>
        </w:trPr>
        <w:tc>
          <w:tcPr>
            <w:tcW w:w="5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885,651</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690,016</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2,473,964</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1,946,548</w:t>
            </w:r>
          </w:p>
        </w:tc>
      </w:tr>
      <w:tr>
        <w:trPr>
          <w:trHeight w:val="27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21"/>
                <w:szCs w:val="21"/>
                <w:color w:val="auto"/>
                <w:vertAlign w:val="superscript"/>
              </w:rPr>
              <w:t>(1)(2)(3)</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176,457</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137,756</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500,063</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371,353</w:t>
            </w:r>
          </w:p>
        </w:tc>
      </w:tr>
      <w:tr>
        <w:trPr>
          <w:trHeight w:val="25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709,194</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552,260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1,973,901</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1,575,195</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1"/>
                <w:szCs w:val="21"/>
                <w:color w:val="auto"/>
                <w:vertAlign w:val="superscript"/>
              </w:rPr>
              <w:t>(1)(3)</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401,982</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291,802</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1,130,525</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836,389</w:t>
            </w:r>
          </w:p>
        </w:tc>
      </w:tr>
      <w:tr>
        <w:trPr>
          <w:trHeight w:val="270"/>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1"/>
                <w:szCs w:val="21"/>
                <w:color w:val="auto"/>
                <w:vertAlign w:val="superscript"/>
              </w:rPr>
              <w:t>(1)(2)(3)</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238,729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187,772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692,046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548,658</w:t>
            </w:r>
          </w:p>
        </w:tc>
      </w:tr>
      <w:tr>
        <w:trPr>
          <w:trHeight w:val="270"/>
        </w:trPr>
        <w:tc>
          <w:tcPr>
            <w:tcW w:w="5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1"/>
                <w:szCs w:val="21"/>
                <w:color w:val="auto"/>
                <w:vertAlign w:val="superscript"/>
              </w:rPr>
              <w:t>(1)(3)(4)</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74,292</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52,408</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205,059</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145,256</w:t>
            </w:r>
          </w:p>
        </w:tc>
      </w:tr>
      <w:tr>
        <w:trPr>
          <w:trHeight w:val="250"/>
        </w:trPr>
        <w:tc>
          <w:tcPr>
            <w:tcW w:w="56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715,003</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531,982</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2,027,630</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1,530,303</w:t>
            </w:r>
          </w:p>
        </w:tc>
      </w:tr>
      <w:tr>
        <w:trPr>
          <w:trHeight w:val="25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20,278</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(53,729)</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44,892</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1"/>
                <w:szCs w:val="21"/>
                <w:color w:val="auto"/>
                <w:vertAlign w:val="superscript"/>
              </w:rPr>
              <w:t>(5)</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(8,459)</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w:t>
            </w:r>
          </w:p>
        </w:tc>
      </w:tr>
      <w:tr>
        <w:trPr>
          <w:trHeight w:val="270"/>
        </w:trPr>
        <w:tc>
          <w:tcPr>
            <w:tcW w:w="56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43,897</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37,432</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135,739</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109,647</w:t>
            </w:r>
          </w:p>
        </w:tc>
      </w:tr>
      <w:tr>
        <w:trPr>
          <w:trHeight w:val="250"/>
        </w:trPr>
        <w:tc>
          <w:tcPr>
            <w:tcW w:w="5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41,476</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35,858</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127,280</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105,222</w:t>
            </w:r>
          </w:p>
        </w:tc>
      </w:tr>
      <w:tr>
        <w:trPr>
          <w:trHeight w:val="25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56,136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73,551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150,114</w:t>
            </w:r>
          </w:p>
        </w:tc>
      </w:tr>
      <w:tr>
        <w:trPr>
          <w:trHeight w:val="2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12,377</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11,962</w:t>
            </w: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33,885</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51,697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61,174</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138,152</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1"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stock-based compensation expense as follows: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1289050</wp:posOffset>
            </wp:positionV>
            <wp:extent cx="531495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149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Cost of revenue</w:t>
      </w:r>
      <w:r>
        <w:rPr>
          <w:sz w:val="20"/>
          <w:szCs w:val="20"/>
          <w:color w:val="auto"/>
        </w:rPr>
        <w:tab/>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531495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1495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5314950" cy="1968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14950" cy="196850"/>
                    </a:xfrm>
                    <a:prstGeom prst="rect">
                      <a:avLst/>
                    </a:prstGeom>
                    <a:noFill/>
                  </pic:spPr>
                </pic:pic>
              </a:graphicData>
            </a:graphic>
          </wp:anchor>
        </w:drawing>
      </w:r>
    </w:p>
    <w:p>
      <w:pPr>
        <w:spacing w:after="0" w:line="57" w:lineRule="exact"/>
        <w:rPr>
          <w:sz w:val="20"/>
          <w:szCs w:val="20"/>
          <w:color w:val="auto"/>
        </w:rPr>
      </w:pPr>
    </w:p>
    <w:p>
      <w:pPr>
        <w:ind w:left="220"/>
        <w:spacing w:after="0"/>
        <w:tabs>
          <w:tab w:leader="none" w:pos="5620" w:val="left"/>
        </w:tabs>
        <w:rPr>
          <w:sz w:val="20"/>
          <w:szCs w:val="20"/>
          <w:color w:val="auto"/>
        </w:rPr>
      </w:pPr>
      <w:r>
        <w:rPr>
          <w:rFonts w:ascii="Times New Roman" w:cs="Times New Roman" w:eastAsia="Times New Roman" w:hAnsi="Times New Roman"/>
          <w:sz w:val="18"/>
          <w:szCs w:val="18"/>
          <w:color w:val="auto"/>
        </w:rPr>
        <w:t>Total</w:t>
      </w:r>
      <w:r>
        <w:rPr>
          <w:sz w:val="20"/>
          <w:szCs w:val="20"/>
          <w:color w:val="auto"/>
        </w:rPr>
        <w:tab/>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1"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amortization of acquired intangibles expense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673735</wp:posOffset>
            </wp:positionV>
            <wp:extent cx="531495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149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Cost of revenue</w:t>
      </w:r>
      <w:r>
        <w:rPr>
          <w:sz w:val="20"/>
          <w:szCs w:val="20"/>
          <w:color w:val="auto"/>
        </w:rPr>
        <w:tab/>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5314950" cy="1974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14950" cy="197485"/>
                    </a:xfrm>
                    <a:prstGeom prst="rect">
                      <a:avLst/>
                    </a:prstGeom>
                    <a:noFill/>
                  </pic:spPr>
                </pic:pic>
              </a:graphicData>
            </a:graphic>
          </wp:anchor>
        </w:drawing>
      </w:r>
    </w:p>
    <w:p>
      <w:pPr>
        <w:spacing w:after="0" w:line="57" w:lineRule="exact"/>
        <w:rPr>
          <w:sz w:val="20"/>
          <w:szCs w:val="20"/>
          <w:color w:val="auto"/>
        </w:rPr>
      </w:pPr>
    </w:p>
    <w:p>
      <w:pPr>
        <w:ind w:left="220"/>
        <w:spacing w:after="0"/>
        <w:tabs>
          <w:tab w:leader="none" w:pos="5640" w:val="left"/>
        </w:tabs>
        <w:rPr>
          <w:sz w:val="20"/>
          <w:szCs w:val="20"/>
          <w:color w:val="auto"/>
        </w:rPr>
      </w:pPr>
      <w:r>
        <w:rPr>
          <w:rFonts w:ascii="Times New Roman" w:cs="Times New Roman" w:eastAsia="Times New Roman" w:hAnsi="Times New Roman"/>
          <w:sz w:val="18"/>
          <w:szCs w:val="18"/>
          <w:color w:val="auto"/>
        </w:rPr>
        <w:t>Total</w:t>
      </w:r>
      <w:r>
        <w:rPr>
          <w:sz w:val="20"/>
          <w:szCs w:val="20"/>
          <w:color w:val="auto"/>
        </w:rPr>
        <w:tab/>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 Includes employer payroll taxes on employee stock transactions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656590</wp:posOffset>
            </wp:positionV>
            <wp:extent cx="531495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149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Cost of revenue</w:t>
      </w:r>
      <w:r>
        <w:rPr>
          <w:sz w:val="20"/>
          <w:szCs w:val="20"/>
          <w:color w:val="auto"/>
        </w:rPr>
        <w:tab/>
      </w:r>
      <w:r>
        <w:rPr>
          <w:rFonts w:ascii="Times New Roman" w:cs="Times New Roman" w:eastAsia="Times New Roman" w:hAnsi="Times New Roman"/>
          <w:sz w:val="16"/>
          <w:szCs w:val="16"/>
          <w:color w:val="auto"/>
        </w:rPr>
        <w: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531495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31495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5314950" cy="1974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14950" cy="197485"/>
                    </a:xfrm>
                    <a:prstGeom prst="rect">
                      <a:avLst/>
                    </a:prstGeom>
                    <a:noFill/>
                  </pic:spPr>
                </pic:pic>
              </a:graphicData>
            </a:graphic>
          </wp:anchor>
        </w:drawing>
      </w:r>
    </w:p>
    <w:p>
      <w:pPr>
        <w:spacing w:after="0" w:line="57" w:lineRule="exact"/>
        <w:rPr>
          <w:sz w:val="20"/>
          <w:szCs w:val="20"/>
          <w:color w:val="auto"/>
        </w:rPr>
      </w:pPr>
    </w:p>
    <w:p>
      <w:pPr>
        <w:ind w:left="220"/>
        <w:spacing w:after="0"/>
        <w:tabs>
          <w:tab w:leader="none" w:pos="5640" w:val="left"/>
        </w:tabs>
        <w:rPr>
          <w:sz w:val="20"/>
          <w:szCs w:val="20"/>
          <w:color w:val="auto"/>
        </w:rPr>
      </w:pPr>
      <w:r>
        <w:rPr>
          <w:rFonts w:ascii="Times New Roman" w:cs="Times New Roman" w:eastAsia="Times New Roman" w:hAnsi="Times New Roman"/>
          <w:sz w:val="18"/>
          <w:szCs w:val="18"/>
          <w:color w:val="auto"/>
        </w:rPr>
        <w:t>Total</w:t>
      </w:r>
      <w:r>
        <w:rPr>
          <w:sz w:val="20"/>
          <w:szCs w:val="20"/>
          <w:color w:val="auto"/>
        </w:rPr>
        <w:tab/>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 Includes M&amp;A transaction costs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647700</wp:posOffset>
            </wp:positionV>
            <wp:extent cx="71323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General and administrative</w:t>
      </w:r>
      <w:r>
        <w:rPr>
          <w:sz w:val="20"/>
          <w:szCs w:val="20"/>
          <w:color w:val="auto"/>
        </w:rPr>
        <w:tab/>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 Includes amortization of issuance costs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647700</wp:posOffset>
            </wp:positionV>
            <wp:extent cx="531495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149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Interest expense</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40" w:type="dxa"/>
            <w:vAlign w:val="bottom"/>
            <w:gridSpan w:val="4"/>
          </w:tcPr>
          <w:p>
            <w:pPr>
              <w:jc w:val="center"/>
              <w:ind w:right="43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300" w:type="dxa"/>
            <w:vAlign w:val="bottom"/>
            <w:gridSpan w:val="4"/>
          </w:tcPr>
          <w:p>
            <w:pPr>
              <w:jc w:val="center"/>
              <w:ind w:right="37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1380" w:type="dxa"/>
            <w:vAlign w:val="bottom"/>
            <w:gridSpan w:val="3"/>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92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8"/>
        </w:trPr>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8,038</w:t>
            </w:r>
          </w:p>
        </w:tc>
        <w:tc>
          <w:tcPr>
            <w:tcW w:w="4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560" w:type="dxa"/>
            <w:vAlign w:val="bottom"/>
            <w:tcBorders>
              <w:bottom w:val="single" w:sz="8" w:color="CFF0FC"/>
            </w:tcBorders>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21,472</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18,169</w:t>
            </w:r>
          </w:p>
        </w:tc>
        <w:tc>
          <w:tcPr>
            <w:tcW w:w="0" w:type="dxa"/>
            <w:vAlign w:val="bottom"/>
          </w:tcPr>
          <w:p>
            <w:pPr>
              <w:spacing w:after="0"/>
              <w:rPr>
                <w:sz w:val="1"/>
                <w:szCs w:val="1"/>
                <w:color w:val="auto"/>
              </w:rPr>
            </w:pPr>
          </w:p>
        </w:tc>
      </w:tr>
      <w:tr>
        <w:trPr>
          <w:trHeight w:val="243"/>
        </w:trPr>
        <w:tc>
          <w:tcPr>
            <w:tcW w:w="92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124,288</w:t>
            </w: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90,507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342,468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266,025</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41,463</w:t>
            </w: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30,749</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113,030</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88,481</w:t>
            </w:r>
          </w:p>
        </w:tc>
        <w:tc>
          <w:tcPr>
            <w:tcW w:w="0" w:type="dxa"/>
            <w:vAlign w:val="bottom"/>
          </w:tcPr>
          <w:p>
            <w:pPr>
              <w:spacing w:after="0"/>
              <w:rPr>
                <w:sz w:val="1"/>
                <w:szCs w:val="1"/>
                <w:color w:val="auto"/>
              </w:rPr>
            </w:pPr>
          </w:p>
        </w:tc>
      </w:tr>
      <w:tr>
        <w:trPr>
          <w:trHeight w:val="243"/>
        </w:trPr>
        <w:tc>
          <w:tcPr>
            <w:tcW w:w="92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26,769</w:t>
            </w: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68,315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39,200</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92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200,558</w:t>
            </w:r>
          </w:p>
        </w:tc>
        <w:tc>
          <w:tcPr>
            <w:tcW w:w="4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142,190</w:t>
            </w:r>
          </w:p>
        </w:tc>
        <w:tc>
          <w:tcPr>
            <w:tcW w:w="1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545,285</w:t>
            </w:r>
          </w:p>
        </w:tc>
        <w:tc>
          <w:tcPr>
            <w:tcW w:w="1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411,875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6"/>
        </w:trPr>
        <w:tc>
          <w:tcPr>
            <w:tcW w:w="2240" w:type="dxa"/>
            <w:vAlign w:val="bottom"/>
            <w:gridSpan w:val="4"/>
          </w:tcPr>
          <w:p>
            <w:pPr>
              <w:jc w:val="center"/>
              <w:ind w:right="41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00" w:type="dxa"/>
            <w:vAlign w:val="bottom"/>
            <w:gridSpan w:val="4"/>
          </w:tcPr>
          <w:p>
            <w:pPr>
              <w:jc w:val="center"/>
              <w:ind w:right="37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1380" w:type="dxa"/>
            <w:vAlign w:val="bottom"/>
            <w:gridSpan w:val="3"/>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gridSpan w:val="3"/>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920" w:type="dxa"/>
            <w:vAlign w:val="bottom"/>
            <w:vMerge w:val="restart"/>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vMerge w:val="restart"/>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9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57"/>
        </w:trPr>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60" w:type="dxa"/>
            <w:vAlign w:val="bottom"/>
          </w:tcPr>
          <w:p>
            <w:pPr>
              <w:spacing w:after="0"/>
              <w:rPr>
                <w:sz w:val="4"/>
                <w:szCs w:val="4"/>
                <w:color w:val="auto"/>
              </w:rPr>
            </w:pPr>
          </w:p>
        </w:tc>
        <w:tc>
          <w:tcPr>
            <w:tcW w:w="560" w:type="dxa"/>
            <w:vAlign w:val="bottom"/>
            <w:gridSpan w:val="2"/>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2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1,451</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560" w:type="dxa"/>
            <w:vAlign w:val="bottom"/>
            <w:tcBorders>
              <w:bottom w:val="single" w:sz="8" w:color="CFF0FC"/>
            </w:tcBorders>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4,538</w:t>
            </w:r>
          </w:p>
        </w:tc>
        <w:tc>
          <w:tcPr>
            <w:tcW w:w="0" w:type="dxa"/>
            <w:vAlign w:val="bottom"/>
          </w:tcPr>
          <w:p>
            <w:pPr>
              <w:spacing w:after="0"/>
              <w:rPr>
                <w:sz w:val="1"/>
                <w:szCs w:val="1"/>
                <w:color w:val="auto"/>
              </w:rPr>
            </w:pPr>
          </w:p>
        </w:tc>
      </w:tr>
      <w:tr>
        <w:trPr>
          <w:trHeight w:val="243"/>
        </w:trPr>
        <w:tc>
          <w:tcPr>
            <w:tcW w:w="92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277</w:t>
            </w: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92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1,728</w:t>
            </w:r>
          </w:p>
        </w:tc>
        <w:tc>
          <w:tcPr>
            <w:tcW w:w="2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1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6"/>
        </w:trPr>
        <w:tc>
          <w:tcPr>
            <w:tcW w:w="2240" w:type="dxa"/>
            <w:vAlign w:val="bottom"/>
            <w:gridSpan w:val="4"/>
          </w:tcPr>
          <w:p>
            <w:pPr>
              <w:jc w:val="center"/>
              <w:ind w:right="41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00" w:type="dxa"/>
            <w:vAlign w:val="bottom"/>
            <w:gridSpan w:val="4"/>
          </w:tcPr>
          <w:p>
            <w:pPr>
              <w:jc w:val="center"/>
              <w:ind w:right="37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1380" w:type="dxa"/>
            <w:vAlign w:val="bottom"/>
            <w:gridSpan w:val="3"/>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gridSpan w:val="3"/>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920" w:type="dxa"/>
            <w:vAlign w:val="bottom"/>
            <w:vMerge w:val="restart"/>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vMerge w:val="restart"/>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9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92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169</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560" w:type="dxa"/>
            <w:vAlign w:val="bottom"/>
            <w:tcBorders>
              <w:bottom w:val="single" w:sz="8" w:color="CFF0FC"/>
            </w:tcBorders>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43"/>
        </w:trPr>
        <w:tc>
          <w:tcPr>
            <w:tcW w:w="92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8,177</w:t>
            </w: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23,724</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1,480</w:t>
            </w: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0" w:type="dxa"/>
            <w:vAlign w:val="bottom"/>
          </w:tcPr>
          <w:p>
            <w:pPr>
              <w:spacing w:after="0"/>
              <w:rPr>
                <w:sz w:val="1"/>
                <w:szCs w:val="1"/>
                <w:color w:val="auto"/>
              </w:rPr>
            </w:pPr>
          </w:p>
        </w:tc>
      </w:tr>
      <w:tr>
        <w:trPr>
          <w:trHeight w:val="243"/>
        </w:trPr>
        <w:tc>
          <w:tcPr>
            <w:tcW w:w="92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1,061</w:t>
            </w: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92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10,887</w:t>
            </w:r>
          </w:p>
        </w:tc>
        <w:tc>
          <w:tcPr>
            <w:tcW w:w="2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9,115</w:t>
            </w:r>
          </w:p>
        </w:tc>
        <w:tc>
          <w:tcPr>
            <w:tcW w:w="1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40,517</w:t>
            </w:r>
          </w:p>
        </w:tc>
        <w:tc>
          <w:tcPr>
            <w:tcW w:w="1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33,122</w:t>
            </w: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6"/>
        </w:trPr>
        <w:tc>
          <w:tcPr>
            <w:tcW w:w="2240" w:type="dxa"/>
            <w:vAlign w:val="bottom"/>
            <w:gridSpan w:val="4"/>
          </w:tcPr>
          <w:p>
            <w:pPr>
              <w:jc w:val="center"/>
              <w:ind w:right="41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00" w:type="dxa"/>
            <w:vAlign w:val="bottom"/>
            <w:gridSpan w:val="4"/>
          </w:tcPr>
          <w:p>
            <w:pPr>
              <w:jc w:val="center"/>
              <w:ind w:right="37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1380" w:type="dxa"/>
            <w:vAlign w:val="bottom"/>
            <w:gridSpan w:val="3"/>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gridSpan w:val="3"/>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920" w:type="dxa"/>
            <w:vAlign w:val="bottom"/>
            <w:vMerge w:val="restart"/>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vMerge w:val="restart"/>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9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92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20" w:type="dxa"/>
            <w:vAlign w:val="bottom"/>
          </w:tcPr>
          <w:p>
            <w:pPr>
              <w:spacing w:after="0"/>
              <w:rPr>
                <w:sz w:val="24"/>
                <w:szCs w:val="24"/>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99"/>
        </w:trPr>
        <w:tc>
          <w:tcPr>
            <w:tcW w:w="2240" w:type="dxa"/>
            <w:vAlign w:val="bottom"/>
            <w:gridSpan w:val="4"/>
          </w:tcPr>
          <w:p>
            <w:pPr>
              <w:jc w:val="center"/>
              <w:ind w:right="41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00" w:type="dxa"/>
            <w:vAlign w:val="bottom"/>
            <w:gridSpan w:val="4"/>
          </w:tcPr>
          <w:p>
            <w:pPr>
              <w:jc w:val="center"/>
              <w:ind w:right="37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1380" w:type="dxa"/>
            <w:vAlign w:val="bottom"/>
            <w:gridSpan w:val="3"/>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gridSpan w:val="3"/>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920" w:type="dxa"/>
            <w:vAlign w:val="bottom"/>
            <w:vMerge w:val="restart"/>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vMerge w:val="restart"/>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9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92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92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1,046</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56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4,556</w:t>
            </w: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8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-5596890</wp:posOffset>
            </wp:positionV>
            <wp:extent cx="8401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-327025</wp:posOffset>
            </wp:positionH>
            <wp:positionV relativeFrom="paragraph">
              <wp:posOffset>-6642735</wp:posOffset>
            </wp:positionV>
            <wp:extent cx="35661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56616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wp:posOffset>
            </wp:positionH>
            <wp:positionV relativeFrom="paragraph">
              <wp:posOffset>-6779895</wp:posOffset>
            </wp:positionV>
            <wp:extent cx="17487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48790" cy="8255"/>
                    </a:xfrm>
                    <a:prstGeom prst="rect">
                      <a:avLst/>
                    </a:prstGeom>
                    <a:noFill/>
                  </pic:spPr>
                </pic:pic>
              </a:graphicData>
            </a:graphic>
          </wp:anchor>
        </w:drawing>
        <w:drawing>
          <wp:anchor simplePos="0" relativeHeight="251657728" behindDoc="1" locked="0" layoutInCell="0" allowOverlap="1">
            <wp:simplePos x="0" y="0"/>
            <wp:positionH relativeFrom="column">
              <wp:posOffset>-309880</wp:posOffset>
            </wp:positionH>
            <wp:positionV relativeFrom="paragraph">
              <wp:posOffset>-4079875</wp:posOffset>
            </wp:positionV>
            <wp:extent cx="83185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-309880</wp:posOffset>
            </wp:positionH>
            <wp:positionV relativeFrom="paragraph">
              <wp:posOffset>-4799965</wp:posOffset>
            </wp:positionV>
            <wp:extent cx="35490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549015" cy="8255"/>
                    </a:xfrm>
                    <a:prstGeom prst="rect">
                      <a:avLst/>
                    </a:prstGeom>
                    <a:noFill/>
                  </pic:spPr>
                </pic:pic>
              </a:graphicData>
            </a:graphic>
          </wp:anchor>
        </w:drawing>
        <w:drawing>
          <wp:anchor simplePos="0" relativeHeight="251657728" behindDoc="1" locked="0" layoutInCell="0" allowOverlap="1">
            <wp:simplePos x="0" y="0"/>
            <wp:positionH relativeFrom="column">
              <wp:posOffset>-309880</wp:posOffset>
            </wp:positionH>
            <wp:positionV relativeFrom="paragraph">
              <wp:posOffset>-4954270</wp:posOffset>
            </wp:positionV>
            <wp:extent cx="173164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31645" cy="8890"/>
                    </a:xfrm>
                    <a:prstGeom prst="rect">
                      <a:avLst/>
                    </a:prstGeom>
                    <a:noFill/>
                  </pic:spPr>
                </pic:pic>
              </a:graphicData>
            </a:graphic>
          </wp:anchor>
        </w:drawing>
        <w:drawing>
          <wp:anchor simplePos="0" relativeHeight="251657728" behindDoc="1" locked="0" layoutInCell="0" allowOverlap="1">
            <wp:simplePos x="0" y="0"/>
            <wp:positionH relativeFrom="column">
              <wp:posOffset>-318770</wp:posOffset>
            </wp:positionH>
            <wp:positionV relativeFrom="paragraph">
              <wp:posOffset>-2236470</wp:posOffset>
            </wp:positionV>
            <wp:extent cx="8401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-318770</wp:posOffset>
            </wp:positionH>
            <wp:positionV relativeFrom="paragraph">
              <wp:posOffset>-3282315</wp:posOffset>
            </wp:positionV>
            <wp:extent cx="35572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557270" cy="8890"/>
                    </a:xfrm>
                    <a:prstGeom prst="rect">
                      <a:avLst/>
                    </a:prstGeom>
                    <a:noFill/>
                  </pic:spPr>
                </pic:pic>
              </a:graphicData>
            </a:graphic>
          </wp:anchor>
        </w:drawing>
        <w:drawing>
          <wp:anchor simplePos="0" relativeHeight="251657728" behindDoc="1" locked="0" layoutInCell="0" allowOverlap="1">
            <wp:simplePos x="0" y="0"/>
            <wp:positionH relativeFrom="column">
              <wp:posOffset>-318770</wp:posOffset>
            </wp:positionH>
            <wp:positionV relativeFrom="paragraph">
              <wp:posOffset>-3436620</wp:posOffset>
            </wp:positionV>
            <wp:extent cx="17399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39900" cy="8890"/>
                    </a:xfrm>
                    <a:prstGeom prst="rect">
                      <a:avLst/>
                    </a:prstGeom>
                    <a:noFill/>
                  </pic:spPr>
                </pic:pic>
              </a:graphicData>
            </a:graphic>
          </wp:anchor>
        </w:drawing>
        <w:drawing>
          <wp:anchor simplePos="0" relativeHeight="251657728" behindDoc="1" locked="0" layoutInCell="0" allowOverlap="1">
            <wp:simplePos x="0" y="0"/>
            <wp:positionH relativeFrom="column">
              <wp:posOffset>-309880</wp:posOffset>
            </wp:positionH>
            <wp:positionV relativeFrom="paragraph">
              <wp:posOffset>-1439545</wp:posOffset>
            </wp:positionV>
            <wp:extent cx="35490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549015" cy="8255"/>
                    </a:xfrm>
                    <a:prstGeom prst="rect">
                      <a:avLst/>
                    </a:prstGeom>
                    <a:noFill/>
                  </pic:spPr>
                </pic:pic>
              </a:graphicData>
            </a:graphic>
          </wp:anchor>
        </w:drawing>
        <w:drawing>
          <wp:anchor simplePos="0" relativeHeight="251657728" behindDoc="1" locked="0" layoutInCell="0" allowOverlap="1">
            <wp:simplePos x="0" y="0"/>
            <wp:positionH relativeFrom="column">
              <wp:posOffset>-309880</wp:posOffset>
            </wp:positionH>
            <wp:positionV relativeFrom="paragraph">
              <wp:posOffset>-1593850</wp:posOffset>
            </wp:positionV>
            <wp:extent cx="173164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31645" cy="8255"/>
                    </a:xfrm>
                    <a:prstGeom prst="rect">
                      <a:avLst/>
                    </a:prstGeom>
                    <a:noFill/>
                  </pic:spPr>
                </pic:pic>
              </a:graphicData>
            </a:graphic>
          </wp:anchor>
        </w:drawing>
        <w:drawing>
          <wp:anchor simplePos="0" relativeHeight="251657728" behindDoc="1" locked="0" layoutInCell="0" allowOverlap="1">
            <wp:simplePos x="0" y="0"/>
            <wp:positionH relativeFrom="column">
              <wp:posOffset>-309880</wp:posOffset>
            </wp:positionH>
            <wp:positionV relativeFrom="paragraph">
              <wp:posOffset>-325120</wp:posOffset>
            </wp:positionV>
            <wp:extent cx="354901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549015" cy="8890"/>
                    </a:xfrm>
                    <a:prstGeom prst="rect">
                      <a:avLst/>
                    </a:prstGeom>
                    <a:noFill/>
                  </pic:spPr>
                </pic:pic>
              </a:graphicData>
            </a:graphic>
          </wp:anchor>
        </w:drawing>
        <w:drawing>
          <wp:anchor simplePos="0" relativeHeight="251657728" behindDoc="1" locked="0" layoutInCell="0" allowOverlap="1">
            <wp:simplePos x="0" y="0"/>
            <wp:positionH relativeFrom="column">
              <wp:posOffset>-309880</wp:posOffset>
            </wp:positionH>
            <wp:positionV relativeFrom="paragraph">
              <wp:posOffset>-479425</wp:posOffset>
            </wp:positionV>
            <wp:extent cx="173164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ectPr>
          <w:pgSz w:w="11900" w:h="16838" w:orient="portrait"/>
          <w:cols w:equalWidth="0" w:num="2">
            <w:col w:w="5760" w:space="380"/>
            <w:col w:w="5100"/>
          </w:cols>
          <w:pgMar w:left="320" w:top="1207" w:right="33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expressed as a percentage of revenue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0" w:type="dxa"/>
            <w:vAlign w:val="bottom"/>
            <w:gridSpan w:val="4"/>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4"/>
                <w:szCs w:val="14"/>
                <w:color w:val="auto"/>
              </w:rPr>
            </w:pPr>
          </w:p>
        </w:tc>
        <w:tc>
          <w:tcPr>
            <w:tcW w:w="218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r>
      <w:tr>
        <w:trPr>
          <w:trHeight w:val="190"/>
        </w:trPr>
        <w:tc>
          <w:tcPr>
            <w:tcW w:w="4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r>
      <w:tr>
        <w:trPr>
          <w:trHeight w:val="50"/>
        </w:trPr>
        <w:tc>
          <w:tcPr>
            <w:tcW w:w="49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186"/>
        </w:trPr>
        <w:tc>
          <w:tcPr>
            <w:tcW w:w="5860" w:type="dxa"/>
            <w:vAlign w:val="bottom"/>
            <w:gridSpan w:val="2"/>
          </w:tcPr>
          <w:p>
            <w:pPr>
              <w:ind w:left="5580"/>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80" w:type="dxa"/>
            <w:vAlign w:val="bottom"/>
            <w:gridSpan w:val="2"/>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7"/>
        </w:trPr>
        <w:tc>
          <w:tcPr>
            <w:tcW w:w="49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340" w:type="dxa"/>
            <w:vAlign w:val="bottom"/>
            <w:tcBorders>
              <w:bottom w:val="single" w:sz="8" w:color="auto"/>
            </w:tcBorders>
            <w:gridSpan w:val="5"/>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50"/>
        </w:trPr>
        <w:tc>
          <w:tcPr>
            <w:tcW w:w="49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3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(as a percentage of total revenue</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4"/>
                <w:szCs w:val="14"/>
                <w:b w:val="1"/>
                <w:bCs w:val="1"/>
                <w:color w:val="auto"/>
              </w:rPr>
              <w:t>)</w:t>
            </w:r>
          </w:p>
        </w:tc>
        <w:tc>
          <w:tcPr>
            <w:tcW w:w="900" w:type="dxa"/>
            <w:vAlign w:val="bottom"/>
          </w:tcPr>
          <w:p>
            <w:pPr>
              <w:spacing w:after="0"/>
              <w:rPr>
                <w:sz w:val="21"/>
                <w:szCs w:val="21"/>
                <w:color w:val="auto"/>
              </w:rPr>
            </w:pPr>
          </w:p>
        </w:tc>
      </w:tr>
      <w:tr>
        <w:trPr>
          <w:trHeight w:val="250"/>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5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3"/>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w:t>
            </w:r>
          </w:p>
        </w:tc>
        <w:tc>
          <w:tcPr>
            <w:tcW w:w="1580" w:type="dxa"/>
            <w:vAlign w:val="bottom"/>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49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6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80</w:t>
            </w:r>
          </w:p>
        </w:tc>
        <w:tc>
          <w:tcPr>
            <w:tcW w:w="1580" w:type="dxa"/>
            <w:vAlign w:val="bottom"/>
            <w:tcBorders>
              <w:bottom w:val="single" w:sz="8" w:color="CFF0FC"/>
            </w:tcBorders>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81</w:t>
            </w:r>
          </w:p>
        </w:tc>
      </w:tr>
      <w:tr>
        <w:trPr>
          <w:trHeight w:val="243"/>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8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42</w:t>
            </w:r>
          </w:p>
        </w:tc>
        <w:tc>
          <w:tcPr>
            <w:tcW w:w="1580" w:type="dxa"/>
            <w:vAlign w:val="bottom"/>
            <w:tcBorders>
              <w:bottom w:val="single" w:sz="8" w:color="CFF0FC"/>
            </w:tcBorders>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w:t>
            </w:r>
          </w:p>
        </w:tc>
        <w:tc>
          <w:tcPr>
            <w:tcW w:w="1580" w:type="dxa"/>
            <w:vAlign w:val="bottom"/>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4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c>
          <w:tcPr>
            <w:tcW w:w="1580" w:type="dxa"/>
            <w:vAlign w:val="bottom"/>
            <w:tcBorders>
              <w:bottom w:val="single" w:sz="8" w:color="CFF0FC"/>
            </w:tcBorders>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FF0FC"/>
            </w:tcBorders>
            <w:shd w:val="clear" w:color="auto" w:fill="CFF0FC"/>
          </w:tcPr>
          <w:p>
            <w:pPr>
              <w:spacing w:after="0"/>
              <w:rPr>
                <w:sz w:val="23"/>
                <w:szCs w:val="23"/>
                <w:color w:val="auto"/>
              </w:rPr>
            </w:pPr>
          </w:p>
        </w:tc>
        <w:tc>
          <w:tcPr>
            <w:tcW w:w="580" w:type="dxa"/>
            <w:vAlign w:val="bottom"/>
            <w:tcBorders>
              <w:bottom w:val="single" w:sz="8" w:color="CFF0FC"/>
            </w:tcBorders>
            <w:shd w:val="clear" w:color="auto" w:fill="CFF0FC"/>
          </w:tcPr>
          <w:p>
            <w:pPr>
              <w:spacing w:after="0"/>
              <w:rPr>
                <w:sz w:val="23"/>
                <w:szCs w:val="23"/>
                <w:color w:val="auto"/>
              </w:rPr>
            </w:pPr>
          </w:p>
        </w:tc>
        <w:tc>
          <w:tcPr>
            <w:tcW w:w="900" w:type="dxa"/>
            <w:vAlign w:val="bottom"/>
            <w:tcBorders>
              <w:bottom w:val="single" w:sz="8" w:color="CFF0FC"/>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7</w:t>
            </w:r>
          </w:p>
        </w:tc>
      </w:tr>
      <w:tr>
        <w:trPr>
          <w:trHeight w:val="237"/>
        </w:trPr>
        <w:tc>
          <w:tcPr>
            <w:tcW w:w="4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78</w:t>
            </w:r>
          </w:p>
        </w:tc>
      </w:tr>
      <w:tr>
        <w:trPr>
          <w:trHeight w:val="27"/>
        </w:trPr>
        <w:tc>
          <w:tcPr>
            <w:tcW w:w="49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c>
          <w:tcPr>
            <w:tcW w:w="1580" w:type="dxa"/>
            <w:vAlign w:val="bottom"/>
            <w:tcBorders>
              <w:bottom w:val="single" w:sz="8" w:color="CFF0FC"/>
            </w:tcBorders>
            <w:gridSpan w:val="2"/>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8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6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w:t>
            </w:r>
          </w:p>
        </w:tc>
        <w:tc>
          <w:tcPr>
            <w:tcW w:w="1580" w:type="dxa"/>
            <w:vAlign w:val="bottom"/>
            <w:tcBorders>
              <w:bottom w:val="single" w:sz="8" w:color="CFF0FC"/>
            </w:tcBorders>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c>
          <w:tcPr>
            <w:tcW w:w="1580" w:type="dxa"/>
            <w:vAlign w:val="bottom"/>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49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3"/>
        </w:trPr>
        <w:tc>
          <w:tcPr>
            <w:tcW w:w="49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income, net</w:t>
            </w:r>
          </w:p>
        </w:tc>
        <w:tc>
          <w:tcPr>
            <w:tcW w:w="8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c>
          <w:tcPr>
            <w:tcW w:w="1580" w:type="dxa"/>
            <w:vAlign w:val="bottom"/>
            <w:tcBorders>
              <w:bottom w:val="single" w:sz="8" w:color="CFF0FC"/>
            </w:tcBorders>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FF0FC"/>
            </w:tcBorders>
            <w:shd w:val="clear" w:color="auto" w:fill="CFF0FC"/>
          </w:tcPr>
          <w:p>
            <w:pPr>
              <w:spacing w:after="0"/>
              <w:rPr>
                <w:sz w:val="22"/>
                <w:szCs w:val="22"/>
                <w:color w:val="auto"/>
              </w:rPr>
            </w:pPr>
          </w:p>
        </w:tc>
        <w:tc>
          <w:tcPr>
            <w:tcW w:w="58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CFF0FC"/>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5</w:t>
            </w:r>
          </w:p>
        </w:tc>
      </w:tr>
      <w:tr>
        <w:trPr>
          <w:trHeight w:val="23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8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4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1580" w:type="dxa"/>
            <w:vAlign w:val="bottom"/>
            <w:tcBorders>
              <w:bottom w:val="single" w:sz="8" w:color="CFF0FC"/>
            </w:tcBorders>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23"/>
                <w:szCs w:val="23"/>
                <w:color w:val="auto"/>
              </w:rPr>
            </w:pPr>
          </w:p>
        </w:tc>
        <w:tc>
          <w:tcPr>
            <w:tcW w:w="580" w:type="dxa"/>
            <w:vAlign w:val="bottom"/>
            <w:tcBorders>
              <w:bottom w:val="single" w:sz="8" w:color="CFF0FC"/>
            </w:tcBorders>
            <w:shd w:val="clear" w:color="auto" w:fill="CFF0FC"/>
          </w:tcPr>
          <w:p>
            <w:pPr>
              <w:spacing w:after="0"/>
              <w:rPr>
                <w:sz w:val="23"/>
                <w:szCs w:val="23"/>
                <w:color w:val="auto"/>
              </w:rPr>
            </w:pPr>
          </w:p>
        </w:tc>
        <w:tc>
          <w:tcPr>
            <w:tcW w:w="900" w:type="dxa"/>
            <w:vAlign w:val="bottom"/>
            <w:tcBorders>
              <w:bottom w:val="single" w:sz="8" w:color="CFF0FC"/>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r>
      <w:tr>
        <w:trPr>
          <w:trHeight w:val="26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1"/>
        </w:trPr>
        <w:tc>
          <w:tcPr>
            <w:tcW w:w="4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items may not total due to rounding.</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September 30, 2025 and 2024</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2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2"/>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6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86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885,651</w:t>
            </w:r>
          </w:p>
        </w:tc>
        <w:tc>
          <w:tcPr>
            <w:tcW w:w="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690,016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195,635</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7"/>
        </w:trPr>
        <w:tc>
          <w:tcPr>
            <w:tcW w:w="55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Revenue increased by $195.6 million, or 28%, for the three months ended September 30, 2025 compared to the three months ended September 30, 2024. Approximately 75% of the increase in revenue was attributable to growth from existing customers, and the remaining 25% was attributable to growth from new customers.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155" w:lineRule="exact"/>
        <w:rPr>
          <w:sz w:val="20"/>
          <w:szCs w:val="20"/>
          <w:color w:val="auto"/>
        </w:rPr>
      </w:pPr>
    </w:p>
    <w:p>
      <w:pPr>
        <w:jc w:val="center"/>
        <w:ind w:left="21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21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33020</wp:posOffset>
            </wp:positionV>
            <wp:extent cx="18770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6"/>
                <w:szCs w:val="16"/>
                <w:color w:val="auto"/>
              </w:rPr>
            </w:pPr>
          </w:p>
        </w:tc>
        <w:tc>
          <w:tcPr>
            <w:tcW w:w="10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5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186"/>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37"/>
        </w:trPr>
        <w:tc>
          <w:tcPr>
            <w:tcW w:w="5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176,457</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137,756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38,701</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spacing w:after="0"/>
              <w:rPr>
                <w:sz w:val="21"/>
                <w:szCs w:val="21"/>
                <w:color w:val="auto"/>
              </w:rPr>
            </w:pPr>
          </w:p>
        </w:tc>
      </w:tr>
    </w:tbl>
    <w:p>
      <w:pPr>
        <w:spacing w:after="0" w:line="3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Cost of revenue increased by $38.7 million, or 28%, for the three months ended September 30, 2025 compared to the three months ended September 30, 2024. This increase was primarily due to an increase of $31.6 million in third-party cloud infrastructure hosting and software costs and an increase of $5.6 million in personnel costs including allocated overhead costs as a result of increased headcount.</w:t>
      </w:r>
    </w:p>
    <w:p>
      <w:pPr>
        <w:spacing w:after="0" w:line="17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Our gross margin remained flat for the three months ended September 30, 2025 compared to the three months ended September 30, 2024, primarily as a result of revenue growing in proportion to the growth of our third-party cloud infrastructure provider costs.</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33" w:name="page34"/>
    <w:bookmarkEnd w:id="33"/>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90"/>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2"/>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51"/>
        </w:trPr>
        <w:tc>
          <w:tcPr>
            <w:tcW w:w="53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tcPr>
          <w:p>
            <w:pPr>
              <w:spacing w:after="0"/>
              <w:rPr>
                <w:sz w:val="4"/>
                <w:szCs w:val="4"/>
                <w:color w:val="auto"/>
              </w:rPr>
            </w:pPr>
          </w:p>
        </w:tc>
        <w:tc>
          <w:tcPr>
            <w:tcW w:w="1420" w:type="dxa"/>
            <w:vAlign w:val="bottom"/>
          </w:tcPr>
          <w:p>
            <w:pPr>
              <w:spacing w:after="0"/>
              <w:rPr>
                <w:sz w:val="4"/>
                <w:szCs w:val="4"/>
                <w:color w:val="auto"/>
              </w:rPr>
            </w:pPr>
          </w:p>
        </w:tc>
      </w:tr>
      <w:tr>
        <w:trPr>
          <w:trHeight w:val="199"/>
        </w:trPr>
        <w:tc>
          <w:tcPr>
            <w:tcW w:w="5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7"/>
                <w:szCs w:val="17"/>
                <w:color w:val="auto"/>
              </w:rPr>
            </w:pPr>
          </w:p>
        </w:tc>
        <w:tc>
          <w:tcPr>
            <w:tcW w:w="96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7"/>
        </w:trPr>
        <w:tc>
          <w:tcPr>
            <w:tcW w:w="5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401,982</w:t>
            </w:r>
          </w:p>
        </w:tc>
        <w:tc>
          <w:tcPr>
            <w:tcW w:w="54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291,802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110,180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bl>
    <w:p>
      <w:pPr>
        <w:spacing w:after="0" w:line="30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increased by $110.2 million, or 38%, for the three months ended September 30, 2025 compared to the three months ended September 30, 2024. This increase was primarily due to an increase of $95.1 million in personnel costs including allocated overhead costs for our engineering, product and design teams as a result of increased headcount and an increase of $11.4 million in cloud infrastructure-related investments.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2"/>
          </w:tcPr>
          <w:p>
            <w:pPr>
              <w:jc w:val="center"/>
              <w:ind w:left="52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96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238,729</w:t>
            </w:r>
          </w:p>
        </w:tc>
        <w:tc>
          <w:tcPr>
            <w:tcW w:w="54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187,772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Sales and marketing expense increased by $51.0 million, or 27%, for the three months ended September 30, 2025 compared to the three months ended September 30, 2024. This increase was primarily due to an increase of $43.2 million in personnel costs including allocated overhead costs for our sales and marketing organization as a result of increased headcount and increased variable compensation for our sales personnel and an increase of $4.3 million in advertising, sales, marketing and promotional activities.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4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94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74,292</w:t>
            </w:r>
          </w:p>
        </w:tc>
        <w:tc>
          <w:tcPr>
            <w:tcW w:w="54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52,408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1"/>
                <w:szCs w:val="21"/>
                <w:color w:val="auto"/>
              </w:rPr>
            </w:pPr>
          </w:p>
        </w:tc>
        <w:tc>
          <w:tcPr>
            <w:tcW w:w="11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8 %</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by $21.9 million, or 42%, for the three months ended September 30, 2025 compared to the three months ended September 30, 2024. This increase was primarily due to an increase of $16.6 million in personnel costs including allocated overhead costs as a result of increased headcount, and an increase of $3.9 million in legal and other professional services expenses.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2"/>
          </w:tcPr>
          <w:p>
            <w:pPr>
              <w:jc w:val="center"/>
              <w:ind w:left="52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3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94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41,476</w:t>
            </w:r>
          </w:p>
        </w:tc>
        <w:tc>
          <w:tcPr>
            <w:tcW w:w="54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35,858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1"/>
                <w:szCs w:val="21"/>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5 %</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income, net increased by $5.6 million, or 16%, for the three months ended September 30, 2025 compared to the three months ended September 30, 2024. This increase was primarily driven by an increase of $5.5 million in interest income, mainly due to income earned from investments in marketable securities.</w:t>
      </w:r>
    </w:p>
    <w:p>
      <w:pPr>
        <w:sectPr>
          <w:pgSz w:w="11900" w:h="16838" w:orient="portrait"/>
          <w:cols w:equalWidth="0" w:num="1">
            <w:col w:w="11240"/>
          </w:cols>
          <w:pgMar w:left="320" w:top="13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September 30, 2025 and 2024</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2"/>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5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6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2,473,964</w:t>
            </w:r>
          </w:p>
        </w:tc>
        <w:tc>
          <w:tcPr>
            <w:tcW w:w="5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1,946,548</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527,416</w:t>
            </w:r>
          </w:p>
        </w:tc>
        <w:tc>
          <w:tcPr>
            <w:tcW w:w="1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7"/>
        </w:trPr>
        <w:tc>
          <w:tcPr>
            <w:tcW w:w="552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8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Revenue increased by $527.4 million, or 27%, in the nine months ended September 30, 2025 compared to the nine months ended September 30, 2024. Approximately 80% of the increase in revenue was attributable to growth from existing customers, and the remaining 20% was attributable to growth from new customers.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60" w:type="dxa"/>
            <w:vAlign w:val="bottom"/>
            <w:gridSpan w:val="2"/>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gridSpan w:val="2"/>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6"/>
                <w:szCs w:val="16"/>
                <w:color w:val="auto"/>
              </w:rPr>
            </w:pPr>
          </w:p>
        </w:tc>
        <w:tc>
          <w:tcPr>
            <w:tcW w:w="88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500,063</w:t>
            </w:r>
          </w:p>
        </w:tc>
        <w:tc>
          <w:tcPr>
            <w:tcW w:w="620" w:type="dxa"/>
            <w:vAlign w:val="bottom"/>
            <w:tcBorders>
              <w:bottom w:val="single" w:sz="8" w:color="CFF0FC"/>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371,353</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128,710</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6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Cost of revenue increased by $128.7 million, or 35%, in the nine months ended September 30, 2025 compared to the nine months ended September 30, 2024. This increase was primarily due to an increase of $112.7 million in third-party cloud infrastructure hosting and software costs and an increase of $14.4 million in personnel costs including allocated overhead costs as a result of increased headcount.</w:t>
      </w:r>
    </w:p>
    <w:p>
      <w:pPr>
        <w:spacing w:after="0" w:line="17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Our gross margin decreased for the nine months ended September 30, 2025 compared to the nine months ended September 30, 2024, primarily as a result of increased spend with our third-party cloud infrastructure providers.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80" w:type="dxa"/>
            <w:vAlign w:val="bottom"/>
            <w:gridSpan w:val="2"/>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gridSpan w:val="2"/>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6"/>
                <w:szCs w:val="16"/>
                <w:color w:val="auto"/>
              </w:rPr>
            </w:pPr>
          </w:p>
        </w:tc>
        <w:tc>
          <w:tcPr>
            <w:tcW w:w="86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1,130,525</w:t>
            </w:r>
          </w:p>
        </w:tc>
        <w:tc>
          <w:tcPr>
            <w:tcW w:w="620" w:type="dxa"/>
            <w:vAlign w:val="bottom"/>
            <w:tcBorders>
              <w:bottom w:val="single" w:sz="8" w:color="CFF0FC"/>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836,389</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294,136</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1"/>
                <w:szCs w:val="21"/>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46 %</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increased by $294.1 million, or 35%, in the nine months ended September 30, 2025 compared to the nine months ended September 30, 2024. This increase was primarily due to an increase of $240.0 million in personnel costs including allocated overhead costs for our engineering, product and design teams as a result of increased headcount and an increase of $46.6 million in cloud infrastructure-related investments.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2"/>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90"/>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gridSpan w:val="2"/>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50"/>
        </w:trPr>
        <w:tc>
          <w:tcPr>
            <w:tcW w:w="53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tcPr>
          <w:p>
            <w:pPr>
              <w:spacing w:after="0"/>
              <w:rPr>
                <w:sz w:val="4"/>
                <w:szCs w:val="4"/>
                <w:color w:val="auto"/>
              </w:rPr>
            </w:pPr>
          </w:p>
        </w:tc>
        <w:tc>
          <w:tcPr>
            <w:tcW w:w="1420" w:type="dxa"/>
            <w:vAlign w:val="bottom"/>
          </w:tcPr>
          <w:p>
            <w:pPr>
              <w:spacing w:after="0"/>
              <w:rPr>
                <w:sz w:val="4"/>
                <w:szCs w:val="4"/>
                <w:color w:val="auto"/>
              </w:rPr>
            </w:pPr>
          </w:p>
        </w:tc>
      </w:tr>
      <w:tr>
        <w:trPr>
          <w:trHeight w:val="200"/>
        </w:trPr>
        <w:tc>
          <w:tcPr>
            <w:tcW w:w="5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7"/>
                <w:szCs w:val="17"/>
                <w:color w:val="auto"/>
              </w:rPr>
            </w:pPr>
          </w:p>
        </w:tc>
        <w:tc>
          <w:tcPr>
            <w:tcW w:w="88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6"/>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7"/>
        </w:trPr>
        <w:tc>
          <w:tcPr>
            <w:tcW w:w="5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50"/>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692,046</w:t>
            </w:r>
          </w:p>
        </w:tc>
        <w:tc>
          <w:tcPr>
            <w:tcW w:w="620" w:type="dxa"/>
            <w:vAlign w:val="bottom"/>
            <w:tcBorders>
              <w:bottom w:val="single" w:sz="8" w:color="CFF0FC"/>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548,658</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143,388</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3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6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27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Sales and marketing expense increased by $143.4 million, or 26%, in the nine months ended September 30, 2025 compared to the nine months ended September 30, 2024. This increase was primarily due to an increase of $115.0 million in personnel costs including allocated overhead costs for our sales and marketing organization as a result of increased</w:t>
      </w:r>
    </w:p>
    <w:p>
      <w:pPr>
        <w:sectPr>
          <w:pgSz w:w="11900" w:h="16838" w:orient="portrait"/>
          <w:cols w:equalWidth="0" w:num="1">
            <w:col w:w="11240"/>
          </w:cols>
          <w:pgMar w:left="320" w:top="1305"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35" w:name="page36"/>
    <w:bookmarkEnd w:id="35"/>
    <w:p>
      <w:pPr>
        <w:jc w:val="both"/>
        <w:spacing w:after="0" w:line="282" w:lineRule="auto"/>
        <w:rPr>
          <w:sz w:val="20"/>
          <w:szCs w:val="20"/>
          <w:color w:val="auto"/>
        </w:rPr>
      </w:pPr>
      <w:r>
        <w:rPr>
          <w:rFonts w:ascii="Times New Roman" w:cs="Times New Roman" w:eastAsia="Times New Roman" w:hAnsi="Times New Roman"/>
          <w:sz w:val="18"/>
          <w:szCs w:val="18"/>
          <w:color w:val="auto"/>
        </w:rPr>
        <w:t>headcount and increased variable compensation for our sales personnel and an increase of $20.7 million in advertising, sales, marketing and promotional activities.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2"/>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2"/>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3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6"/>
                <w:szCs w:val="16"/>
                <w:color w:val="auto"/>
              </w:rPr>
            </w:pPr>
          </w:p>
        </w:tc>
        <w:tc>
          <w:tcPr>
            <w:tcW w:w="86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205,059</w:t>
            </w:r>
          </w:p>
        </w:tc>
        <w:tc>
          <w:tcPr>
            <w:tcW w:w="620" w:type="dxa"/>
            <w:vAlign w:val="bottom"/>
            <w:tcBorders>
              <w:bottom w:val="single" w:sz="8" w:color="CFF0FC"/>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145,256</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59,803</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7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3"/>
                <w:szCs w:val="23"/>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8 %</w:t>
            </w:r>
          </w:p>
        </w:tc>
        <w:tc>
          <w:tcPr>
            <w:tcW w:w="6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by $59.8 million, or 41%, in the nine months ended September 30, 2025 compared to the nine months ended September 30, 2024. This increase was primarily due to an increase of $44.6 million in personnel costs including allocated overhead costs as a result of increased headcount, and an increase of $10.6 million in legal and other professional services expenses.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gridSpan w:val="2"/>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2"/>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6"/>
                <w:szCs w:val="16"/>
                <w:color w:val="auto"/>
              </w:rPr>
            </w:pPr>
          </w:p>
        </w:tc>
        <w:tc>
          <w:tcPr>
            <w:tcW w:w="86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ind w:right="202"/>
              <w:spacing w:after="0"/>
              <w:rPr>
                <w:sz w:val="20"/>
                <w:szCs w:val="20"/>
                <w:color w:val="auto"/>
              </w:rPr>
            </w:pPr>
            <w:r>
              <w:rPr>
                <w:rFonts w:ascii="Times New Roman" w:cs="Times New Roman" w:eastAsia="Times New Roman" w:hAnsi="Times New Roman"/>
                <w:sz w:val="18"/>
                <w:szCs w:val="18"/>
                <w:color w:val="auto"/>
              </w:rPr>
              <w:t>127,280</w:t>
            </w:r>
          </w:p>
        </w:tc>
        <w:tc>
          <w:tcPr>
            <w:tcW w:w="620" w:type="dxa"/>
            <w:vAlign w:val="bottom"/>
            <w:tcBorders>
              <w:bottom w:val="single" w:sz="8" w:color="CFF0FC"/>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105,222</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22,058</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7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3"/>
                <w:szCs w:val="23"/>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5 %</w:t>
            </w:r>
          </w:p>
        </w:tc>
        <w:tc>
          <w:tcPr>
            <w:tcW w:w="6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Other income, net increased by $22.1 million, or 21%, in the nine months ended September 30, 2025 compared to the nine months ended September 30, 2024. This increase was primarily driven by an increase of $34.3 million in interest income, mainly due to income earned from investments in marketable securities. This amount was partially offset by a decrease of $8.2 million in other income mainly due to fluctuations related to foreign currency exchange rates.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largest source of operating cash is cash collection from sales of subscriptions to our customers. Our primary uses of cash from operating activities are for personnel expenses, hosting expenses, facility expenses, and marketing expenses. We generated positive cash flows from operations during the nine months ended September 30, 2025 and 2024. When assessing sources of liquidity, we also include cash and cash equivalents of $540.6 million and marketable securities of $3.6 billion as of September 30, 2025. We believe that our existing cash and cash equivalents, marketable securities and cash flow from operations will be sufficient to support our cash requirements for the next 12 months and beyond.</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working capital requirements principally consist of workforce salaries, bonuses, commissions, and benefits and, to a lesser extent, cancellable and non-cancelable licenses and services arrangements that are integral to our business operations, and operating lease obligations. Our principal commitments consist of purchase commitments for business operations, operating lease obligations, and obligations to pay the Notes’ coupons and principal. Purchase commitments for business operations are primarily related to cloud hosting and other software-based services.</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have also issued long-term debt to finance our business. In June 2020 and December 2024, we issued $747.5 million aggregate principal amount of the 2025 Notes and $1.0 billion aggregate principal amount of the 2029 Notes, respectively, in private placements to qualified institutional buyers pursuant to Rule 144A under the Securities Act. The total net proceeds from the sale of the 2025 Notes and the 2029 Notes, after deducting the initial purchasers’ discounts and debt issuance costs, were approximately $730.2 million and $979.1 million, respectively. We used $196.8 million of the net proceeds from the offering of the 2029 Notes to repurchase approximately $112.0 million in aggregate principal amount of the 2025 Notes, including accrued and unpaid interest, in privately negotiated transactions. In connection with the partial retirement of the 2025 Notes, we entered into a termination agreement relating to a number of options corresponding to the number of 2025 Notes retired. We received approximately $54.7 million in connection with such termination agreements. In addition, we may from time to time seek to retire or purchase the 2029 Notes, through cash purchases and/or exchanges for equity securities, in open market purchases, privately negotiated transactions or otherwise.</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36" w:name="page37"/>
    <w:bookmarkEnd w:id="36"/>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2025 Notes matured on June 15, 2025. During the period from April 1, 2025 through the close of business on June 12, 2025, holders of the 2025 Notes elected to convert all outstanding aggregate principal amount of 2025 Notes in accordance with the terms of the indenture governing the 2025 Notes. We settled these conversions with aggregate cash payments totaling approximately $634.1 million and the issuance of approximately 1,354,569 shares of our Class A common stock. In June 2025, we received approximately 1,360,738 shares of Class A common stock from the settlement of the capped call transactions we entered into in connection with the issuance of the 2025 Notes with the relevant option counterparties, which we retired.</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there have been no material changes outside the ordinary course of business to our contractual obligations and commitments, as disclosed in Part II, Item 7, “Management’s Discussion and Analysis of Financial Condition and Results of Operations” of the Annual Report.</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presented:</w:t>
      </w:r>
    </w:p>
    <w:p>
      <w:pPr>
        <w:spacing w:after="0" w:line="130"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r>
      <w:tr>
        <w:trPr>
          <w:trHeight w:val="23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center"/>
              <w:ind w:left="157"/>
              <w:spacing w:after="0"/>
              <w:rPr>
                <w:sz w:val="20"/>
                <w:szCs w:val="20"/>
                <w:color w:val="auto"/>
              </w:rPr>
            </w:pPr>
            <w:r>
              <w:rPr>
                <w:rFonts w:ascii="Times New Roman" w:cs="Times New Roman" w:eastAsia="Times New Roman" w:hAnsi="Times New Roman"/>
                <w:sz w:val="18"/>
                <w:szCs w:val="18"/>
                <w:color w:val="auto"/>
                <w:w w:val="99"/>
              </w:rPr>
              <w:t>723,066</w:t>
            </w:r>
          </w:p>
        </w:tc>
        <w:tc>
          <w:tcPr>
            <w:tcW w:w="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605,375</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320" w:type="dxa"/>
            <w:vAlign w:val="bottom"/>
          </w:tcPr>
          <w:p>
            <w:pPr>
              <w:spacing w:after="0"/>
              <w:rPr>
                <w:sz w:val="19"/>
                <w:szCs w:val="19"/>
                <w:color w:val="auto"/>
              </w:rPr>
            </w:pPr>
          </w:p>
        </w:tc>
        <w:tc>
          <w:tcPr>
            <w:tcW w:w="1060" w:type="dxa"/>
            <w:vAlign w:val="bottom"/>
          </w:tcPr>
          <w:p>
            <w:pPr>
              <w:jc w:val="center"/>
              <w:ind w:left="117"/>
              <w:spacing w:after="0"/>
              <w:rPr>
                <w:sz w:val="20"/>
                <w:szCs w:val="20"/>
                <w:color w:val="auto"/>
              </w:rPr>
            </w:pPr>
            <w:r>
              <w:rPr>
                <w:rFonts w:ascii="Times New Roman" w:cs="Times New Roman" w:eastAsia="Times New Roman" w:hAnsi="Times New Roman"/>
                <w:sz w:val="18"/>
                <w:szCs w:val="18"/>
                <w:color w:val="auto"/>
                <w:w w:val="99"/>
              </w:rPr>
              <w:t>(836,626)</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(627,476)</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provided by financing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117"/>
              <w:spacing w:after="0"/>
              <w:rPr>
                <w:sz w:val="20"/>
                <w:szCs w:val="20"/>
                <w:color w:val="auto"/>
              </w:rPr>
            </w:pPr>
            <w:r>
              <w:rPr>
                <w:rFonts w:ascii="Times New Roman" w:cs="Times New Roman" w:eastAsia="Times New Roman" w:hAnsi="Times New Roman"/>
                <w:sz w:val="18"/>
                <w:szCs w:val="18"/>
                <w:color w:val="auto"/>
                <w:w w:val="99"/>
              </w:rPr>
              <w:t>(602,530)</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27,659</w:t>
            </w:r>
          </w:p>
        </w:tc>
      </w:tr>
    </w:tbl>
    <w:p>
      <w:pPr>
        <w:spacing w:after="0" w:line="2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for the nine months ended September 30, 2025 increased by $117.7 million compared to the nine months ended September 30, 2024, primarily driven by an increase in non-cash charges of $162.9 million, an increase in accrued expenses and other liabilities of $38.1 million, and an increase in accounts receivable of $27.0 million. The increase in non-cash charges related primarily to an increase of $133.4 million in stock-based compensation as we continued to increase headcount to support the growth of the business. The increase in cash provided by operating activities was partially offset by a decrease in net income of $77.0 million and a decrease in deferred contract costs of $27.2 million.</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2025 increased by $209.2 million compared to the nine months ended September 30, 2024, primarily driven by an increase of $371.4 million in the purchases of marketable securities and an increase of $116.6 million in cash paid for the acquisition of businesses net of cash acquired. The increase in cash used in investing activities was partially offset by an increase of $293.9 million in proceeds from maturities of marketable securities.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Net cash (used in) provided by financing activities for the nine months ended September 30, 2025 decreased $630.2 million compared to the nine months ended September 30, 2024, primarily due to the repayment of the 2025 Notes for $635.5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Free Cash Flow</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report our financial results in accordance with GAAP. To supplement our condensed consolidated financial statements, we provide investors with the amount of free cash flow, which is a non-GAAP financial measure. Free cash flow represents net cash provided by operating activities, reduced by capital expenditures and capitalized software development costs, if any. Free cash flow is a measure used by management to understand and evaluate the strength of our liquidity and future ability to generate cash that can be used for strategic opportunities or investing in our business. The reduction of capital expenditures and amounts capitalized for software development facilitates comparisons of our liquidity on a period-to-period basis and excludes items that we do not consider to be indicative of our liquidity. Nevertheless, our use of free cash flow has limitations as an analytical tool, and you should not consider it in isolation or as a substitute for analysis of our financial results as reported under GAAP. Further, our definition of free cash flow may differ from the definitions used by other companies and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7" w:name="page38"/>
    <w:bookmarkEnd w:id="37"/>
    <w:p>
      <w:pPr>
        <w:jc w:val="both"/>
        <w:spacing w:after="0" w:line="282" w:lineRule="auto"/>
        <w:rPr>
          <w:sz w:val="20"/>
          <w:szCs w:val="20"/>
          <w:color w:val="auto"/>
        </w:rPr>
      </w:pPr>
      <w:r>
        <w:rPr>
          <w:rFonts w:ascii="Times New Roman" w:cs="Times New Roman" w:eastAsia="Times New Roman" w:hAnsi="Times New Roman"/>
          <w:sz w:val="18"/>
          <w:szCs w:val="18"/>
          <w:color w:val="auto"/>
        </w:rPr>
        <w:t>therefore comparability may be limited. You should consider free cash flow alongside our other GAAP-based financial performance measures, such as net cash used in operating activities, and our other GAAP financial results.</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free cash flow to net cash provided by operating activities, the most directly comparable financial measure calculated in accordance with GAAP, for each of the periods indicated:</w:t>
      </w:r>
    </w:p>
    <w:p>
      <w:pPr>
        <w:spacing w:after="0" w:line="6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r>
      <w:tr>
        <w:trPr>
          <w:trHeight w:val="23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723,066</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605,375</w:t>
            </w:r>
          </w:p>
        </w:tc>
      </w:tr>
      <w:tr>
        <w:trPr>
          <w:trHeight w:val="230"/>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320" w:type="dxa"/>
            <w:vAlign w:val="bottom"/>
          </w:tcPr>
          <w:p>
            <w:pPr>
              <w:spacing w:after="0"/>
              <w:rPr>
                <w:sz w:val="19"/>
                <w:szCs w:val="19"/>
                <w:color w:val="auto"/>
              </w:rPr>
            </w:pPr>
          </w:p>
        </w:tc>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(40,686)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(26,958)</w:t>
            </w:r>
          </w:p>
        </w:tc>
      </w:tr>
      <w:tr>
        <w:trPr>
          <w:trHeight w:val="22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Capitalized software development costs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(58,684)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(44,286)</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623,696</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534,131</w:t>
            </w: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from those disclosed in Part II, Item 7, “Management’s Discussion and Analysis of Financial Condition and Results of Operations” of the Annual Report, except as noted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Accounting Estimate</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January 2025, we completed an assessment of the useful life of our capitalized software development costs, resulting in an increase in the estimated useful life of capitalized software development costs from two to three years. This change in accounting estimate was effective beginning fiscal year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7"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Basis of Presentation and Summary of Significant Accounting Policies</w:t>
      </w:r>
      <w:r>
        <w:rPr>
          <w:rFonts w:ascii="Times New Roman" w:cs="Times New Roman" w:eastAsia="Times New Roman" w:hAnsi="Times New Roman"/>
          <w:sz w:val="18"/>
          <w:szCs w:val="18"/>
          <w:color w:val="auto"/>
        </w:rPr>
        <w:t>, in our Notes to Unaudited Condensed Consolidated Financial Statements included in Part I, Item 1 of this Quarterly Report on Form 10-Q for a discussion of recent accounting pronouncements.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As of September 30, 2025, we had $506.8 million in cash equivalents and $3.6 billion in marketable securities, </w:t>
      </w:r>
      <w:r>
        <w:rPr>
          <w:rFonts w:ascii="Times New Roman" w:cs="Times New Roman" w:eastAsia="Times New Roman" w:hAnsi="Times New Roman"/>
          <w:sz w:val="18"/>
          <w:szCs w:val="18"/>
          <w:color w:val="333333"/>
        </w:rPr>
        <w:t>which consisted</w:t>
      </w:r>
      <w:r>
        <w:rPr>
          <w:rFonts w:ascii="Times New Roman" w:cs="Times New Roman" w:eastAsia="Times New Roman" w:hAnsi="Times New Roman"/>
          <w:sz w:val="18"/>
          <w:szCs w:val="18"/>
          <w:color w:val="auto"/>
        </w:rPr>
        <w:t xml:space="preserve"> of corporate debt, commercial paper, U.S. government treasury securities, certificates of deposit, and U.S. government agency securities</w:t>
      </w:r>
      <w:r>
        <w:rPr>
          <w:rFonts w:ascii="Times New Roman" w:cs="Times New Roman" w:eastAsia="Times New Roman" w:hAnsi="Times New Roman"/>
          <w:sz w:val="18"/>
          <w:szCs w:val="18"/>
          <w:color w:val="333333"/>
        </w:rPr>
        <w:t>.</w:t>
      </w:r>
      <w:r>
        <w:rPr>
          <w:rFonts w:ascii="Times New Roman" w:cs="Times New Roman" w:eastAsia="Times New Roman" w:hAnsi="Times New Roman"/>
          <w:sz w:val="18"/>
          <w:szCs w:val="18"/>
          <w:color w:val="auto"/>
        </w:rPr>
        <w:t xml:space="preserve"> Our cash and cash equivalents are held for working capital purposes. We do not enter into investments for trading or speculative purposes. </w:t>
      </w:r>
      <w:r>
        <w:rPr>
          <w:rFonts w:ascii="Times New Roman" w:cs="Times New Roman" w:eastAsia="Times New Roman" w:hAnsi="Times New Roman"/>
          <w:sz w:val="18"/>
          <w:szCs w:val="18"/>
          <w:color w:val="333333"/>
        </w:rPr>
        <w:t>Our investments are exposed to market risk due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 xml:space="preserve">a fluctuation in interest rates, which may affect our interest income and the fair market value of our investments. </w:t>
      </w:r>
      <w:r>
        <w:rPr>
          <w:rFonts w:ascii="Times New Roman" w:cs="Times New Roman" w:eastAsia="Times New Roman" w:hAnsi="Times New Roman"/>
          <w:sz w:val="18"/>
          <w:szCs w:val="18"/>
          <w:color w:val="000000"/>
        </w:rPr>
        <w:t>As of September 30, 2025, a hypothetical</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10% relative change in interest rates would not have a material impact on our condensed consolidated financial statements.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reporting currency and the functional currency of our wholly-owned foreign subsidiaries is the U.S. dollar. All of our sales are denominated in U.S. dollars, and therefore our revenue is not currently subject to significant foreign currency risk. Our operating expenses are denominated in the currencies of the countries in which our operations are located, which are primarily in the United States, France, Ireland, and the United Kingdom. Our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although we may choose to do so in the future. A hypothetical 10% increase or decrease in the relative value of the U.S. dollar to other currencies would not have a material effect on our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September 30, 2025. Based on the evaluation of our disclosure controls and procedures as of September 30, 2025, our Chief Executive Officer and Chief Financial Officer concluded that, as of such date, our disclosure controls and procedures were effective at the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Quarterly Report on Form 10-Q, including our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Class A common stock could decline.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summary of the principal risks associated with an investment in our Class A common stock:</w:t>
      </w:r>
    </w:p>
    <w:p>
      <w:pPr>
        <w:spacing w:after="0" w:line="117" w:lineRule="exact"/>
        <w:rPr>
          <w:sz w:val="20"/>
          <w:szCs w:val="20"/>
          <w:color w:val="auto"/>
        </w:rPr>
      </w:pPr>
    </w:p>
    <w:p>
      <w:pPr>
        <w:ind w:left="98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our industry or the global economy, or reductions in information technology spending, could limit our ability to grow our business and negatively affect our results of operations.</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 rapid growth may not be indicative of our future growth. Our rapid growth also makes it difficult to evaluate our future prospects and may increase the risk that we will not be successful.</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and may not achieve or sustain profitability in the future.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which makes it difficult to forecast our future results of operations.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additional capital to support the growth of our business, and this capital might not be available on acceptable terms, if at all.</w:t>
      </w:r>
    </w:p>
    <w:p>
      <w:pPr>
        <w:spacing w:after="0" w:line="117"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existing customers purchasing additional subscriptions and products from us and renewing their subscriptions. If our customers do not renew or expand their subscriptions with us, or decrease their spend on our products, our future operating results would be harmed.</w:t>
      </w:r>
    </w:p>
    <w:p>
      <w:pPr>
        <w:spacing w:after="0" w:line="6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customers, our business, financial condition and results of operations will be adversely affected.</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our sales and marketing capabilities could harm our ability to increase our customer base and achieve broader market acceptance of our products.</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61"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third-party service providers experience, or are unable to protect against cyber-attacks, ransomware, security incidents, or security breaches, or if unauthorized parties otherwise obtain access to our customers’ data, our data, or our platform and information technology systems, then our solution may be perceived as not being secure, our reputation may be harmed, demand for our platform and products may be reduced, and we may incur significant liabilities or additional expenses.</w:t>
      </w:r>
    </w:p>
    <w:p>
      <w:pPr>
        <w:spacing w:after="0" w:line="7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performance problems associated with our products and platform capabilities may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manage our growth, and if we are not able to grow efficiently, our business, financial condition and results of operations could be harmed.</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0" w:name="page41"/>
    <w:bookmarkEnd w:id="40"/>
    <w:p>
      <w:pPr>
        <w:ind w:left="980" w:hanging="486"/>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we participate are competitive, and if we do not compete effectively, our business, financial condition and results of operations could be harmed.</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third-party service providers are subject to stringent and changing laws, regulations standards, and contractual obligations related to data privacy and security. Actual or perceived failure by us or our third-party service providers to comply with such laws, regulations, standards, or contractual obligations could harm our business.</w:t>
      </w:r>
    </w:p>
    <w:p>
      <w:pPr>
        <w:spacing w:after="0" w:line="67"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Growth</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conditions in our industry or the global economy, or reductions in information technology spending, could limit our ability to grow our business and negatively affect our results of operations.</w:t>
      </w:r>
    </w:p>
    <w:p>
      <w:pPr>
        <w:spacing w:after="0" w:line="15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results of operations may vary based on the impact of unfavorable changes in our industry or the global economy on us or our customers and potential customers. Unfavorable conditions in the economy both in the United States and abroad, including conditions resulting from changes in gross domestic product growth in the United States or abroad, changes in trade policies, such as trade wars, tariffs or other trade restrictions or the threat of such actions, financial and credit market fluctuations, fluctuating inflation and interest rates, international trade relations, political turmoil, natural catastrophes, outbreaks of contagious diseases, warfare and terrorist attacks on the United States, Europe, the Asia Pacific region or elsewhere, such as the conflicts in Ukraine and the Middle East, could cause a decrease in business investments, including spending on information technology, disrupt the timing and cadence of key industry events, and negatively affect the growth of our business and our results of operations. Such catastrophic and disruptive events have and may adversely affect workforces, economies and financial markets globally, leading to a reduction in the ability of, or the inability of, customers, partners, suppliers, vendors or other parties to meet their contractual obligations, and for a period of time, a reduction in customer spending on technology, and such conditions have and may reoccur in the future. For instance, there is currently significant uncertainty about trade policies, treaties, tariffs and taxes. Even in the absence of tariffs or other trade restrictions, the related uncertainty with respect to international trade may lead to continuing volatility in U.S. and global financial and economic conditions and commodity markets, declining consumer confidence, significant inflation and diminished expectations for the economy, and ultimately reduced usage and demand for our products. The war in Ukraine, conflicts in the Middle East and related political and economic responses such as sanctions imposed on Russia, may also exacerbate these issues and trends especially in these regions. In addition interest rates remain elevated, which may dampen economic growth and cause companies to moderate spending on information technology. These types of unfavorable conditions could disrupt the timing of and attendance at key industry events, which we rely upon in part to generate sales of our products. If those events are disrupted, our marketing investments, sales pipeline and ability to generate new customers and sales of our products could be negatively and adversely affected. Our competitors, many of which are larger and have greater financial resources than we do, may respond to challenging market conditions by lowering prices in an attempt to attract our customers and may be less dependent on key industry events to generate sales for their products. The increased pace of consolidation in certain industries may result in reduced overall spending on our products and solutions. We cannot predict the timing, strength, or duration of any economic slowdown, instability, or recovery, generally or how any such event may impact our business.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recent rapid growth may not be indicative of our future growth. Our rapid growth also makes it difficult to evaluate our future prospects and may increase the risk that we will not be successful.</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revenue was $2,474.0 million and $1,946.5 million for the nine months ended September 30, 2025 and 2024, respectively. You should not rely on the revenue growth of any prior quarterly or annual period as an indication of our future performance. Even if our revenue continues to increase, we expect that our revenue growth rate will decline in the future as a result of a variety of factors, including the maturation of our business. Overall growth of our revenue depends on a number of factors, including our ability to:</w:t>
      </w:r>
    </w:p>
    <w:p>
      <w:pPr>
        <w:spacing w:after="0" w:line="72" w:lineRule="exact"/>
        <w:rPr>
          <w:sz w:val="20"/>
          <w:szCs w:val="20"/>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products effectively so that we are able to attract new customers and expand sales to our existing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functionality and use cases for the products we offer on our platform;</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expand the rates at which customers purchase and renew subscriptions to our platform;</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customers with support that meets their needs;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introduce our products to new markets outside of the United States;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identify and acquire or invest in businesses, products or technologies that we believe could complement or expand our platform;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awareness of our brand on a global basis and successfully compete with other companies.</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may not successfully accomplish any of these objectives, and as a result, it is difficult for us to forecast our future results of operations. If the assumptions that we use to plan our business are incorrect or change in reaction to changes in our market, or if we are unable to maintain consistent revenue or revenue growth, our stock price could be volatile, and it may be difficult to achieve and maintain profitability. You should not rely on our revenue for any prior quarterly or annual periods as any indication of our future revenue or revenue growth.</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addition, we expect to continue to expend substantial financial and other resources on:</w:t>
      </w:r>
    </w:p>
    <w:p>
      <w:pPr>
        <w:spacing w:after="0" w:line="117" w:lineRule="exact"/>
        <w:rPr>
          <w:sz w:val="20"/>
          <w:szCs w:val="20"/>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infrastructure, including systems architecture, scalability, availability, performance and security;</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marketing organization to engage our existing and prospective customers, increase brand awareness and drive adoption of our products;</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including investments in our product development team and the development of new products and new functionality for our platform as well as investments in further optimizing our existing products and infrastructure;</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strategic investments;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expansion;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These investments may not result in increased revenue growth in our business. Additionally, we may encounter unforeseen operating expenses, difficulties, complications, delays, and other unknown factors that may result in losses in future periods. In future periods if our revenue growth does not meet our expectations or increase at a rate sufficient to offset the expected increase in our costs, our business, financial position and results of operations may be harmed, and we may not maintain profitability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may not sustain profitability in the future.</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Prior to the year ended December 31, 2023, we incurred net losses in each fiscal year since our inception, including a net loss of $(50.2) million in the year ended December 31, 2022. While we have experienced significant revenue growth in recent periods and periods of profitability, we are not certain whether or when we will obtain a high enough volume of sales to sustain or increase our growth or maintain profitability in the future. We also expect our costs and expenses to increase in future periods, which could negatively affect our future results of operations if our revenue does not increase. In particular, we intend to continue to expend significant funds to further develop our platform, including by introducing new products and functionality, and to expand our inside and field sales teams and customer success team to drive new customer adoption, expand use cases and integrations, and support international expansion. We will also face increased compliance costs associated with growth and the expansion of our customer base. Our efforts to grow our business may be costlier than we expect, or the rate of our growth in revenue may be slower than we expect, and we may not be able to increase our revenue enough to offset our increased operating expenses. We may incur significant losses in the future for a number of reasons, including the other risks described herein, and unforeseen expenses, difficulties, complications or delays, and other unknown events. If we are unable to sustain profitability, the value of our business and Class A common stock may significantly decrease.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at our current scale, which makes it difficult to forecast our future results of operations.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a result of our limited operating history at our current scale and the introduction of several new products in recent years,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our revenue could decline for a number of reasons, including slowing demand for our products, increasing competition, changes to technology, a decrease in the growth of our overall market, or our failure, for any reason, to continue to take advantage of growth opportunities. We have also encountered, and will continue to encounter, risks and uncertainties frequently experienced by growing companies in rapidly changing industries, such as the risks and uncertainties described herein. If our assumptions regarding these risks and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jc w:val="both"/>
        <w:spacing w:after="0" w:line="282" w:lineRule="auto"/>
        <w:rPr>
          <w:sz w:val="20"/>
          <w:szCs w:val="20"/>
          <w:color w:val="auto"/>
        </w:rPr>
      </w:pPr>
      <w:r>
        <w:rPr>
          <w:rFonts w:ascii="Times New Roman" w:cs="Times New Roman" w:eastAsia="Times New Roman" w:hAnsi="Times New Roman"/>
          <w:sz w:val="18"/>
          <w:szCs w:val="18"/>
          <w:color w:val="auto"/>
        </w:rPr>
        <w:t>uncertainties and our future revenue growth are incorrect or change, or if we do not address these risks successfully, our operating and financial results could differ materially from our expectations, and our business could suffer.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the growth of our business, and this capital might not be available on acceptable terms, if at all.</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funded our operations since inception primarily through equity and debt financings and sales of our products. We cannot be certain if our operations will continue to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 See also "Risks Related to Our Outstanding Notes."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and Operational Risks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existing customers purchasing additional subscriptions and products from us and renewing their subscriptions. If our customers do not renew or expand their subscriptions with us, or decrease their spend on our products, our future operating results would be harmed.</w:t>
      </w:r>
    </w:p>
    <w:p>
      <w:pPr>
        <w:spacing w:after="0" w:line="15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future success depends in part on our ability to sell additional subscriptions and products to our existing customers, and our customers renewing their subscriptions when the contract term expires. The terms of our subscription agreements are primarily monthly or annual, with some quarterly, semiannual and multi-year. Our customers have no obligation to renew their subscriptions for our products after the expiration of their subscription period. In order for us to maintain or improve our results of operations, it is important that our customers renew or expand their subscriptions with us. Whether our customers renew or expand their subscriptions with us may be impacted by a number of factors, including business strength or weakness of our customers, customer usage, customer satisfaction with our products and platform capabilities and customer support, our prices, the capabilities and prices of competing products, mergers and acquisitions affecting our customer base, consolidation of affiliates’ multiple paid business accounts into a single paid business account, or reductions in our customers’ spending on IT solutions or their spending levels generally. These factors may be exacerbated by unfavorable conditions in the economy, see “Risks Associated with our Growth—Unfavorable conditions in our industry or the global economy, or reductions in information technology spending, could limit our ability to grow our business and negatively affect our results of operations” above. These factors may also be exacerbated if, consistent with our growth strategy, our customer base continues to grow to encompass larger enterprises, which may also require more sophisticated and costly sales efforts. Certain customers and cohorts of customers in specific industries have or in the future may increase usage of our product and then seek to optimize their usage, renew their subscriptions on terms less favorable to us, or not renew their subscriptions, which may result in revenue volatility. For example, in prior periods customers in our cloud-native cohort, and more recently larger customers in our AI-native cohort, which cohort includes our largest customer and represented approximately eight percentage points of our year-over-year revenue growth for the quarter ended September 30, 2025, have rapidly increased their usage of our product and then optimized or may in the future optimize their usage or fail to renew their subscriptions. If our customers do not purchase additional subscriptions and products from us, reduce their usage, fail to renew their subscriptions or renew on different terms, our revenue and dollar-based net retention may decline and our business, financial condition and results of operations may be harmed.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our business, financial condition and results of operations will be adversely affected.</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To increase our revenue, we must continue to attract new customers. Our success will depend to a substantial extent on the widespread adoption of our platform and products as an alternative to existing solutions. Many enterprises have invested substantial personnel and financial resources to integrate traditional on-premise architectures into their businesses and, therefore, may be reluctant or unwilling to migrate to cloud computing. Further, the adoption of SaaS business software may be slower in industries with heightened data security interests or business practices requiring highly-customizable application software. In addition, as our market matures, our products evolve, and competitors introduce lower cost or differentiated products that are perceived to compete with our platform and products, our ability to sell subscriptions for our products could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3" w:name="page44"/>
    <w:bookmarkEnd w:id="43"/>
    <w:p>
      <w:pPr>
        <w:jc w:val="both"/>
        <w:spacing w:after="0" w:line="261" w:lineRule="auto"/>
        <w:rPr>
          <w:sz w:val="20"/>
          <w:szCs w:val="20"/>
          <w:color w:val="auto"/>
        </w:rPr>
      </w:pPr>
      <w:r>
        <w:rPr>
          <w:rFonts w:ascii="Times New Roman" w:cs="Times New Roman" w:eastAsia="Times New Roman" w:hAnsi="Times New Roman"/>
          <w:sz w:val="18"/>
          <w:szCs w:val="18"/>
          <w:color w:val="auto"/>
        </w:rPr>
        <w:t>be impaired. Similarly, our subscription sales could be adversely affected if customers or users within these organizations perceive that features incorporated into competitive products reduce the need for our products or if they prefer to purchase other products that are bundled with solutions offered by other companies that operate in adjacent markets and compete with our products. As a result of these and other factors, we may be unable to attract new customers, which may have an adverse effect on our business, financial condition and results of operations.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sales and marketing capabilities could harm our ability to increase our customer base and achieve broader market acceptance of our products.</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ability to increase our customer base and achieve broader market acceptance of our products and platform capabilities will depend to a significant extent on our ability to expand our sales and marketing organization. We plan to continue expanding our direct sales force, both domestically and internationally. We also plan to dedicate significant resources to sales and marketing programs. All of these efforts will require us to invest significant financial and other resources, including in channels in which we have limited or no experience to date. Our business and results of operations will be harmed if our sales and marketing efforts do not generate significant increases in revenue or increases in revenue that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or the third-parties with whom we work experience, or are unable to protect against cyber-attacks, ransomware, security incidents, or security breaches, or if unauthorized parties otherwise obtain access to or otherwise compromise our customers’ data, our data, or our platform and information technology systems, then our solution may be perceived as not being secure, our reputation may be harmed, demand for our platform and products may be reduced, and we may incur significant liabilities or additional expenses.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collect, receive, store, process, generate, use, transfer, disclose, make accessible, protect, secure, dispose of and share personal, confidential and proprietary information and other information (collectively, sensitive information) necessary to provide our services, to operate our business, for legal and marketing purposes, and for other business-related purposes.</w:t>
      </w:r>
    </w:p>
    <w:p>
      <w:pPr>
        <w:spacing w:after="0" w:line="17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platform and products involve the storage and transmission of data, including personal information, and security breaches or unauthorized access to our platform and products, or those of the third-parties with whom we work, could result in the unauthorized, unlawful, or accidental acquisition, modification, destruction, loss, alteration, encryption, disclosure of, or access to sensitive information including our customers’ data. Consequently, we may be subject to significant litigation, indemnity obligations, fines, penalties, disputes, investigations and other liabilities. We have previously and may in the future become the target of cyber-attacks by third parties, including without limitation nation-state actors, seeking to gain unauthorized access to and exfiltrate our or our customers’ data, including confidential and personal information, or to disrupt our ability to provide our services. In addition, many of our employees work remotely and utilize network connections, computers and devices outside our premises or network, which may pose additional data security risks (including, for example, the increasing number of phishing and malicious emails we continue to receive). The reliability and continuous availability of our platform is critical to our success.</w:t>
      </w:r>
    </w:p>
    <w:p>
      <w:pPr>
        <w:spacing w:after="0" w:line="188"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use third-parties, including sub-processors, to help us deliver services to our customers. These vendors, such as cloud infrastructure providers, store or process personal and confidential information for us or our customers. We use third-party technology, systems and services in a variety of contexts, including, without limitation, cloud infrastructure, encryption and authentication technology, employee email, content delivery to customers, back-office support, credit card processing and other functions. While we have taken steps designed to protect the confidential and personal information that we have access to, our security measures or those of the third-parties with whom we work that store or otherwise process certain of our and our customers’ data on our behalf could be breached or we could suffer a loss of our or our customers’ data. Our ability to monitor these third-parties’ data security is limited, and they may not have adequate information security measures in place. Cyber-attacks, computer malware, viruses, employee mistakes or malfeasance, social engineering (including through deep fakes and spear phishing), malicious code, denial-of-service attacks, credential harvesting and general hacking have become more prevalent in our industry, particularly against cloud services, and have become enhanced or facilitated by artificial intelligence. Ransomware attacks, including those from organized criminal threat actors, nation-states and nation-state supported actors, are prevalent and can lead to significant interruptions, delays, or outages in our operations, loss of data (including customer data), loss of income, significant extra expenses to restore data or systems, reputational loss and the diversion of funds. To alleviate the financial, operational and reputational impact of a ransomware attack it may be preferable to make extortion payments, but we may be unwilling or unable to do so (including, for example, if applicable laws or regulations prohibit such payments). Similarly, supply chain attacks have increased in frequency and severity, and we cannot guarantee that third parties and infrastructure in our supply chain have not been compromised or that they do not contain exploitable defects or bugs that could</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result in a breach of or disruption to our platform, systems and networks or the systems and networks of third parties that support us and our services.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Despite the security controls we have in place, such attacks are very difficult to avoid.</w:t>
      </w:r>
    </w:p>
    <w:p>
      <w:pPr>
        <w:spacing w:after="0" w:line="20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There can be no assurance that any security measures that we or the third-parties with whom we work have implemented will be effective against current or future security threats. While we have developed systems and processes designed to protect the integrity, confidentiality, and security of our and our customers’ data, our security measures or those of the third-parties with whom we work could fail and result in unauthorized access to or disclosure, modification, misuse, loss or destruction of such data.</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Third parties may also conduct attacks designed to temporarily deny customers access to our cloud services. Any security breach or other security incident, or the perception that one has occurred, could result in a loss of customer confidence in the security of our platform and damage to our brand, reduce the demand for our products, disrupt normal business operations, require us to spend material resources to investigate or correct the breach and to prevent future security breaches and incidents, expose us to legal liabilities, including litigation, regulatory enforcement, and indemnity obligations, and adversely affect our business, financial condition and results of operations. These risks are likely to increase as we continue to grow and process, store, and transmit increasingly large amounts of data.</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we do not directly control content that our customers store in our products. If our customers use our products for the collection, transmission or storage of personal information and our security measures are or are believed to have been breached as a result of third-party action, employee error, malfeasance or otherwise, our reputation could be damaged, our business may suffer, and we could incur significant liability. Our remediation efforts may not be successful. We employ a shared responsibility model where our customers are responsible for using, configuring, and otherwise implementing security measures related to our platform, services, and products. As part of this shared responsibility security model, we make certain security features available to our customers that can be implemented at our customers’ discretion, or identify security areas or measures for which our customers are responsible. In certain cases our customers may choose not to implement, or may incorrectly implement, those features or measures, misuse our services, or otherwise experience their own vulnerabilities, policy violations, credential exposure, or security incidents. Even if we are not the cause of a resulting customer security issue or incident, our customer relationships, reputation, and business may be adversely impacted.</w:t>
      </w:r>
    </w:p>
    <w:p>
      <w:pPr>
        <w:spacing w:after="0" w:line="18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also process, store and transmit our own data as part of our business and operations. This data includes personal, confidential or proprietary information. We may expend significant resources, fundamentally change our business activities and practices, or modify our operations or information technology in an effort to protect against security incidents and to mitigate, detect, and remediate actual and potential vulnerabilities.</w:t>
      </w:r>
    </w:p>
    <w:p>
      <w:pPr>
        <w:spacing w:after="0" w:line="17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take steps designed to detect, mitigate, and remediate vulnerabilities in our information systems (such as our hardware and/or software, including that of third parties with whom we work). We may not, however, detect and remediate all such vulnerabilities on a timely basis. Among other things, our applications, systems, networks, software, other computer assets and physical facilities could be breached or could otherwise malfunction or fail, or the sensitive information that we store could be otherwise compromised due to employee error or malfeasance, if, for example, third parties fraudulently induce our employees or our members to disclose information or user names and/or passwords, or otherwise compromise the security of our networks, systems and/or physical facilities. For example, in April 2025, we notified customers of access by an unauthorized third party to a number of Datadog source code repositories arising from compromised employee account credentials. After discovering the access, we revoked the credentials and terminated the unauthorized access. However, such unauthorized access may increase our vulnerability to certain attacks at a later date through exploitation of our source code, including the exploitation of potential vulnerabilities in the Datadog platform or products, or information stored within the source code. Additionally, from time to time employees or service providers may inadvertently misconfigure resources or misdirect certain communications, leading to security vulnerabilities or incidents that we must then expend effort and incur expenses to correct.</w:t>
      </w:r>
    </w:p>
    <w:p>
      <w:pPr>
        <w:spacing w:after="0" w:line="19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may have contractual and other legal obligations, or we may voluntarily choose, to notify relevant stakeholders of security incidents. For instance, most jurisdictions have enacted laws, such as the U.S. Health Insurance Portability and Accountability Act of 1996, or HIPAA, requiring companies to notify individuals, regulatory authorities, and others of security breaches involving certain types of data. Such mandatory contractual and legal disclosures are costly, could lead to negative publicity, may cause our customers to lose confidence in the effectiveness of our security measures and require us to expend significant capital and other resources to respond to and/or alleviate problems caused by the actual or perceived security breach, and any failure to provide appropriate notice may violate the terms of our customer contracts. Applicable laws, our contracts and our representations require us to implement and maintain industry-standard or reasonable measures to safeguard personal information or confidential information. A security breach could lead to claims by our customers, or other relevant stakeholders, that we have failed to comply with such legal or contractual obligations. As a result, we could be subject to legal</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5" w:name="page46"/>
    <w:bookmarkEnd w:id="4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action or our customers could end their relationships with us. Further, our contracts may not contain limitations of liability, and even where they do, there can be no assurance that any limitations of liability would be enforceable or adequate or would otherwise protect us from liabilities or damages.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costs to respond to a security breach and/or mitigate any security vulnerabilities that may be identified could be significant, our efforts to address these problems may not be successful, and these problems could result in unexpected interruptions, delays, cessation of service, negative publicity, and other harm to our business and our competitive position. We could be required to fundamentally change our business activities and practices in response to a security breach or related regulatory actions or litigation, which could have an adverse effect on our business.</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Additionally, we cannot be certain that our insurance coverage will be adequate or sufficient for fines, judgments, settlements, penalties, costs, attorney fees and other impacts that arise out of privacy or security incidents or breaches. If the impacts of a privacy or security incident or breach, or the successful assertion of one or more large claims against us that exceeds our available insurance coverage, or results in changes to our insurance policies (including premium increases or the imposition of large deductible or co-insurance requirements), it could have an adverse effect on our business. In addition, we cannot be sure that our existing insurance coverage, cyber coverage and coverage for errors and omissions will continue to be available on acceptable terms or that our insurers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 Our risks are likely to increase as we continue to expand, grow our customer base, and process, store, and transmit increasingly large amounts of sensitive information.</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Real or perceived errors, failures or bugs in our software could adversely affect our business, results of operations, financial condition and growth prospects.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software is complex and therefore, undetected errors, failures or bugs have occurred in the past and may occur in the future. Our software is used in IT environments with different operating systems, system management software, applications, devices, databases, servers, storage, middleware, custom and third-party applications and equipment and networking configurations, which may cause errors or failures in the IT environment into which our software is deployed. This diversity increases the likelihood of errors or failures in those IT environments. Despite testing by us, real or perceived errors, failures or bugs may not be found until our customers use our software. Our systems could also be negatively affected by vulnerabilities present in acquired or integrated entities’ systems and technologies, and such vulnerabilities may not be discovered during our due diligence. Real or perceived errors, failures or bugs in our products could result in negative publicity, security breaches or other security incidents, loss of or delay in market acceptance of our software, regulatory investigations and enforcement actions, harm to our brand, weakening of our competitive position, or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 real or perceived errors, failures or bugs in our software could also impair our ability to attract new customers, retain existing customers or expand their use of our software, which would adversely affect our business, results of operations and financial condition.</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or performance problems associated with our products and platform capabilities may adversely affect our business, financial condition and results of operations.</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continued growth depends in part on the ability of our existing and potential customers to access our products and platform capabilities at any time and within an acceptable amount of time. We have experienced, and may in the future experience, disruptions, outages, and other performance problems due to a variety of factors, including infrastructure changes, introductions of new functionality, human or software errors, capacity constraints due to an overwhelming number of users accessing our products and platform capabilities simultaneously, denial of service attacks, or other security-related incidents. For example, in March 2023, our platform experienced widespread outages across multiple products and regions, which was substantially resolved in approximately a day.</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It may become increasingly difficult to maintain and improve our performance, especially during peak usage times and as our products and platform capabilities become more complex and our user traffic increases. If our products and platform capabilities are unavailable or if our users are unable to access our products and platform capabilities within a reasonable amount of time or at all, we may experience a loss of customers, lost or delayed market acceptance of our platform and products, delays in payment to us by customers, injury to our reputation and brand, legal claims against us, and the diversion of our resources. In addition, to the extent that we do not effectively address capacity constraints, upgrade our systems as needed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6" w:name="page47"/>
    <w:bookmarkEnd w:id="46"/>
    <w:p>
      <w:pPr>
        <w:jc w:val="both"/>
        <w:spacing w:after="0" w:line="282" w:lineRule="auto"/>
        <w:rPr>
          <w:sz w:val="20"/>
          <w:szCs w:val="20"/>
          <w:color w:val="auto"/>
        </w:rPr>
      </w:pPr>
      <w:r>
        <w:rPr>
          <w:rFonts w:ascii="Times New Roman" w:cs="Times New Roman" w:eastAsia="Times New Roman" w:hAnsi="Times New Roman"/>
          <w:sz w:val="18"/>
          <w:szCs w:val="18"/>
          <w:color w:val="auto"/>
        </w:rPr>
        <w:t>and continually develop our technology and network architecture to accommodate actual and anticipated changes in technology, our business, financial condition and results of operations may be adversely affected.</w:t>
      </w:r>
    </w:p>
    <w:p>
      <w:pPr>
        <w:spacing w:after="0" w:line="18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manage our growth, and if we are not able to grow efficiently, our business, financial condition and results of operations could be harmed.</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usage of our platform capabilities grow, we will need to devote additional resources to improving and maintaining our infrastructure and integrating with third-party applications. In addition, we will need to appropriately scale our internal business systems and our services organization, including customer support and professional services, to serve our growing customer base. Any failure of or delay in these efforts could result in impaired system performance and reduced customer satisfaction, resulting in decreased sales to new customers, lower dollar-based net retention rates or, the issuance of service credits or requested refunds, which would hurt our revenue growth and our reputation. Further, any failure in optimizing our spend on third-party cloud services as we scale could negatively impact our gross margins. Even if we are successful in our expansion efforts, they will be expensive and complex, and require the dedication of significant management time and attention. We could also face inefficiencies or service disruptions as a result of our efforts to scale our internal infrastructure. We cannot be sure that the expansion of and improvements to our internal infrastructure will be effectively implemented on a timely basis, if at all, and such failures could harm our business, financial condition and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upon third-party providers of cloud-based infrastructure to host our products. Any disruption in the operations of these third-party providers, limitations on capacity or interference with our use could adversely affect our business, financial condition and results of operations.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outsource substantially all of the infrastructure relating to our cloud solution to third-party hosting services. Customers of our cloud-based products need to be able to access our platform at any time, without interruption or degradation of performance, and we provide them with service-level commitments with respect to uptime. Our cloud-based products depend on protecting the virtual cloud infrastructure hosted by third-party hosting services by maintaining its configuration, architecture, features and interconnection specifications, as well as the information stored in these virtual data centers, which is transmitted by third-party internet service providers. Any limitation on the capacity of our third-party hosting services could impede our ability to onboard new customers or expand the usage of our existing customers, which could adversely affect our business, financial condition and results of operations. In addition, any incident affecting our third-party hosting services’ infrastructure that may be caused by cyber-attacks, natural disasters, fire, flood, severe storm, earthquake, power loss, telecommunications failures, outbreaks of contagious diseases, terrorist or other attacks, and other similar events beyond our control could negatively affect our cloud-based products. A prolonged service disruption affecting our cloud-based solution for any of the foregoing reasons would negatively impact our ability to serve our customers and could damage our reputation with current and potential customers, expose us to liability, cause us to lose customers or otherwise harm our business. We may also incur significant costs for using alternative equipment or taking other actions in preparation for, or in reaction to, events that damage the third-party hosting services we use.</w:t>
      </w:r>
    </w:p>
    <w:p>
      <w:pPr>
        <w:spacing w:after="0" w:line="19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event that our service agreements with our third-party hosting services are terminated, or there is a lapse of service, elimination of services or features that we utilize, interruption of internet service provider connectivity or damage to such facilities, we could experience interruptions in access to our platform as well as significant delays and additional expense in arranging or creating new facilities and services and/or re-architecting our cloud solution for deployment on a different cloud infrastructure service provider, which could adversely affect our business, financial condition and results of operations.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offer free trials and a free tier of our platform to drive developer awareness of our products, and encourage usage and adoption. If these marketing strategies fail to lead to customers purchasing paid subscriptions, our ability to grow our revenue will be adversely affected.</w:t>
      </w:r>
    </w:p>
    <w:p>
      <w:pPr>
        <w:spacing w:after="0" w:line="18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 encourage awareness, usage, familiarity and adoption of our platform and products, we offer free trials and a free tier of our platform. These strategies may not be successful in leading customers to purchase our products, as users of our free tier may not lead to them or others within their organization purchasing and deploying our platform. To the extent that users do not become, or we are unable to successfully attract paying customers, we will not realize the intended benefits of these marketing strategies and our ability to grow our revenue will be adversely affected.</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could decline.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7" w:name="page48"/>
    <w:bookmarkEnd w:id="47"/>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results of operations have fluctuated in the past and are expected to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68" w:lineRule="exact"/>
        <w:rPr>
          <w:sz w:val="20"/>
          <w:szCs w:val="20"/>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or pricing of our platform and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usage of our platform and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expansion rates and the pricing and quantity of subscriptions renewed;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subscriptions from customers in our cloud-provider marketplaces;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amount of our investments to expand the capacity of our third-party cloud infrastructure providers;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driven by industry conferences;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in new products and features relative to investments in our existing infrastructure and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customer purchases;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or delays in purchasing decisions in anticipation of new products or enhancements by us or our competitors;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customers’ budgets and in the timing of their budget cycles and purchasing decisions;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 for operating expenses, particularly research and development and sales and marketing expenses, including commissions;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non-cash expenses, including stock-based compensation, goodwill impairments and other non-cash charges;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and retaining and motivating existing employees;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acquisitions and their integration;</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domestically and internationally, as well as economic conditions specifically affecting regions and industries in which our customers participate, including those impacted by the war in Ukraine and conflicts in the Middle East;</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trade policies, such as trade wars, tariffs or other trade restrictions or the threat of such actions;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other economic factors, including inflation, pricing and currency fluctuations;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or legal environments that may cause us to incur, among other elements, expenses associated with compliance;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 including consolidation among competitors or customers;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of, technical difficulties with, or interruptions to, the delivery and use of our products and platform capabilities.</w:t>
      </w:r>
    </w:p>
    <w:p>
      <w:pPr>
        <w:spacing w:after="0" w:line="2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fluctuating inflation and interest rates, and uncertainty about economic stability. For a discussion of certain of these economic, political, regulatory, and market risks, see “Risks Associated with our Growth—Unfavorable conditions in our industry or the global economy, or reductions in information technology spending, could limit our ability to grow our business and negatively affect our results of operations”. Any such volatility and disruptions may have adverse consequences on us or the third parties on whom we rely. If the equity and credit markets deteriorate, or do not improve, including as a result of political unrest or war, it may make any necessary debt or equity financing more difficult to obtain in a timely manner or on favorable terms, more costly or more dilutive. Increased inflation rates can adversely affect us by increasing our costs, including personnel costs.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8" w:name="page49"/>
    <w:bookmarkEnd w:id="48"/>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Any of these and other factors, or the cumulative effect of some of these factors, may cause our results of operations to vary significantly. If our quarterly results of operations fall below the expectations of investors and securities analysts who follow our stock, the price of our Class A common stock could decline substantially, and we could face costly lawsuits, including securities class action suits.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may cause fluctuations in our sales and results of operations.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Historically, we have experienced seasonality in new customer bookings, as we typically enter into a higher percentage of subscription agreements with new customers and renewals with existing customers in the fourth quarter of the year. We believe that this results from the procurement, budgeting, and deployment cycles of many of our customers, particularly our enterprise customers. We expect that this seasonality will continue to affect our bookings and our results of operations in the future, and might become more pronounced as we continue to target larger enterprise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Downturns or upturns in our sales may not be immediately reflected in our financial position and results of operations.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Because we recognize a large portion of our revenue ratably over the term of the subscription agreement,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addition, fluctuations in monthly subscriptions based on usage could affect our revenue on a period-over-period basis. If our quarterly results of operations fall below the expectations of investors and securities analysts who follow our stock, the price of our Class A common stock would decline substantially, and we could face costly lawsuits, including securities class actions.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target enterprise customers, and sales to these customers involve risks that may not be present or that are present to a lesser extent with sales to smaller entities.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a field sales team that targets enterprise customers. Sales to large customers involve risks that may not be present or that are present to a lesser extent with sales to smaller entities, such as longer sales cycles, more complex customer requirements, substantial upfront sales costs, and less predictability in completing some of our sales. For example, enterprise customers may require considerable time to evaluate and test our solutions and those of our competitors prior to making a purchase decision and placing an order. A number of factors influence the length and variability of our sales cycle, including the need to educate potential customers about the uses and benefits of our solutions,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large enterprises typically taking longer to complete. Moreover, large enterprise customers often begin to deploy our products on a limited basis, but nevertheless demand configuration, integration services and pricing negotiations, which increase our upfront investment in the sales effort with no guarantee that these customers will deploy our products widely enough across their organization to justify our substantial upfront investment.</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and motivate members of our management team or other key employees, or fail to attract additional qualified personnel to support our operations, our business and future growth prospects would be harmed.</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success and future growth depend largely upon the continued services of our executive officers, particularly Olivier Pomel, our co-founder and Chief Executive Officer, Alexis Lê-Quôc, our co-founder and Chief Technology Officer, and David Obstler, our Chief Financial Officer, as well as our other key employees in the areas of research and development and sales and marketing functions. From time to time, there may be changes in our executive management team or other key employees resulting from the hiring or departure of these personnel. Our executive officers and other key employees are employed on an at-will basis, which means that these personnel could terminate their employment with us at any time. The loss of one or more of our executive officers, or the failure by our executive team to effectively work with our employees and lead our company, could harm our business. We also are dependent on the continued service of our existing software engineers because of the complexity of our products and platform capabilities.</w:t>
      </w:r>
    </w:p>
    <w:p>
      <w:pPr>
        <w:spacing w:after="0" w:line="1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addition, to execute our growth plan, we must attract and retain highly qualified personnel. Competition for these personnel is intense, especially for engineers experienced in designing and developing SaaS applications, those experienced with artificial intelligence and machine learning, and experienced sales professionals. If we are unable to attract such personnel in cities where we are located, we may need to hire in other locations which may add to the complexity and costs of our business operations. We have experienced, and we expect to continue to experience, difficulty in hiring and retaining employees with appropriate qualifications. These difficulties may be amplified by evolving restrictions on immigration, travel, or availability of visas for skilled technology workers. Current and future restrictions on the availability of visas, increased costs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9" w:name="page50"/>
    <w:bookmarkEnd w:id="49"/>
    <w:p>
      <w:pPr>
        <w:jc w:val="both"/>
        <w:spacing w:after="0" w:line="255" w:lineRule="auto"/>
        <w:rPr>
          <w:sz w:val="20"/>
          <w:szCs w:val="20"/>
          <w:color w:val="auto"/>
        </w:rPr>
      </w:pPr>
      <w:r>
        <w:rPr>
          <w:rFonts w:ascii="Times New Roman" w:cs="Times New Roman" w:eastAsia="Times New Roman" w:hAnsi="Times New Roman"/>
          <w:sz w:val="18"/>
          <w:szCs w:val="18"/>
          <w:color w:val="auto"/>
        </w:rPr>
        <w:t>of visas, or delays in the issuance of visas could impair our ability to employ skilled professionals.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In addition, prospective and existing employees often consider the value of the equity awards they receive in connection with their employment. If the value or perceived value of our equity awards declines, experiences significant volatility, or increases such that prospective employees believe there is limited upside to the value of our equity awards, it may adversely affect our ability to recruit and retain key employees. If we fail to attract new personnel or fail to retain and motivate our current personnel, our business and future growth prospects would be harmed.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enhance our brand, our ability to expand our customer base will be impaired and our business, financial condition and results of operations may suffer.</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believe that maintaining and enhancing the Datadog brand is important to support the marketing and sale of our existing and future products to new customers and expand sales of our platform and products to existing customers. We also believe that the importance of brand recognition will increase as competition in our market increases. Successfully maintaining and enhancing our brand will depend largely on the effectiveness of our marketing efforts, our ability to provide reliable products that continue to meet the needs of our customers at competitive prices, our ability to maintain our customers’ trust, our ability to continue to develop new functionality and use cases, and our ability to successfully differentiate our products and platform capabilities from competitive products. Our brand promotion activities may not generate customer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grow, our success and our business and competitive position may be harmed.</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believe our culture has been a key contributor to our success to date and that the critical nature of the platform that we provide promotes a sense of greater purpose and fulfillment in our employees. Any failure to preserve our culture could negatively affect our ability to retain and recruit personnel, which is critical to our growth, and to effectively focus on and pursue our corporate objectives. As we continue to grow and expand globally, we may find it difficult to maintain these important aspects of our culture particularly given remote or hybrid work arrangements. If we fail to maintain our company culture, our business and competitive position may be harmed.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support, our reputation could suffer.</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customers rely on our customer support personnel to resolve issues and realize the full benefits that our platform provides. High-quality support is also important for the renewal and expansion of our subscriptions with existing customers. The importance of our support function will increase as we expand our business and pursue new customers. If we do not help our customers quickly resolve issues and provide effective ongoing support, our ability to maintain and expand our subscriptions to existing and new customers could suffer, and our reputation with existing or potential customers could suffer.</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in the past and may in the future seek to acquire or invest in businesses, joint ventures, products and platform capabilities, or technologies that we believe could complement or expand our services and platform capabilities, enhance our technical capabilities, or otherwise offer growth opportunities. Any such acquisition or investment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platform capabilities, personnel, internal controls or operations of any acquired companies, particularly if the key personnel of an acquired company choose not to work for us, their software is not easily adapted to work with our platform, or we have difficulty retaining the customers of 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 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0" w:name="page51"/>
    <w:bookmarkEnd w:id="50"/>
    <w:p>
      <w:pPr>
        <w:jc w:val="both"/>
        <w:spacing w:after="0" w:line="282" w:lineRule="auto"/>
        <w:rPr>
          <w:sz w:val="20"/>
          <w:szCs w:val="20"/>
          <w:color w:val="auto"/>
        </w:rPr>
      </w:pPr>
      <w:r>
        <w:rPr>
          <w:rFonts w:ascii="Times New Roman" w:cs="Times New Roman" w:eastAsia="Times New Roman" w:hAnsi="Times New Roman"/>
          <w:sz w:val="18"/>
          <w:szCs w:val="18"/>
          <w:color w:val="auto"/>
        </w:rPr>
        <w:t>meet our expectations, our business, financial condition and results of operations may be adversely affected or we may be exposed to unknown risks or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and Competitive Risks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ability to attract new users and customers and increase revenue from existing customers depends in large part on our ability to enhance and improve our existing products, increase adoption and usage of our products, and introduce new products and capabilities. The market in which we compete is relatively new and subject to rapid technological change, evolving industry standards, and changing regulations, as well as changing customer needs, requirements and preferences. The success of our business will depend, in part, on our ability to adapt and respond effectively to these changes on a timely basis. For example, some of our products use artificial intelligence, or AI, and machine learning, and we are making investments in expanding our artificial intelligence capabilities, which will require significant investment in infrastructure and personnel. However, AI technologies are complex and rapidly evolving in a changing competitive market and market acceptance of AI technologies remains uncertain, see “Industry and Competitive Risks—We use artificial intelligence in our products and services which may result in operational challenges, legal liability, reputational harm, competitive risks and regulatory concerns that could adversely affect our business and results of operations.” below. If we were unable to enhance our products and platform capabilities to keep pace with rapid technological and regulatory change, or if new technologies emerge that are able to deliver competitive products at lower prices, more efficiently, more conveniently, or more securely than our products, our business, financial condition and results of operations could be adversely affected.</w:t>
      </w:r>
    </w:p>
    <w:p>
      <w:pPr>
        <w:spacing w:after="0" w:line="19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success of our platform depends, in part, on its ability to be deployed in a self-service installation process. We currently offer more than 1,000 out-of-the-box integrations to assist customers in deploying Datadog, and we need to continuously modify and enhance our products to adapt to changes and innovation in existing and new technologies to maintain and grow our integrations. We expect that the number of integrations we will need to support will continue to expand as developers adopt new software platforms, and we will have to develop new versions of our products to work with those new platforms. This development effort may require significant engineering, sales and marketing resources, all of which would adversely affect our business. Any failure of our products to operate effectively with future infrastructure platforms and technologies could reduce the demand for our products. If we are unable to respond to these changes in a cost-effective manner, our products may become less marketable and less competitive or obsolete, and our business, financial condition and results of operations could be adversely affected.</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participate are competitive, and if we do not compete effectively, our business, financial condition and results of operations could be harmed.</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unified platform combines functionality from numerous traditional product categories, and hence we compete in each of these categories with home-grown and open-source technologies, as well as a number of different vendors. With respect to on-premise infrastructure monitoring, we compete with diversified technology companies and systems management vendors including IBM, Microsoft Corporation, and SolarWinds Corporation. With respect to APM, we compete with companies including Cisco Systems, Inc., New Relic, Inc. and Dynatrace Software Inc. With respect to log management, we compete with companies including Cisco Systems, Inc. and Elastic N.V. With respect to cloud monitoring, we compete with native solutions from cloud providers such as AWS, GCP and Microsoft Azure. In addition, we may increasingly choose to allow these third-party hosting providers to offer our solutions directly through their customer marketplaces. An increasing number of sales through cloud provider marketplaces could reduce both the number of customers with whom we have direct commercial relationships as well as our profit margins on sales made through such marketplaces.</w:t>
      </w:r>
    </w:p>
    <w:p>
      <w:pPr>
        <w:spacing w:after="0" w:line="19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With the introduction of new technologies and market entrants, we expect that the competitive environment will remain intense going forward. Some of our actual and potential competitors have been acquired by other larger enterprises and have made or may make acquisitions or may enter into partnerships or other strategic relationships that may provide more comprehensive offerings than they individually had offered or achieve greater economies of scale than us. In addition, new entrants not currently considered to be competitors may enter the market through acquisitions, partnerships or strategic relationships. As we look to market and sell our products and platform capabilities to potential customers with existing internal solutions, we must convince their internal stakeholders that our products and platform capabilities are superior to their current solutions.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compete on the basis of a number of factors, including: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1" w:name="page52"/>
    <w:bookmarkEnd w:id="51"/>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unified, real-time observability of IT environments;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operate in dynamic and elastic environments;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extensibility across the enterprise, including development, operations and business users;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propensity to enable collaboration between development, operations and business users;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any combination of public clouds, private clouds, on-premise and multi-cloud hybrids;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advanced analytics and machine learning;</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deployment, implementation and use;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operate across a broad range of geographies in compliance with local regulations;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of offering and key technology integrations;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security, scalability and reliability;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service and customer satisfaction;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 of ownership;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reputation.</w:t>
      </w:r>
    </w:p>
    <w:p>
      <w:pPr>
        <w:spacing w:after="0" w:line="2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competitors vary in size and in the breadth and scope of the products offered. Many of our competitors and potential competitors have greater name recognition, longer operating histories, more established customer relationships and installed customer bases, larger marketing budgets and greater resources than we do. Further, other potential competitors not currently offering competitive solutions may expand their product or service offerings to compete with our products and platform capabilities, or our current and potential competitors may establish cooperative relationships among themselves or with third parties that may further enhance their resources and product offerings in our addressable market. Our competitors may be able to respond more quickly and effectively than we can to new or changing opportunities, technologies, standards, and customer requirements. An existing competitor or new entrant could introduce new technology that reduces demand for our products and platform capabilities. In addition to product and technology competition, we face pricing competition. Some of our competitors offer their solutions at a lower price, which has resulted in, and may continue to result in, pricing pressures.</w:t>
      </w:r>
    </w:p>
    <w:p>
      <w:pPr>
        <w:spacing w:after="0" w:line="18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all of these reasons, we may not be able to compete successfully against our current or future competitors, and this competition could result in the failure of our platform to continue to achieve or maintain market acceptance, any of which would harm our business, results of operations,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for our solutions may develop more slowly or differently than we expect.</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It is difficult to predict customer adoption rates and demand for our products, the entry of competitive products or the future growth rate and size of the cloud-based software and SaaS business software markets. The expansion of these markets depends on a number of factors, including: the cost, performance, and perceived value associated with cloud-based and SaaS business software as an alternative to legacy systems, as well as the ability of cloud-based software and SaaS providers to address heightened data security and privacy concerns. If we have a security incident or other cloud-based software and SaaS providers experience security incidents, loss of customer data, disruptions in delivery or other similar problems, which is an increasing focus of the public and investors in recent years, the market for these applications as a whole, including our platform and products, may be negatively affected. If cloud-based and SaaS business software does not continue to achieve market acceptance, or there is a reduction in demand caused by a lack of customer acceptance, technological challenges, weakening economic conditions, data security or privacy concerns, governmental regulation, competing technologies and products, or decreases in information technology spending or otherwise, the market for our platform and products might not continue to develop or might develop more slowly than we expect, which would adversely affect our business, financial condition and results of operations.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artificial intelligence in our products and services which may result in operational challenges, legal liability, reputational harm, competitive risks and regulatory concerns that could adversely affect our business and results of operations.</w:t>
      </w:r>
    </w:p>
    <w:p>
      <w:pPr>
        <w:spacing w:after="0" w:line="15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incorporate AI, including generative AI, into our products. These technologies are complex and rapidly evolving and building them requires significant investment in infrastructure and personnel with no assurance that we will realize the desired or anticipated benefits. Our competitors may more successfully incorporate AI into their products and achieve higher market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acceptance of their AI solutions, which could impair our ability to compete effectively and adversely affect our results of operations.</w:t>
      </w:r>
    </w:p>
    <w:p>
      <w:pPr>
        <w:spacing w:after="0" w:line="22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may also encounter new risks, challenges, and unintended consequences as a result of our use of AI. For example, the issue of intellectual property ownership and license rights surrounding AI technologies has not been fully addressed by U.S. courts or federal or state laws and regulations, and the incorporation of AI technologies into our products and services could expose us to intellectual property claims or mandatory compliance with open source software or other license terms. Our use of AI may also lead to novel cybersecurity or privacy risks which may adversely affect our operations and reputation. Several jurisdictions around the globe, including Europe and certain U.S. states, have proposed, enacted, or are considering laws governing the development and use of AI and machine learning technologies. For example, the European Union's Artificial Intelligence Act, which would apply beyond the European Union’s borders, came into effect in August 2024. It contains numerous requirements regarding the development and use of AI and imposes significant monetary fines. In addition, the Federal Trade Commission has required other companies to disgorge valuable insights or trainings generated through the use of AI or machine learning technologies where they allege the company has violated privacy and consumer protection laws. Compliance with regulations as well as social and ethical standards relating to AI may require significant research and development costs as well as management and employee attention. Any actual or perceived failure to comply with these laws, regulations or ethical standards could include severe penalties, reputational harm, and slow adoption of AI in our products and services. In addition, our business may be disrupted if any of the third-party AI services we use become unavailable due to extended outages or commercially unreasonable terms of service.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typically provide service-level commitments under our subscription agreements. If we fail to meet these contractual commitments, we could be obligated to provide credits for future service or face subscription termination with refunds of prepaid amounts, which would lower our revenue and harm our business, financial condition and results of operations.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subscription agreements typically contain service-level commitments. If we are unable to meet the stated service-level commitments, including failure to meet the uptime and response time requirements under our customer subscription agreements, we may be contractually obligated to provide these customers with service credits which could significantly affect our revenue in the periods in which the failure occurs and the credits are applied. We could also face subscription terminations and a reduction in renewals, which could significantly affect both our current and future revenue. Any service-level failures could also damage our reputation, which could also adversely affect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Indemnity provisions in various agreements to which we are party potentially expose us to substantial liability for infringement, misappropriation or other violation of intellectual property rights, data protection and other losses.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agreements with our customers and other third parties may include indemnification provisions under which we agree to indemnify or otherwise be liable to them for losses suffered or incurred as a result of claims of infringement, misappropriation or other violation of intellectual property rights, data protection, damages caused by us to property or persons, or other liabilities relating to or arising from our software, services, platform, our acts or omissions under such agreements or other contractual obligations. Some of these indemnity agreements provide for uncapped liability and some indemnity provisions survive termination or expiration of the applicable agreement. Large indemnity payments could harm our business, financial condition and results of operations. Although we attempt to contractually limit our liability with respect to such indemnity obligations, we are not always successful and may still incur substantial liability related to them, and we may be required to cease use of certain functions of our platform or products as a result of any such claims. Any dispute with a customer or other third party with respect to such obligations could have adverse effects on our relationship with such customer or other third party and other existing or prospective customers, reduce demand for our products and services and adversely affect our business, financial conditions and results of operations. In addition, although we carry general liability insurance, our insurance may not be adequate to indemnify us for all liability that may be imposed or otherwise protect us from liabilities or damages with respect to claims alleging compromises of customer data, and any such coverage may not continue to be available to us on acceptable terms or at all.</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the third-parties with whom we work are subject to stringent and changing laws, regulations, standards, and contractual obligations related to data privacy and security. Actual or perceived failure by us or the third-parties with whom we work to comply with such laws, regulations, standards, or contractual obligations could harm our business.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legal, contractual and other applicable obligations regarding the protection and appropriate use of sensitive information that we and the third-parties with whom we work process. We are subject to a variety of federal, state, local and foreign laws, directives, regulations, and industry standards, relating to the collection, use, retention, security, disclosure,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3" w:name="page54"/>
    <w:bookmarkEnd w:id="53"/>
    <w:p>
      <w:pPr>
        <w:jc w:val="both"/>
        <w:spacing w:after="0" w:line="258" w:lineRule="auto"/>
        <w:rPr>
          <w:sz w:val="20"/>
          <w:szCs w:val="20"/>
          <w:color w:val="auto"/>
        </w:rPr>
      </w:pPr>
      <w:r>
        <w:rPr>
          <w:rFonts w:ascii="Times New Roman" w:cs="Times New Roman" w:eastAsia="Times New Roman" w:hAnsi="Times New Roman"/>
          <w:sz w:val="18"/>
          <w:szCs w:val="18"/>
          <w:color w:val="auto"/>
        </w:rPr>
        <w:t>transfer and other processing of personal information. The regulatory framework for and users' expectations around privacy and security issues worldwide is rapidly evolving and as a result, implementation standards and enforcement practices are likely to remain uncertain for the foreseeable future resulting in possible significant operational costs for compliance and risk to our business. In addition, new technologies we use in our products or in our business, like AI and machine learning, may also subject us to new or enhanced governmental or regulatory scrutiny, litigation, ethical concerns, or other complications that could adversely affect our business, reputation, or financial results.</w:t>
      </w:r>
    </w:p>
    <w:p>
      <w:pPr>
        <w:spacing w:after="0" w:line="18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Internationally, nearly every jurisdiction in which we operate has established its own data security and privacy legal framework with which we, the third-parties with whom we work, or our customers must comply. For example, the European Union's General Data Protection Regulation, or EU GDPR, and the United Kingdom's General Data Protection Regulation, or UK GDPR, contain numerous requirements and changes from previously existing law, including more robust obligations on data processors and heavier documentation requirements for data protection compliance programs by companies and data protection authorities. Under both the EU GDPR and UK GDPR, companies may face temporary or definitive bans on data processing and other corrective actions, significant monetary fines, and private litigation related to processing of personal data brought by classes of data subjects or consumer protection organizations authorized at law to represent their interests.</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Europe and other jurisdictions have enacted laws related to data storage location, cross-border personal data transfers, and data portability. For example, the European Economic Area (EEA) and the United Kingdom have significantly restricted the transfer of personal data to the United States and other countries whose privacy laws it generally believes are inadequate. Although there are currently various mechanisms that may be used to transfer personal data from the EEA and United Kingdom to the United States in compliance with law, such as the EEA standard contractual clauses, the United Kingdom’s International Data Transfer Agreement/Addendum, and the EU-U.S. Data Privacy Framework and the United Kingdom extension thereto (which allows for transfers for relevant U.S.-based organizations who self-certify compliance and participate in the Framework), these mechanisms are subject to legal challenges, and there is no assurance that we can satisfy or rely on these measures to lawfully transfer personal data to the United States. Additionally, the EU Data Act introduces new obligations related to data portability and services switching, which introduces operational complexities and infrastructure, and may increase our compliance and operational costs.</w:t>
      </w:r>
    </w:p>
    <w:p>
      <w:pPr>
        <w:spacing w:after="0" w:line="18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Additionally, other countries outside of Europe have enacted or are considering enacting similar cross-border data transfer restrictions and laws requiring local data residency, and strict limitations to the processing of personal information, which could increase the cost and complexity of delivering our services and operating our business. For example, Brazil enacted the General Data Protection Law, New Zealand enacted the New Zealand Privacy Act, China enacted its Personal Information Protection Law, Canada introduced the Digital Charter Implementation Act and India enacted the Information Technology Act.</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If we are unable to implement a valid compliance mechanism for cross-border personal information transfers, we may face increased exposure to regulatory actions, substantial fines and injunctions against processing or transferring personal information from Europe or elsewhere. Inability to import personal information from other jurisdictions to the United States may significantly and negatively impact our business operations, including by lowering sales on our platform due to the difficulty of establishing a lawful mechanism for personal information transfers out of Europe or other jurisdictions, or requiring us to increase our data processing capabilities in Europe or elsewhere at significant expense. Some European regulators have ordered certain companies to suspend or permanently cease certain transfers out of Europe for allegedly violating the GDPR’s cross-border data transfer limitations.</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Additionally, European legislative proposals and present laws and regulations apply to cookies and similar tracking technologies, electronic communications, and marketing. In the EU and the United Kingdom, regulators are increasingly focusing on compliance with requirements related to the online behavioral advertising ecosystem and requirements around consent and have issued significant fines when consent was not obtained. It is anticipated that the ePrivacy Regulation will replace the current national laws that implement the ePrivacy Directive that governs electronic communications. Outside of Europe, other laws and regulations, including legislative proposals, individual behavior and industry practices are increasingly resistant to the use of personal information to deliver targeted advertising, making certain online advertising activities more difficult and subject to additional scrutiny. For example, the California Consumer Privacy Act, or CCPA, grants California residents the right to opt-out of a company’s sharing of personal information for cross-context behavioral advertising purposes. Other comprehensive U.S. state privacy laws extend similar rights to residents. As a result of these developments, we may be required to change the way we market our products, which would impair our ability to reach new or existing customers.</w:t>
      </w:r>
    </w:p>
    <w:p>
      <w:pPr>
        <w:spacing w:after="0" w:line="18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Complying with these and other applicable laws may cause us to incur substantial operational costs or require us to change our business practices. Despite our efforts to bring practices into compliance with all applicable laws, we may not be successful in our efforts to achieve compliance either due to internal or external factors such as resource allocation limitations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4" w:name="page55"/>
    <w:bookmarkEnd w:id="54"/>
    <w:p>
      <w:pPr>
        <w:jc w:val="both"/>
        <w:spacing w:after="0" w:line="256" w:lineRule="auto"/>
        <w:rPr>
          <w:sz w:val="20"/>
          <w:szCs w:val="20"/>
          <w:color w:val="auto"/>
        </w:rPr>
      </w:pPr>
      <w:r>
        <w:rPr>
          <w:rFonts w:ascii="Times New Roman" w:cs="Times New Roman" w:eastAsia="Times New Roman" w:hAnsi="Times New Roman"/>
          <w:sz w:val="18"/>
          <w:szCs w:val="18"/>
          <w:color w:val="auto"/>
        </w:rPr>
        <w:t>or a lack of vendor cooperation. Non-compliance could result in proceedings against us by governmental entities, customers, data subjects or others. We may also experience difficulty retaining or obtaining new European or multi-national customers due to the legal requirements, compliance cost, potential risk exposure, and uncertainty for these entities, and we may experience significantly increased liability with respect to these customers pursuant to the terms set forth in our engagements with them. While we utilize a data center in the EEA to maintain certain customer data (which may include personal information) originating from the EEA, we may find it necessary to establish additional systems and processes to maintain such data in the EEA, which may involve substantial expense and distraction from other aspects of our business.</w:t>
      </w:r>
    </w:p>
    <w:p>
      <w:pPr>
        <w:spacing w:after="0" w:line="18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Domestic laws in this area are also complex and developing rapidly, and we are, or may become, subject to numerous U.S. data privacy and security laws. In the United States, laws governing data privacy and security include those promulgated under the authority of the Federal Trade Commission Act, the Electronic Communications Privacy Act, the Computer Fraud and Abuse Act, the CCPA, HIPAA, and numerous other state and federal laws relating to privacy and data security. Many state legislatures have adopted legislation that regulates how businesses operate online, including measures relating to privacy, data security and data breaches. Laws in all 50 states require businesses to provide notice to customers whose personal information has been disclosed as a result of a data breach. The laws are not consistent, and compliance in the event of a widespread data breach is costly. States are also constantly amending existing laws, requiring attention to frequently changing legal requirements.</w:t>
      </w:r>
    </w:p>
    <w:p>
      <w:pPr>
        <w:spacing w:after="0" w:line="18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CCPA, which became effective on January 1, 2020, gives California residents (including consumers, employees, job applicants and business representatives) expanded rights to access and delete their personal information, opt out of the sale of personal information, and receive detailed information about how their personal information is used. The CCPA provides a private right of action and statutory damages for data breaches and may increase our compliance costs and potential liability with respect to other personal information we collect about California residents. In addition, the amendments to the CCPA made by the California Privacy Rights Act, or the CPRA, went into effect on January 1, 2023. The CPRA amends the CCPA to give California residents the ability to limit the use of their sensitive personal information, provide additional penalties for CPRA violations concerning California residents under the age of 16, and establish a new California Privacy Protection Agency to implement and enforce the law. These changes to the CCPA could impact our business activities depending on how they are interpreted. Many other states have enacted or proposed comprehensive privacy laws, which either have gone into effect or are expected to go into effect over the next several years. These laws exemplify the vulnerability of our business to the evolving regulatory environment related to the protection of personal information.</w:t>
      </w:r>
    </w:p>
    <w:p>
      <w:pPr>
        <w:spacing w:after="0" w:line="194"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Because the interpretation and application of many privacy and data protection laws and regulations, along with contractually imposed industry standards are uncertain, it is possible that they may be interpreted and applied in a manner that is inconsistent with our existing data management practices or the features of our products and platform capabilities. If so, in addition to the possibility of fines, lawsuits, mass arbitration demands, regulatory investigations and imprisonment of company officials, other claims and penalties, significant costs for remediation and damage to our reputation, we could be required to fundamentally change our business activities and practices or modify our products and platform capabilities, any of which could have an adverse effect on our business.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inability to adequately address privacy and security concerns, even if unfounded, or comply with applicable privacy and data security laws, regulations, or contractual obligations, could result in additional cost and liability to us, damage our reputation, inhibit sales, and adversely affect our business. Furthermore, the costs of compliance with, and other burdens imposed by, the laws, regulations, and contractual obligations that are applicable to the businesses of our customers may limit the use and adoption of, and reduce the overall demand for, our products. Privacy and data security concerns, whether valid or not valid, may inhibit market adoption of our products, particularly in certain industries and foreign countries. If we are not able to adjust to these changing laws, regulations, and contractual obligations, our business may be harmed.</w:t>
      </w:r>
    </w:p>
    <w:p>
      <w:pPr>
        <w:spacing w:after="0" w:line="19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publicly post our policies and other documentation regarding our practices concerning the collection, processing, use, transfer, and disclosure of data. Although we endeavor to comply with our published policies and documentation, we may at times fail to do so or be alleged to have failed to do so. The publication of our policies and other documentation that provide promises and assurances about privacy and security can subject us to potential state and federal action if they are found to be deceptive, unfair, or misrepresentative of our actual practices. Any failure by us, our third-party service providers or other parties with whom we do business to comply with our policies or other documentation could result in proceedings against us by governmental entities, private parties or others. We are or may also be subject to the terms of our external and internal privacy and security policies, codes, representations, certifications, industry standards, publications and frameworks and contractual obligations to third parties related to privacy, information security, including contractual obligations to indemnify and hold harmless third parties from the costs or consequences of non-compliance with data protection laws or other obligations.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5" w:name="page56"/>
    <w:bookmarkEnd w:id="5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are subject to the U.S. Foreign Corrupt Practices Act, or FCPA, U.S. domestic bribery laws, the UK Bribery Act,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As we increase our international sales and business and sales to the public sector, we may engage with business partners and third-party intermediaries to market our products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While we have policies and procedures to address compliance with such laws, we cannot assure you that all of our employees and agents will not take actions in violation of our policies and applicable law, for which we may be ultimately held responsible. As we increase our international sales and business, our risks under these laws may increase.</w:t>
      </w:r>
    </w:p>
    <w:p>
      <w:pPr>
        <w:spacing w:after="0" w:line="17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to government entities and highly regulated organizations are subject to a number of challenges and risks.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 portion of our sales are to U.S. federal, state, and local, as well as foreign, governmental agency customers, as well as to customers in highly regulated industries such as financial services, telecommunications and healthcare.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which may restrict our ability to sell into the government sector until we are able to comply with the revised contracting requirements. Government demand and payment for our products are affected by public sector budgetary cycles and funding authorizations, with funding reductions or delays adversely affecting public sector demand for our products.</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 governmental and highly regulated entities may demand contract terms that differ from our standard arrangements and are less favorable than terms agreed with private sector customers. Such entities may have statutory, contractual, or other legal rights to terminate contracts with us or our partners for convenience or for other reasons. Any such termination may adversely affect our ability to contract with other government customers as well as our reputation,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platform and products are subject to U.S. export controls, including the Export Administration Regulations, and we incorporate encryption technology into certain of our products. These encryption products and the underlying technology may be exported outside of the United States only with the required export authorizations, including by license, a license exception, or other appropriate government authorizations, including the filing of an encryption classification request or self-classification report.</w:t>
      </w:r>
    </w:p>
    <w:p>
      <w:pPr>
        <w:spacing w:after="0" w:line="180"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Furthermore, our activities are subject to U.S. economic sanctions laws and regulations administered by the Office of Foreign Assets Control that prohibit the shipment of most products and services to embargoed jurisdictions or sanctioned parties without the required export authorizations. Obtaining the necessary export license or other authorization for a particular sale may be time-consuming and may result in the delay or loss of sales opportunities. Violations of U.S. sanctions or export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control regulations can result in significant fines or penalties and possible incarceration for responsible employees and managers.</w:t>
      </w:r>
    </w:p>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If our channel partners fail to obtain appropriate import, export, or re-export licenses or permits, we may also be adversely affected through reputational harm, as well as other negative consequences, including government investigations and penalties.</w:t>
      </w:r>
    </w:p>
    <w:p>
      <w:pPr>
        <w:spacing w:after="0" w:line="16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Also, various countries, in addition to the United States, regulate the import and export of certain encryption and other technology, including import and export licensing requirements, and have enacted laws that could limit our ability to distribute our products or could limit our end-customers’ ability to implement our products in those countries. Changes in our products or future changes in export and import regulations may create delays in the introduction of our platform in international markets, prevent our end-customers with international operations from deploying our platform globally or, in some cases, prevent the export or import of our products to certain countries, governments, or persons altogether. From time to time, various governmental agencies have proposed additional regulation of encryption technology. Any change in export or import regulations, economic sanctions or related legislation, increased export and import controls, or change in the countries, governments, persons, or technologies targeted by such regulations, could result in decreased use of our platform by, or in our decreased ability to export or sell our products to, existing or potential end-customers with international operations. Any decreased use of our platform or limitation on our ability to export or sell our products would adversely affect our business, results of operations, and growth prospects.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future litigation against us could be costly and time-consuming to defend.</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and in the future may become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our environmental, social, and governance practices and disclosures.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There is an increasing focus from regulators, certain investors and other stakeholders concerning environmental, social, and governance, or ESG, matters, both in the United States and internationally. In response, we are in the process of evaluating and developing our ESG practices. Any of our current or future ESG practices and initiatives, if any, could be difficult to achieve and costly to implement. Furthermore, if these practices are not perceived to be adequate, or if the initiatives and positions we take (or choose not to take) on ESG issues are unpopular with some of our employees, customers or potential customers, our reputation could be harmed, which could negatively impact our ability to attract or retain employees or customers.</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Standards for tracking and reporting ESG matters continue to evolve. Our interpretation or application of frameworks and standards may change from time to time or differ from those of others. This may result in a lack of consistent or meaningful comparative data from period to period or between us and other companies in the same industry. In addition, our processes and controls may not comply with evolving standards for identifying, measuring and reporting ESG metrics, including ESG-related disclosures that may be required by various regulators, and such standards may change over time, which could result in significant revisions to our ESG metrics. New legal and regulatory ESG requirements and disclosures in the United States, Europe and elsewhere may lead to significant compliance costs, may heighten scrutiny of our ESG practices and may require us to change our current practices.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required to collect additional sales taxes or be subject to other tax liabilities that may increase the costs our clients would have to pay for our products and adversely affect our results of operations.</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An increasing number of states have considered or adopted laws that attempt to impose tax collection obligations on out-of-state companies. Additionally, the Supreme Court of the United States ruled in </w:t>
      </w:r>
      <w:r>
        <w:rPr>
          <w:rFonts w:ascii="Times New Roman" w:cs="Times New Roman" w:eastAsia="Times New Roman" w:hAnsi="Times New Roman"/>
          <w:sz w:val="18"/>
          <w:szCs w:val="18"/>
          <w:i w:val="1"/>
          <w:iCs w:val="1"/>
          <w:color w:val="auto"/>
        </w:rPr>
        <w:t>South Dakota v. Wayfair, Inc. et al</w:t>
      </w:r>
      <w:r>
        <w:rPr>
          <w:rFonts w:ascii="Times New Roman" w:cs="Times New Roman" w:eastAsia="Times New Roman" w:hAnsi="Times New Roman"/>
          <w:sz w:val="18"/>
          <w:szCs w:val="18"/>
          <w:color w:val="auto"/>
        </w:rPr>
        <w:t>, or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7" w:name="page58"/>
    <w:bookmarkEnd w:id="57"/>
    <w:p>
      <w:pPr>
        <w:jc w:val="both"/>
        <w:spacing w:after="0" w:line="266" w:lineRule="auto"/>
        <w:rPr>
          <w:sz w:val="20"/>
          <w:szCs w:val="20"/>
          <w:color w:val="auto"/>
        </w:rPr>
      </w:pPr>
      <w:r>
        <w:rPr>
          <w:rFonts w:ascii="Times New Roman" w:cs="Times New Roman" w:eastAsia="Times New Roman" w:hAnsi="Times New Roman"/>
          <w:sz w:val="18"/>
          <w:szCs w:val="18"/>
          <w:color w:val="auto"/>
        </w:rPr>
        <w:t>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of December 31, 2024, we have approximately $263.0 million of net operating loss carryforwards, or NOLs, for state income tax purposes, which begin to expire in 2028 if not utilized. We have fully utilized all of our existing NOLs for federal income tax purposes, other than certain NOLs of entities that we have acquired, which are subject to annual limitation under Section 382 of the Internal Revenue Code of 1986, as amended, or the Code, as discussed below. We are evaluating the impact of any Section 382 limitation on our utilization of these acquired NOLs. Unused U.S. federal NOLs for taxable years beginning before January 1, 2018, may be carried forward to offset future taxable income, if any, until such unused NOLs expire. Under current law, U.S. federal NOLs incurred in taxable years after December 31, 2017, can be carried forward indefinitely, but the deductibility of such U.S. federal NOLs in a particular taxable year is limited to 80% of taxable income in such year. A lack of future taxable income would adversely affect our ability to utilize portions of these NOLs before they expire.</w:t>
      </w:r>
    </w:p>
    <w:p>
      <w:pPr>
        <w:spacing w:after="0" w:line="19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general, under Sections 382 and 383 of the Code, a corporation that undergoes an “ownership change” (as defined under Section 382 of the Code and applicable Treasury Regulations) is subject to limitations on its ability to utilize its pre-change NOLs and tax credits to offset post-change taxable income or taxes. Our ability to utilize NOLs and tax credits of companies that we have acquired or may acquire in the future may be subject to limitations. Furthermore, if we generate NOLs in the future, and we experience a future ownership change under Section 382 of the Code, our ability to utilize our NOLs and tax credits to offset our income may be subject to limitation. There is also a risk that due to regulatory changes, such as suspensions on the use of NOLs or other unforeseen reasons, our future NOLs or the NOLs of companies that we have acquired or may acquire in the future could expire or otherwise be unavailable to reduce future income tax liabilities, including for state tax purposes. For these reasons, we may not be able to utilize NOLs and tax credits that are or may in the future be reflected on our balance sheets, even if we attain profitability, which could potentially result in increased future tax liability to us and could adversely affect our operating results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or tax liability may have an adverse effect on our results of operations.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effective tax rate or tax liability could change due to several factors, including:</w:t>
      </w:r>
    </w:p>
    <w:p>
      <w:pPr>
        <w:spacing w:after="0" w:line="117" w:lineRule="exact"/>
        <w:rPr>
          <w:sz w:val="20"/>
          <w:szCs w:val="20"/>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amounts of income before taxes in the various jurisdictions in which we operate that have differing statutory tax rates;</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tax treaties, and regulations or the interpretation of them, including changes under the U.S. Tax Cuts and Jobs Act, the Inflation Reduction Act, and the OBBBA;</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substantiate and utilize research and development tax credits to offset our future tax liabilities, taking into account any limitations under Section 382 of the code;</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implementation of the Organization for Economic Co-operation and Development’s (OECD) international tax framework, including the Pillar Two minimum tax regime;</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current and future tax audits, examinations, or administrative appeals;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adverse findings regarding our ability to do business in some jurisdictions.</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OECD's Pillar Two model rules introduced a global minimum tax of 15%. These model rules have been adopted by various governments around the world, some of which are effective for tax periods beginning on or after December 31, 2023. There is no material impact on our financial statements for the tax period ending September 30, 2025.</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will continue to monitor these developments and pending legislation, and evaluate any potential impact on our results of operations. Any of these developments could adversely affect our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8" w:name="page59"/>
    <w:bookmarkEnd w:id="58"/>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GAAP is subject to interpretation by the Financial Accounting Standards Board, the SEC and various bodies formed to promulgate and interpret applicable accounting principles. A change in these principles or interpretations could have a significant effect on our reported results of operations and could affect the reporting of transactions already completed before the announcement of a change.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our unaudited condensed consolidated financial statements and accompanying notes. We base our estimates on historical experience and on various other assumptions that we believe to be reasonable under the circumstances, as described in Note 2 in the Notes to Consolidated Financial Statements included in “Part II, Item 8. Financial Statements and Supplementary Data” of our Annual Report on Form 10-K. The results of these estimates form the basis for making judgments about the carrying values of assets, liabilities and equity, and the amount of revenue and expenses that are not readily apparent from other sources. Significant estimates and judgments involve revenue recognition, business combinations, and internal-use software development costs.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obtain, maintain, protect or enforce our intellectual property and proprietary rights could impair our ability to protect our proprietary technology and our brand.</w:t>
      </w:r>
    </w:p>
    <w:p>
      <w:pPr>
        <w:spacing w:after="0" w:line="159" w:lineRule="exact"/>
        <w:rPr>
          <w:sz w:val="20"/>
          <w:szCs w:val="20"/>
          <w:color w:val="auto"/>
        </w:rPr>
      </w:pPr>
    </w:p>
    <w:p>
      <w:pPr>
        <w:jc w:val="both"/>
        <w:ind w:firstLine="486"/>
        <w:spacing w:after="0" w:line="251" w:lineRule="auto"/>
        <w:rPr>
          <w:sz w:val="20"/>
          <w:szCs w:val="20"/>
          <w:color w:val="auto"/>
        </w:rPr>
      </w:pPr>
      <w:r>
        <w:rPr>
          <w:rFonts w:ascii="Times New Roman" w:cs="Times New Roman" w:eastAsia="Times New Roman" w:hAnsi="Times New Roman"/>
          <w:sz w:val="18"/>
          <w:szCs w:val="18"/>
          <w:color w:val="auto"/>
        </w:rPr>
        <w:t>Our success depends to a significant degree on our ability to obtain, maintain, protect and enforce our intellectual property rights, including our proprietary technology, know-how and our brand. We rely on a combination of trademarks, trade secrets, patents, copyrights, contractual restrictions, and other intellectual property laws and confidentiality procedures to establish and protect our proprietary rights. However, the steps we take to obtain, maintain, protect and enforce our intellectual property rights may be inadequate. We will not be able to protect our intellectual property rights if we are unable to enforce our rights or if we do not detect unauthorized use of our intellectual property rights. If we fail to protect our intellectual property rights adequately, our competitors may gain access to our proprietary technology and develop and commercialize substantially identical products, services or technologies, our business, financial condition, results of operations or prospects may be harmed. In addition, defending our intellectual property rights might entail significant expense. Any patents, trademarks, or other intellectual property rights that we have or may obtain may be challenged or circumvented by others or invalidated or held unenforceable through administrative processes, including re-examination, inter partes review, interference and derivation proceedings and equivalent proceedings in foreign jurisdictions (e.g., opposition proceedings) or litigation. Despite our pending patent applications, there can be no assurance that our patent applications will result in issued patents. Even if we continue to seek patent protection in the future, we may be unable to obtain or maintain patent protection for our technology. In addition, any patents issued from pending or future patent applications or licensed to us in the future may not provide us with competitive advantages, or may be successfully challenged by third parties. There may be issued patents of which we are not aware, held by third parties that, if found to be valid and enforceable, could be alleged to be infringed by our current or future technologies or products. There also may be pending patent applications of which we are not aware that may result in issued patents, which could be alleged to be infringed by our current or future technologies or products. Furthermore, legal standards relating to the validity, enforceability, and scope of protection of intellectual property rights are uncertain. Despite our precautions, it may be possible for unauthorized third parties to copy our products and platform capabilities and use information that we regard as proprietary to create products that compete with ours. Patent, trademark, copyright, and trade secret protections may not be available to us in every country in which our products are available. For example, as we have expanded internationally, we have been unable to register and obtain the exclusive right to use the Datadog trademark in certain jurisdictions, including certain European countries outside of the EU, and as we continue to expand, we may face similar issues in other jurisdictions. The value of our intellectual property could diminish if others assert rights in or ownership of our trademarks and other intellectual property rights, or trademarks that are similar to our trademarks. We may be unable to successfully resolve these types of conflicts to our satisfaction. In some cases, litigation or other actions may be necessary to protect or enforce our trademarks and other intellectual property rights. Furthermore, third parties may assert intellectual property claims against us, and we may be subject to liability, required to enter into costly license agreements, or required to rebrand our products and/or prevented from selling some of our products if third parties successfully claim that we infringe, misappropriate or otherwise violate their trademarks or other intellectual property rights. In addition, the laws of some foreign countries may not be as protective of intellectual property rights as those in the United States, and mechanisms for enforcement of intellectual property rights may be inadequate. As we expand our international activities, our exposure to unauthorized copying and use of our products and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9" w:name="page60"/>
    <w:bookmarkEnd w:id="59"/>
    <w:p>
      <w:pPr>
        <w:jc w:val="both"/>
        <w:spacing w:after="0" w:line="261" w:lineRule="auto"/>
        <w:rPr>
          <w:sz w:val="20"/>
          <w:szCs w:val="20"/>
          <w:color w:val="auto"/>
        </w:rPr>
      </w:pPr>
      <w:r>
        <w:rPr>
          <w:rFonts w:ascii="Times New Roman" w:cs="Times New Roman" w:eastAsia="Times New Roman" w:hAnsi="Times New Roman"/>
          <w:sz w:val="18"/>
          <w:szCs w:val="18"/>
          <w:color w:val="auto"/>
        </w:rPr>
        <w:t>platform capabilities and proprietary information will likely increase. Moreover,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Accordingly, despite our efforts, we may be unable to prevent third parties from infringing upon, misappropriating or otherwise violating our intellectual property rights.</w:t>
      </w:r>
    </w:p>
    <w:p>
      <w:pPr>
        <w:spacing w:after="0" w:line="1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enter into confidentiality and invention assignment agreements with our employees and consultants and enter into confidentiality agreements with other third parties, including suppliers and other partners. However, we cannot guarantee that we have entered into such agreements with each party that has or may have had access to our proprietary information, know-how and trade secrets. Moreover, no assurance can be given that these agreements will be effective in controlling access to, distribution, use, misuse, misappropriation, reverse engineering or disclosure of our proprietary information, know-how and trade secrets. Further, these agreements may not prevent our competitors from independently developing technologies that are substantially equivalent or superior to our products and platform capabilities. These agreements may be breached, and we may not have adequate remedies for any such breach.</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order to protect our intellectual property rights,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Our inability to protect our proprietary technology against unauthorized copying or use, as well as any costly litigation or diversion of our management’s attention and resources, could delay further sales or the implementation of our products and platform capabilities, impair the functionality of our products and platform capabilities, delay introductions of new solutions, result in our substituting inferior or more costly technologies into our products, or injure our reputation.</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intellectual property disputes, which are costly and may subject us to significant liability and increased costs of doing business.</w:t>
      </w:r>
    </w:p>
    <w:p>
      <w:pPr>
        <w:spacing w:after="0" w:line="15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have been and may continue to be subject to intellectual property disputes. 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 Lawsuits are time-consuming and expensive to resolve and they divert management’s time and attention. The software industry is characterized by the existence of a large number of patents, copyrights, trademarks, trade secrets, and other intellectual and proprietary rights. Companies in the software industry are often required to defend against litigation claims based on allegations of infringement, misappropriation or other violations of intellectual property rights. Our technologies may not be able to withstand any third-party claims against their use. In addition, many companies have the capability to dedicate substantially greater resources to enforce their intellectual property rights and to defend claims that may be brought against them. We do not currently have a large patent portfolio, which could prevent us from deterring patent infringement claims through our own patent portfolio, and our competitors and others may now and in the future have significantly larger and more mature patent portfolios than we have. Any litigation may also involve patent holding companies or other adverse patent owners that have no relevant product revenue, and therefore, our patent portfolio may provide little or no deterrence as we would not be able to assert them against such entities or individuals. If a third party is able to obtain an injunction preventing us from accessing such third-party intellectual property rights, or if we cannot license or develop alternative technology for any infringing aspect of our business, we would be forced to limit or stop sales of our products and platform capabilities or cease business activities related to such intellectual property. 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or results of operations. Any intellectual property litigation to which we might become a party, or for which we have been or may continue to be required to provide indemnification, may require us to do one or more of the following:</w:t>
      </w:r>
    </w:p>
    <w:p>
      <w:pPr>
        <w:spacing w:after="0" w:line="191" w:lineRule="exact"/>
        <w:rPr>
          <w:sz w:val="20"/>
          <w:szCs w:val="20"/>
          <w:color w:val="auto"/>
        </w:rPr>
      </w:pPr>
    </w:p>
    <w:p>
      <w:pPr>
        <w:ind w:left="660" w:hanging="166"/>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selling or using products or services that incorporate the intellectual property rights that we allegedly infringe, misappropriate or violate;</w:t>
      </w:r>
    </w:p>
    <w:p>
      <w:pPr>
        <w:spacing w:after="0" w:line="225"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substantial payments for legal fees, settlement payments or other costs or damages;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0" w:name="page61"/>
    <w:bookmarkEnd w:id="60"/>
    <w:p>
      <w:pPr>
        <w:ind w:left="660" w:hanging="166"/>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which may not be available on reasonable terms or at all, to sell or use the relevant technology; or</w:t>
      </w:r>
    </w:p>
    <w:p>
      <w:pPr>
        <w:spacing w:after="0" w:line="225" w:lineRule="exact"/>
        <w:rPr>
          <w:rFonts w:ascii="Times New Roman" w:cs="Times New Roman" w:eastAsia="Times New Roman" w:hAnsi="Times New Roman"/>
          <w:sz w:val="18"/>
          <w:szCs w:val="18"/>
          <w:color w:val="auto"/>
        </w:rPr>
      </w:pPr>
    </w:p>
    <w:p>
      <w:pPr>
        <w:ind w:firstLine="494"/>
        <w:spacing w:after="0" w:line="282" w:lineRule="auto"/>
        <w:tabs>
          <w:tab w:leader="none" w:pos="64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the allegedly infringing products to avoid infringement, misappropriation or violation, which could be costly, time-consuming or impossible.</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Even if the claims do not result in litigation or are resolved in our favor, these claims, and the time and resources necessary to resolve them, could divert the resources of our management and harm our business and operating results.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 We expect that the occurrence of infringement claims is likely to grow as the market for our platform and products grows. Accordingly, our exposure to damages resulting from infringement claims could increase and this could further exhaust our financial and management resources.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use open source software in our products, which could negatively affect our ability to sell our services or subject us to litigation or other actions.</w:t>
      </w:r>
    </w:p>
    <w:p>
      <w:pPr>
        <w:spacing w:after="0" w:line="22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use open source software in our products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products. Moreover, we cannot ensure that we have not incorporated additional open source software in our software in a manner that is inconsistent with the terms of the applicable license or our current policies and procedures. If we fail to comply with these licenses, we may be subject to certain requirements, including requirements that we offer our solutions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contained the open source software and required to comply with onerous conditions or restrictions on these products, which could disrupt the distribution and sale of these products. From time to time, there have been claims challenging the ownership rights in open source software against companies that incorporate it into their products and the licensors of such open source software provide no warranties or indemnities with respect to such claims. As a result, we and our customers could be subject to lawsuits by parties claiming ownership of what we believe to be open source software. Litigation could be costly for us to defend, have a negative effect on our business, financial condition and results of operations, or require us to devote additional research and development resources to change our products. In addition, although we employ open source software license screening measures, if we were to combine our proprietary software products with open source software in a certain manner we could, under certain open source licenses, be required to release the source code of our proprietary software products. Some open source projects have known vulnerabilities and architectural instabilities and are provided on an “as-is” basis which, if not properly addressed, could negatively affect the performance of our product. If we inappropriately use or incorporate open source software subject to certain types of open source licenses that challenge the proprietary nature of our products, we may be required to re-engineer such products, discontinue the sale of such products or take other remedial 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International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operations are international in scope, and we plan further geographic expansion, creating a variety of operational challenges.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 component of our growth strategy involves the further expansion of our operations and customer base internationally. Revenue, as determined based on the billing address of our customers, from regions outside of North America was 29% and 30% for the nine months ended September 30, 2025 and 2024, respectively. Beyond North America, we now have sales presence internationally, including in Amsterdam, Dublin, London, Paris, Seoul, Singapore, Sydney, and Tokyo. We are continuing to adapt to and develop strategies to address international markets, but there is no guarantee that such efforts will have the desired effect. For example, we anticipate that we will need to establish relationships with new partners in order to expand into certain countries, and if we fail to identify, establish and maintain such relationships, we may be unable to execute on our expansion plans. As of September 30, 2025, approximately 43% of our full-time employees were located outside of the United States, 33% of whom were located in France. We expect that our international activities will continue to grow for the foreseeable future as we continue to pursue opportunities in existing and new international markets, which will require significant dedication of management attention and financial resources.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current and future international business and operations involve a variety of risks, including: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1" w:name="page62"/>
    <w:bookmarkEnd w:id="61"/>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anticipated availability and adoption of cloud and hybrid IT infrastructures by international businesses;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conditions;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adapt and localize our products for specific countries;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collecting accounts receivable and longer payment cycles;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trade relations, sanctions, regulations, or laws including changes in trade policies, such as trade wars, tariffs or other trade restrictions or the threat of such actions;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laws, regulatory requirements, or tax laws;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regulations relating to privacy and data security and the unauthorized use of, or access to, commercial and personal information, particularly in Europe and the United Kingdom;</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potentially more onerous labor regulations, especially in Europe, where labor laws are generally more advantageous to employees as compared to the United States, including deemed hourly wage and overtime regulations in these locations;</w:t>
      </w:r>
    </w:p>
    <w:p>
      <w:pPr>
        <w:spacing w:after="0" w:line="53"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6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laws, regulations and costs affecting our U.K. operations and local employees due to Brexit;</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 business in new markets with diverse cultures, languages, customs, legal systems, alternative dispute systems, and regulatory systems;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travel, real estate, infrastructure, and legal compliance costs associated with international operations;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 the resulting effect on our revenue and expenses, and the cost and risk of entering into hedging transactions if we chose to do so in the future;</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reinvest earnings from operations in one country to fund the capital needs of our operations in other countries;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 or general market preferences for local vendors;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or insufficient intellectual property protection or difficulties obtaining, maintaining, protecting or enforcing our intellectual property rights, including our trademarks and patents;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terrorist activities and military conflict, including the war in Ukraine and conflicts in the Middle East;</w:t>
      </w:r>
    </w:p>
    <w:p>
      <w:pPr>
        <w:spacing w:after="0" w:line="117" w:lineRule="exact"/>
        <w:rPr>
          <w:rFonts w:ascii="Times New Roman" w:cs="Times New Roman" w:eastAsia="Times New Roman" w:hAnsi="Times New Roman"/>
          <w:sz w:val="18"/>
          <w:szCs w:val="18"/>
          <w:color w:val="auto"/>
        </w:rPr>
      </w:pPr>
    </w:p>
    <w:p>
      <w:pPr>
        <w:ind w:left="980" w:right="340" w:hanging="486"/>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outbreak of a contagious disease, which may cause us or our third-party providers and/or customers to temporarily suspend our or their respective operations in the affected city or country;</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liabilities under anti-corruption and anti-money laundering laws, including the FCPA, U.S. bribery laws, the UK Bribery Act, and similar laws and regulations in other jurisdictions;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burdens and foreign exchange controls that could make it difficult to repatriate earnings and cash.</w:t>
      </w:r>
    </w:p>
    <w:p>
      <w:pPr>
        <w:spacing w:after="0" w:line="22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If we invest substantial time and resources to further expand our international operations and are unable to do so successfully and in a timely manner, our business and results of operations will suffer.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results of operations.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sales contracts are denominated in U.S. dollars, and therefore, our revenue is not directly subject to foreign currency risk. However, a strengthening of the U.S. dollar could increase the real cost of our products and platform capabilities to our customers outside of the United States, which could adversely affect our results of operations. In addition, an increasing amount of our operating expenses are incurred outside the United States. These operating expenses are denominated in foreign currencies and are subject to fluctuations due to changes in foreign currency exchange rates. Consequently, our results of operations could be adversely affected by fluctuations in foreign currency exchange rates.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may subject us to potential adverse tax consequences.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2" w:name="page63"/>
    <w:bookmarkEnd w:id="62"/>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expanding our international operations to better support our growth into international markets. Our corporate structure and associated transfer pricing policies contemplate future growth in international markets, and consider the functions, risks, and assets of the various entities involved in intercompany transactions.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the value of our Class A common stock may decline.</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market price of our Class A common stock may be highly volatile and may fluctuate or decline substantially as a result of a variety of factors, some of which are beyond our control, including:</w:t>
      </w:r>
    </w:p>
    <w:p>
      <w:pPr>
        <w:spacing w:after="0" w:line="54" w:lineRule="exact"/>
        <w:rPr>
          <w:sz w:val="20"/>
          <w:szCs w:val="20"/>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or results of operations;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of subscriptions to our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platform and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offerings;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data breaches, disruptions to or other incidents involving our software;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A common stock by us or our stockholders;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Class A common stock;</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and growth rate of our market;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Broad market and industry fluctuations, as well as general economic, political, regulatory, and market conditions may also negatively impact the market price of our Class A common stock. Additional risks are described in “Risks Associated with our Growth—Unfavorable conditions in our industry or the global economy, or reductions in information technology spending, could limit our ability to grow our business and negatively affect our results of operations”.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8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Class B common stock has ten votes per share and our Class A common stock has one vote per share. As of September 30, 2025, our outstanding shares of Class B common stock represented approximately 44% of the voting power of our outstanding capital stock. As a result, the holders of our Class B common stock, which includes certain of our directors, executive officers and their affiliates,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This concentration of ownership limits the ability of other stockholders to influence corporate matters and may cause us to make strategic decisions</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63" w:name="page64"/>
    <w:bookmarkEnd w:id="63"/>
    <w:p>
      <w:pPr>
        <w:jc w:val="both"/>
        <w:spacing w:after="0" w:line="282" w:lineRule="auto"/>
        <w:rPr>
          <w:sz w:val="20"/>
          <w:szCs w:val="20"/>
          <w:color w:val="auto"/>
        </w:rPr>
      </w:pPr>
      <w:r>
        <w:rPr>
          <w:rFonts w:ascii="Times New Roman" w:cs="Times New Roman" w:eastAsia="Times New Roman" w:hAnsi="Times New Roman"/>
          <w:sz w:val="18"/>
          <w:szCs w:val="18"/>
          <w:color w:val="auto"/>
        </w:rPr>
        <w:t>that could involve risks to holders of our Class A common stock or that may not be aligned with the interests of holders of our Class A common stock. This control may adversely affect the market price of our Class A common stock.</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 future transfers by holders of our Class B common stock will generally result in those shares converting into shares of our Class A common stock, subject to limited exceptions, such as certain transfers effected for tax or estate planning purposes. The conversion of shares of our Class B common stock into shares of our Class A common stock has had and will continue to have the effect, over time, of increasing the relative voting power of those holders of Class B common stock who retain their Class B shares.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certain index providers have in the past imposed restrictions on including companies with multiple class share structures in certain of their indexes.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Class A common stock in the public market could cause the market price of our Class A common stock to decline.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particularly sales by our directors, executive officers, and significant stockholders, or the perception that these sales might occur, could depress the market price of our Class A common stock and could impair our ability to raise capital through the sale of additional equity securities. We are unable to predict the timing of or the effect that such sales may have on the prevailing market price of our Class A common stock.</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registered all of the shares of Class A common stock and Class B common stock issuable upon exercise of outstanding options or other equity incentives we may grant in the future, for public resale under the Securities Act. The shares of Class A common stock and Class B common stock will become eligible for sale in the public market to the extent such options are exercised, subject to compliance with applicable securities laws.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stockholders. We expect to continue to grant equity awards to employees, directors and consultants under our equity incentive plans. We may also raise capital through equity financings in the future. As part of our business strategy, we have and may continue to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 Furthermore, if we issue additional equity or convertible debt securities, the new equity securities could have rights senior to those of our Class A common stock. For example, if we elect to settle our conversion obligation under our 0.00% Convertible Senior Notes due 2029, or the 2029 Notes, in shares of our Class A common stock or a combination of cash and shares of our Class A common stock, the issuance of such Class A common stock may dilute the ownership interests of our stockholders and sales in the public market could adversely affect prevailing market prices.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publish unfavorable or inaccurate research about our business, or if we fail to meet or significantly exceed our publicly announced financial guidance or the expectations of analysts or public investors, the market price and trading volume of our Class A common stock could decline.</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market price and trading volume of our Class A common stock will be heavily influenced by the way analysts interpret our financial information and other disclosures. We do not have control over these analysts. If securities or industry analysts cease coverage of us, downgrade our Class A common stock, or publish negative reports about our business, our stock price would likely decline. In addition, the stock prices of many companies in the technology industry have declined significantly after those companies have failed to meet, or significantly exceed, the financial guidance publicly announced by those companies or the expectations of analysts. If our financial results fail to meet, or significantly exceed, our announced guidance or the expectations or analysts or public investors, analysts could downgrade our Class A common stock or publish unfavorable research on us. As a result, demand for our Class A common stock could decrease, which might cause our stock price to decline and could decrease the trading volume of our Class A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4" w:name="page65"/>
    <w:bookmarkEnd w:id="64"/>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holders of our Class A common stock may need to rely on sales of their holdings of Class A common stock after price appreciation, which may never occur, as the only way to realize any future gains on their investment.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obligated to develop and maintain proper and effective internal controls over financial reporting, and any failure to maintain the adequacy of these internal controls may adversely affect investor confidence in our company and, as a result, the value of our Class A common stock.</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to furnish a report by management on, among other things, the effectiveness of our internal control over financial reporting on an annual basis. This assessment must include disclosure of any material weaknesses identified by our management in our internal control over financial reporting. In addition, our independent registered public accounting firm is required to attest to the effectiveness of our internal control over financial reporting. Our compliance with Section 404 requires that we incur substantial expenses and expend significant management efforts. We have hired, and need to continue to hire, additional accounting and financial staff with appropriate public company experience and technical accounting knowledge to comply with Section 404.</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During the evaluation and testing process of our internal controls in future years, if we identify one or more material weaknesses in our internal control over financial reporting, we will be unable to certify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15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68" w:lineRule="exact"/>
        <w:rPr>
          <w:sz w:val="20"/>
          <w:szCs w:val="20"/>
          <w:color w:val="auto"/>
        </w:rPr>
      </w:pPr>
    </w:p>
    <w:p>
      <w:pPr>
        <w:ind w:left="980" w:hanging="486"/>
        <w:spacing w:after="0" w:line="282"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chairperson of our board of directors, or our chief executive officer;</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three-year staggered terms;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for cause only upon the vote of at least 66 2/3% of our outstanding shares of voting stock;</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 and</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our board of directors or the holders of at least 66 2/3% of our outstanding shares of voting stock to amend our bylaws and certain provisions of our certificate of incorporation.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5" w:name="page66"/>
    <w:bookmarkEnd w:id="65"/>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holders of our Class A common stock would receive a premium for their shares of our Class A common stock in an acquisition.</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and the federal district courts of the United States of America as the exclusive forums for substantially all disputes between us and our stockholders, which could restrict our stockholders’ ability to choose the judicial forum for disputes with us or our directors, officers, or employees.</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provisions would not apply to suits brought to enforce a duty or liability created by the Exchange Act. In addition, our amended and restated certificate of incorporation provides that the federal district courts of the United States of America will be the exclusive forum for resolving any complaint asserting a cause of action arising under the Securities Act.</w:t>
      </w:r>
    </w:p>
    <w:p>
      <w:pPr>
        <w:spacing w:after="0" w:line="1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Outstanding Notes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sufficient cash flow from our business to make payments on our significant debt when due, and we may incur additional indebtedness in the future.</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issued the 2029 Notes in a private placement in December 2024. We may be required to use a substantial portion of our cash flows from operations to pay principal on our indebtedness. Our ability to make scheduled payments of the principal of or to refinance our indebtedness, including the 2029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we may incur substantial additional debt in the future, subject to the restrictions contained in our future debt agreements, some of which may be secured debt. We are not restricted under the terms of the indenture governing the 2029 Notes, from incurring additional debt, securing existing or future debt, recapitalizing our debt, repurchasing our stock, pledging our assets, making investments, paying dividends, guaranteeing debt or taking a number of other actions that are not limited by the terms of the indenture governing the 2029 Notes that could have the effect of diminishing our ability to make payments on the 2029 Notes when due.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2029 Notes may adversely affect our financial condition and operating results.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2029 Notes are convertible at the option of their holders prior to their scheduled maturity in the event one or more of the conditional conversion features of the 2029 Notes are triggered. If one or more holders elect to convert their 2029 Notes, unless we elect to satisfy our conversion obligation by delivering solely shares of our Class A common stock (other than paying</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66" w:name="page67"/>
    <w:bookmarkEnd w:id="66"/>
    <w:p>
      <w:pPr>
        <w:jc w:val="both"/>
        <w:spacing w:after="0" w:line="261" w:lineRule="auto"/>
        <w:rPr>
          <w:sz w:val="20"/>
          <w:szCs w:val="20"/>
          <w:color w:val="auto"/>
        </w:rPr>
      </w:pPr>
      <w:r>
        <w:rPr>
          <w:rFonts w:ascii="Times New Roman" w:cs="Times New Roman" w:eastAsia="Times New Roman" w:hAnsi="Times New Roman"/>
          <w:sz w:val="18"/>
          <w:szCs w:val="18"/>
          <w:color w:val="auto"/>
        </w:rPr>
        <w:t>cash in lieu of delivering any fractional share), we would be required to settle a portion or all of our conversion obligation through the payment of cash, which could adversely affect our liquidity. In addition, even if holders do not elect to convert their 2029 Notes, we could be required under applicable accounting rules to reclassify the outstanding principal of the 2029 Notes as a current rather than long-term liability, which would result in a material reduction of our net working capital.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capped call transactions may affect the value of the 2029 Notes and the market price of our Class A common stock.</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connection with the pricing of the 2029 Notes, we entered into capped call transactions with the option counterparties. The capped call transactions cover, subject to customary adjustments substantially similar to those applicable to the 2029 Notes, the number of shares of our Class A common stock that initially underlie the 2029 Notes. The capped call transactions are generally expected to reduce the potential dilution to our Class A common stock upon any conversion of the 2029 Notes and/or offset any cash payments we are required to make in excess of the principal amount of converted 2029 Notes, as the case may be, with such reduction and/or offset subject to a cap. In connection with establishing their initial hedges of the capped call transactions, the option counterparties or their respective affiliates entered into various derivative transactions with respect to our Class A common stock and/or purchased shares of our Class A common stock concurrently with or shortly after the pricing of the 2029 Notes, including with certain investors in the 2029 Notes.</w:t>
      </w:r>
    </w:p>
    <w:p>
      <w:pPr>
        <w:spacing w:after="0" w:line="19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the option counterparties or their respective affiliates may modify their hedge positions by entering into or unwinding various derivatives with respect to our Class A common stock and/or purchasing or selling our Class A common stock or other securities of ours in secondary market transactions following the pricing of the 2029 Notes and prior to the maturity of the 2029 Notes. They are likely to do so during any observation period related to a conversion of the 2029 Notes, or, to the extent we exercise the relevant election under the capped call transactions following any repurchase or redemption of the 2029 Notes. This activity could also cause or avoid an increase or decrease in the market price of our Class A common stock or the trading price of the Notes. The potential effect, if any, of these transactions and activities on the market price of our Class A common stock or the trading price of the Notes will depend in part on market conditions and cannot be ascertained at this time. Any of these activities could adversely affect the value of our Class A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 with respect to the capped call transactions.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option counterparties to the capped call transactions are financial institutions, and we will be subject to the risk that any or all of them might default under the capped call transactions. Our exposure to the credit risk of the option counterparties will not be secured by any collateral. Past global economic conditions have resulted in the actual or perceived failure or financial difficulties of many financial institutions and could adversely affect the option counterparties’ performance under the capped call transactions.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with an increase in the market price and in the volatility of our Class A common stock. In addition, upon a default by an option counterparty, we may suffer more dilution, the effect of which would not be compensated for, than we currently anticipate with respect to our Class A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w:t>
      </w:r>
    </w:p>
    <w:p>
      <w:pPr>
        <w:spacing w:after="0" w:line="225" w:lineRule="exact"/>
        <w:rPr>
          <w:sz w:val="20"/>
          <w:szCs w:val="20"/>
          <w:color w:val="auto"/>
        </w:rPr>
      </w:pPr>
    </w:p>
    <w:p>
      <w:pPr>
        <w:ind w:left="500" w:right="7360" w:hanging="492"/>
        <w:spacing w:after="0" w:line="500" w:lineRule="auto"/>
        <w:tabs>
          <w:tab w:leader="none" w:pos="332"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Recent Sales of Unregistered Equity Securities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Arrangements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the Company’s directors and officers (as defined in Rule 16a-1(f) under the Exchange Act) adopted, materially modified or terminated written plans intended to satisfy the affirmative defense conditions of Securities Exchange Act Rule 10b5-1(c) for the sale of the Company’s securities as set forth in the table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3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Shares of Class A Common</w:t>
            </w: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09"/>
        </w:trPr>
        <w:tc>
          <w:tcPr>
            <w:tcW w:w="1620" w:type="dxa"/>
            <w:vAlign w:val="bottom"/>
            <w:gridSpan w:val="2"/>
            <w:vMerge w:val="continue"/>
          </w:tcPr>
          <w:p>
            <w:pPr>
              <w:spacing w:after="0"/>
              <w:rPr>
                <w:sz w:val="9"/>
                <w:szCs w:val="9"/>
                <w:color w:val="auto"/>
              </w:rPr>
            </w:pPr>
          </w:p>
        </w:tc>
        <w:tc>
          <w:tcPr>
            <w:tcW w:w="2620" w:type="dxa"/>
            <w:vAlign w:val="bottom"/>
            <w:gridSpan w:val="2"/>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2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 to be Sold</w:t>
            </w: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60" w:type="dxa"/>
            <w:vAlign w:val="bottom"/>
            <w:gridSpan w:val="2"/>
            <w:vMerge w:val="continue"/>
          </w:tcPr>
          <w:p>
            <w:pPr>
              <w:spacing w:after="0"/>
              <w:rPr>
                <w:sz w:val="7"/>
                <w:szCs w:val="7"/>
                <w:color w:val="auto"/>
              </w:rPr>
            </w:pPr>
          </w:p>
        </w:tc>
        <w:tc>
          <w:tcPr>
            <w:tcW w:w="1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Adam Blitzer</w:t>
            </w:r>
          </w:p>
        </w:tc>
        <w:tc>
          <w:tcPr>
            <w:tcW w:w="80" w:type="dxa"/>
            <w:vAlign w:val="bottom"/>
            <w:shd w:val="clear" w:color="auto" w:fill="CCEEFF"/>
          </w:tcPr>
          <w:p>
            <w:pPr>
              <w:spacing w:after="0"/>
              <w:rPr>
                <w:sz w:val="19"/>
                <w:szCs w:val="19"/>
                <w:color w:val="auto"/>
              </w:rPr>
            </w:pPr>
          </w:p>
        </w:tc>
        <w:tc>
          <w:tcPr>
            <w:tcW w:w="2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Chief Operating Officer</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Adoption</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August 22, 2025</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line="223" w:lineRule="exact"/>
              <w:rPr>
                <w:sz w:val="20"/>
                <w:szCs w:val="20"/>
                <w:color w:val="auto"/>
              </w:rPr>
            </w:pPr>
            <w:r>
              <w:rPr>
                <w:rFonts w:ascii="Times New Roman" w:cs="Times New Roman" w:eastAsia="Times New Roman" w:hAnsi="Times New Roman"/>
                <w:sz w:val="16"/>
                <w:szCs w:val="16"/>
                <w:color w:val="auto"/>
                <w:w w:val="96"/>
              </w:rPr>
              <w:t xml:space="preserve">Up to 143,055 shares </w:t>
            </w:r>
            <w:r>
              <w:rPr>
                <w:rFonts w:ascii="Times New Roman" w:cs="Times New Roman" w:eastAsia="Times New Roman" w:hAnsi="Times New Roman"/>
                <w:sz w:val="21"/>
                <w:szCs w:val="21"/>
                <w:color w:val="auto"/>
                <w:w w:val="96"/>
                <w:vertAlign w:val="superscript"/>
              </w:rPr>
              <w:t>(1)(2)</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31, 2026</w:t>
            </w:r>
          </w:p>
        </w:tc>
        <w:tc>
          <w:tcPr>
            <w:tcW w:w="0" w:type="dxa"/>
            <w:vAlign w:val="bottom"/>
          </w:tcPr>
          <w:p>
            <w:pPr>
              <w:spacing w:after="0"/>
              <w:rPr>
                <w:sz w:val="1"/>
                <w:szCs w:val="1"/>
                <w:color w:val="auto"/>
              </w:rPr>
            </w:pPr>
          </w:p>
        </w:tc>
      </w:tr>
      <w:tr>
        <w:trPr>
          <w:trHeight w:val="175"/>
        </w:trPr>
        <w:tc>
          <w:tcPr>
            <w:tcW w:w="16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w w:val="99"/>
              </w:rPr>
              <w:t>Olivier Pomel</w:t>
            </w:r>
          </w:p>
        </w:tc>
        <w:tc>
          <w:tcPr>
            <w:tcW w:w="26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rPr>
              <w:t>Chief Executive Officer &amp; Director</w:t>
            </w:r>
          </w:p>
        </w:tc>
        <w:tc>
          <w:tcPr>
            <w:tcW w:w="1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rPr>
              <w:t>Adoption</w:t>
            </w:r>
          </w:p>
        </w:tc>
        <w:tc>
          <w:tcPr>
            <w:tcW w:w="1340" w:type="dxa"/>
            <w:vAlign w:val="bottom"/>
            <w:gridSpan w:val="2"/>
          </w:tcPr>
          <w:p>
            <w:pPr>
              <w:jc w:val="center"/>
              <w:ind w:right="80"/>
              <w:spacing w:after="0" w:line="175" w:lineRule="exact"/>
              <w:rPr>
                <w:sz w:val="20"/>
                <w:szCs w:val="20"/>
                <w:color w:val="auto"/>
              </w:rPr>
            </w:pPr>
            <w:r>
              <w:rPr>
                <w:rFonts w:ascii="Times New Roman" w:cs="Times New Roman" w:eastAsia="Times New Roman" w:hAnsi="Times New Roman"/>
                <w:sz w:val="16"/>
                <w:szCs w:val="16"/>
                <w:color w:val="auto"/>
              </w:rPr>
              <w:t>September 15,</w:t>
            </w: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4"/>
              </w:rPr>
              <w:t xml:space="preserve">1,525,692 </w:t>
            </w:r>
            <w:r>
              <w:rPr>
                <w:rFonts w:ascii="Times New Roman" w:cs="Times New Roman" w:eastAsia="Times New Roman" w:hAnsi="Times New Roman"/>
                <w:sz w:val="21"/>
                <w:szCs w:val="21"/>
                <w:color w:val="auto"/>
                <w:w w:val="94"/>
                <w:vertAlign w:val="superscript"/>
              </w:rPr>
              <w:t>(3)</w:t>
            </w:r>
          </w:p>
        </w:tc>
        <w:tc>
          <w:tcPr>
            <w:tcW w:w="100" w:type="dxa"/>
            <w:vAlign w:val="bottom"/>
          </w:tcPr>
          <w:p>
            <w:pPr>
              <w:spacing w:after="0"/>
              <w:rPr>
                <w:sz w:val="15"/>
                <w:szCs w:val="15"/>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December 23, 2026</w:t>
            </w:r>
          </w:p>
        </w:tc>
        <w:tc>
          <w:tcPr>
            <w:tcW w:w="0" w:type="dxa"/>
            <w:vAlign w:val="bottom"/>
          </w:tcPr>
          <w:p>
            <w:pPr>
              <w:spacing w:after="0"/>
              <w:rPr>
                <w:sz w:val="1"/>
                <w:szCs w:val="1"/>
                <w:color w:val="auto"/>
              </w:rPr>
            </w:pPr>
          </w:p>
        </w:tc>
      </w:tr>
      <w:tr>
        <w:trPr>
          <w:trHeight w:val="162"/>
        </w:trPr>
        <w:tc>
          <w:tcPr>
            <w:tcW w:w="1620" w:type="dxa"/>
            <w:vAlign w:val="bottom"/>
            <w:gridSpan w:val="2"/>
            <w:vMerge w:val="continue"/>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100" w:type="dxa"/>
            <w:vAlign w:val="bottom"/>
          </w:tcPr>
          <w:p>
            <w:pPr>
              <w:spacing w:after="0"/>
              <w:rPr>
                <w:sz w:val="14"/>
                <w:szCs w:val="14"/>
                <w:color w:val="auto"/>
              </w:rPr>
            </w:pPr>
          </w:p>
        </w:tc>
        <w:tc>
          <w:tcPr>
            <w:tcW w:w="2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jc w:val="both"/>
        <w:ind w:left="360" w:right="20" w:hanging="334"/>
        <w:spacing w:after="0" w:line="261" w:lineRule="auto"/>
        <w:tabs>
          <w:tab w:leader="none" w:pos="35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actual number of shares that will be sold under the Rule 10b5-1 trading plan will be reduced by the number of shares sold pursuant to the Company’s election under its equity incentive plans to require the satisfaction of tax withholding obligations realized upon the vesting of RSUs and PSUs to be funded by a sell-to-cover transaction. The number of Company shares to be sold to satisfy the Company’s tax withholding obligation is not known at this time as it is dependent on future events, including the future trading price of the Company’s shares.</w:t>
      </w:r>
    </w:p>
    <w:p>
      <w:pPr>
        <w:spacing w:after="0" w:line="14" w:lineRule="exact"/>
        <w:rPr>
          <w:rFonts w:ascii="Times New Roman" w:cs="Times New Roman" w:eastAsia="Times New Roman" w:hAnsi="Times New Roman"/>
          <w:sz w:val="14"/>
          <w:szCs w:val="14"/>
          <w:color w:val="auto"/>
        </w:rPr>
      </w:pPr>
    </w:p>
    <w:p>
      <w:pPr>
        <w:ind w:left="360" w:right="20" w:hanging="334"/>
        <w:spacing w:after="0" w:line="281" w:lineRule="auto"/>
        <w:tabs>
          <w:tab w:leader="none" w:pos="35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up to 57,152 shares subject to PSUs previously awarded to Mr. Blitzer that may vest and be released upon the satisfaction of the applicable performance conditions (the “Blitzer PSUs”). The actual number of Blitzer PSUs that will vest is not yet determinable.</w:t>
      </w:r>
    </w:p>
    <w:p>
      <w:pPr>
        <w:spacing w:after="0" w:line="1" w:lineRule="exact"/>
        <w:rPr>
          <w:rFonts w:ascii="Times New Roman" w:cs="Times New Roman" w:eastAsia="Times New Roman" w:hAnsi="Times New Roman"/>
          <w:sz w:val="14"/>
          <w:szCs w:val="14"/>
          <w:color w:val="auto"/>
        </w:rPr>
      </w:pPr>
    </w:p>
    <w:p>
      <w:pPr>
        <w:ind w:left="340" w:hanging="314"/>
        <w:spacing w:after="0"/>
        <w:tabs>
          <w:tab w:leader="none" w:pos="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509,000 shares will be sold in sell-to-cover transactions intended to satisfy tax withholding obligations and exercise costs realized upon the exercise of stock options.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8" w:name="page69"/>
    <w:bookmarkEnd w:id="68"/>
    <w:p>
      <w:pPr>
        <w:spacing w:after="0" w:line="325" w:lineRule="exact"/>
        <w:rPr>
          <w:sz w:val="20"/>
          <w:szCs w:val="20"/>
          <w:color w:val="auto"/>
        </w:rPr>
      </w:pPr>
    </w:p>
    <w:p>
      <w:pPr>
        <w:ind w:left="55"/>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55" w:lineRule="exact"/>
        <w:rPr>
          <w:sz w:val="20"/>
          <w:szCs w:val="20"/>
          <w:color w:val="auto"/>
        </w:rPr>
      </w:pPr>
    </w:p>
    <w:tbl>
      <w:tblPr>
        <w:tblLayout w:type="fixed"/>
        <w:tblInd w:w="55" w:type="dxa"/>
        <w:tblCellMar>
          <w:top w:w="0" w:type="dxa"/>
          <w:left w:w="0" w:type="dxa"/>
          <w:bottom w:w="0" w:type="dxa"/>
          <w:right w:w="0" w:type="dxa"/>
        </w:tblCellMar>
      </w:tblPr>
      <w:tr>
        <w:trPr>
          <w:trHeight w:val="190"/>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58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12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204"/>
        </w:trPr>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6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7"/>
        </w:trPr>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Amended and Restated Certificate of</w:t>
              </w:r>
            </w:hyperlink>
          </w:p>
        </w:tc>
        <w:tc>
          <w:tcPr>
            <w:tcW w:w="960" w:type="dxa"/>
            <w:vAlign w:val="bottom"/>
          </w:tcPr>
          <w:p>
            <w:pPr>
              <w:jc w:val="center"/>
              <w:ind w:right="36"/>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001-39051</w:t>
            </w:r>
          </w:p>
        </w:tc>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6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June 5, 2025</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Borders>
              <w:top w:val="single" w:sz="8" w:color="0000FF"/>
            </w:tcBorders>
            <w:gridSpan w:val="4"/>
          </w:tcPr>
          <w:p>
            <w:pPr>
              <w:spacing w:after="0" w:line="19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Incorporation of Datadog, Inc.</w:t>
              </w:r>
            </w:hyperlink>
          </w:p>
        </w:tc>
        <w:tc>
          <w:tcPr>
            <w:tcW w:w="1060" w:type="dxa"/>
            <w:vAlign w:val="bottom"/>
            <w:gridSpan w:val="8"/>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Amended and Restated Bylaws of Datadog, Inc.</w:t>
              </w:r>
            </w:hyperlink>
          </w:p>
        </w:tc>
        <w:tc>
          <w:tcPr>
            <w:tcW w:w="240" w:type="dxa"/>
            <w:vAlign w:val="bottom"/>
          </w:tcPr>
          <w:p>
            <w:pPr>
              <w:spacing w:after="0"/>
              <w:rPr>
                <w:sz w:val="21"/>
                <w:szCs w:val="21"/>
                <w:color w:val="auto"/>
              </w:rPr>
            </w:pPr>
          </w:p>
        </w:tc>
        <w:tc>
          <w:tcPr>
            <w:tcW w:w="960" w:type="dxa"/>
            <w:vAlign w:val="bottom"/>
          </w:tcPr>
          <w:p>
            <w:pPr>
              <w:jc w:val="center"/>
              <w:ind w:right="16"/>
              <w:spacing w:after="0"/>
              <w:rPr>
                <w:sz w:val="20"/>
                <w:szCs w:val="20"/>
                <w:color w:val="auto"/>
              </w:rPr>
            </w:pPr>
            <w:r>
              <w:rPr>
                <w:rFonts w:ascii="Times New Roman" w:cs="Times New Roman" w:eastAsia="Times New Roman" w:hAnsi="Times New Roman"/>
                <w:sz w:val="18"/>
                <w:szCs w:val="18"/>
                <w:color w:val="auto"/>
              </w:rPr>
              <w:t>10-Q</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001-39051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9, 2023</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w:t>
            </w:r>
          </w:p>
        </w:tc>
        <w:tc>
          <w:tcPr>
            <w:tcW w:w="600" w:type="dxa"/>
            <w:vAlign w:val="bottom"/>
            <w:gridSpan w:val="5"/>
          </w:tcPr>
          <w:p>
            <w:pPr>
              <w:spacing w:after="0"/>
              <w:rPr>
                <w:sz w:val="21"/>
                <w:szCs w:val="21"/>
                <w:color w:val="auto"/>
              </w:rPr>
            </w:pP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Pursuant to Rules 13a-14(a) and 15d-14(a)</w:t>
            </w: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under the Securities Exchange Act of 1934, as</w:t>
            </w: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w:t>
            </w:r>
          </w:p>
        </w:tc>
        <w:tc>
          <w:tcPr>
            <w:tcW w:w="480" w:type="dxa"/>
            <w:vAlign w:val="bottom"/>
            <w:tcBorders>
              <w:top w:val="single" w:sz="8" w:color="0000FF"/>
            </w:tcBorders>
            <w:gridSpan w:val="3"/>
          </w:tcPr>
          <w:p>
            <w:pPr>
              <w:spacing w:after="0"/>
              <w:rPr>
                <w:sz w:val="17"/>
                <w:szCs w:val="17"/>
                <w:color w:val="auto"/>
              </w:rPr>
            </w:pPr>
          </w:p>
        </w:tc>
        <w:tc>
          <w:tcPr>
            <w:tcW w:w="400" w:type="dxa"/>
            <w:vAlign w:val="bottom"/>
            <w:gridSpan w:val="4"/>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1620" w:type="dxa"/>
            <w:vAlign w:val="bottom"/>
            <w:gridSpan w:val="10"/>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Pursuant to Rules 13a-14(a) and 15d-14(a)</w:t>
            </w: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under the Securities Exchange Act of 1934, as</w:t>
            </w: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w:t>
            </w:r>
          </w:p>
        </w:tc>
        <w:tc>
          <w:tcPr>
            <w:tcW w:w="480" w:type="dxa"/>
            <w:vAlign w:val="bottom"/>
            <w:tcBorders>
              <w:top w:val="single" w:sz="8" w:color="0000FF"/>
            </w:tcBorders>
            <w:gridSpan w:val="3"/>
          </w:tcPr>
          <w:p>
            <w:pPr>
              <w:spacing w:after="0"/>
              <w:rPr>
                <w:sz w:val="17"/>
                <w:szCs w:val="17"/>
                <w:color w:val="auto"/>
              </w:rPr>
            </w:pPr>
          </w:p>
        </w:tc>
        <w:tc>
          <w:tcPr>
            <w:tcW w:w="400" w:type="dxa"/>
            <w:vAlign w:val="bottom"/>
            <w:gridSpan w:val="4"/>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1620" w:type="dxa"/>
            <w:vAlign w:val="bottom"/>
            <w:gridSpan w:val="10"/>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w:t>
            </w:r>
          </w:p>
        </w:tc>
        <w:tc>
          <w:tcPr>
            <w:tcW w:w="600" w:type="dxa"/>
            <w:vAlign w:val="bottom"/>
            <w:gridSpan w:val="5"/>
          </w:tcPr>
          <w:p>
            <w:pPr>
              <w:spacing w:after="0"/>
              <w:rPr>
                <w:sz w:val="21"/>
                <w:szCs w:val="21"/>
                <w:color w:val="auto"/>
              </w:rPr>
            </w:pP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18 U.S.C. Section 1350, as Adopted</w:t>
            </w:r>
          </w:p>
        </w:tc>
        <w:tc>
          <w:tcPr>
            <w:tcW w:w="26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906 of the Sarbanes-Oxley</w:t>
            </w: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460" w:type="dxa"/>
            <w:vAlign w:val="bottom"/>
            <w:tcBorders>
              <w:top w:val="single" w:sz="8" w:color="0000FF"/>
            </w:tcBorders>
            <w:gridSpan w:val="8"/>
          </w:tcPr>
          <w:p>
            <w:pPr>
              <w:spacing w:after="0"/>
              <w:rPr>
                <w:sz w:val="17"/>
                <w:szCs w:val="17"/>
                <w:color w:val="auto"/>
              </w:rPr>
            </w:pPr>
          </w:p>
        </w:tc>
        <w:tc>
          <w:tcPr>
            <w:tcW w:w="360" w:type="dxa"/>
            <w:vAlign w:val="bottom"/>
            <w:gridSpan w:val="3"/>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gridSpan w:val="6"/>
            <w:shd w:val="clear" w:color="auto" w:fill="0000FF"/>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18 U.S.C. Section 1350, as Adopted</w:t>
            </w:r>
          </w:p>
        </w:tc>
        <w:tc>
          <w:tcPr>
            <w:tcW w:w="26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906 of the Sarbanes-Oxley</w:t>
            </w: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460" w:type="dxa"/>
            <w:vAlign w:val="bottom"/>
            <w:tcBorders>
              <w:top w:val="single" w:sz="8" w:color="0000FF"/>
            </w:tcBorders>
            <w:gridSpan w:val="8"/>
          </w:tcPr>
          <w:p>
            <w:pPr>
              <w:spacing w:after="0"/>
              <w:rPr>
                <w:sz w:val="17"/>
                <w:szCs w:val="17"/>
                <w:color w:val="auto"/>
              </w:rPr>
            </w:pPr>
          </w:p>
        </w:tc>
        <w:tc>
          <w:tcPr>
            <w:tcW w:w="360" w:type="dxa"/>
            <w:vAlign w:val="bottom"/>
            <w:gridSpan w:val="3"/>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7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3"/>
                <w:szCs w:val="23"/>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9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5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Calculation</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Definition</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Document</w:t>
            </w: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Presentation</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and contained in Exhibit 101)</w:t>
            </w: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45" w:lineRule="exact"/>
        <w:rPr>
          <w:sz w:val="20"/>
          <w:szCs w:val="20"/>
          <w:color w:val="auto"/>
        </w:rPr>
      </w:pPr>
    </w:p>
    <w:p>
      <w:pPr>
        <w:ind w:left="335" w:right="140" w:hanging="335"/>
        <w:spacing w:after="0" w:line="241" w:lineRule="auto"/>
        <w:tabs>
          <w:tab w:leader="none" w:pos="335"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94"/>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55"/>
          </w:cols>
          <w:pgMar w:left="265" w:top="1440" w:right="37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0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DATADOG, INC.</w:t>
            </w:r>
          </w:p>
        </w:tc>
      </w:tr>
      <w:tr>
        <w:trPr>
          <w:trHeight w:val="49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2025</w:t>
            </w:r>
          </w:p>
        </w:tc>
        <w:tc>
          <w:tcPr>
            <w:tcW w:w="27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Olivier Pomel</w:t>
            </w:r>
          </w:p>
        </w:tc>
      </w:tr>
      <w:tr>
        <w:trPr>
          <w:trHeight w:val="218"/>
        </w:trPr>
        <w:tc>
          <w:tcPr>
            <w:tcW w:w="3580" w:type="dxa"/>
            <w:vAlign w:val="bottom"/>
          </w:tcPr>
          <w:p>
            <w:pPr>
              <w:spacing w:after="0"/>
              <w:rPr>
                <w:sz w:val="18"/>
                <w:szCs w:val="18"/>
                <w:color w:val="auto"/>
              </w:rPr>
            </w:pPr>
          </w:p>
        </w:tc>
        <w:tc>
          <w:tcPr>
            <w:tcW w:w="27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Olivier Pomel</w:t>
            </w:r>
          </w:p>
        </w:tc>
      </w:tr>
      <w:tr>
        <w:trPr>
          <w:trHeight w:val="180"/>
        </w:trPr>
        <w:tc>
          <w:tcPr>
            <w:tcW w:w="3580" w:type="dxa"/>
            <w:vAlign w:val="bottom"/>
          </w:tcPr>
          <w:p>
            <w:pPr>
              <w:spacing w:after="0"/>
              <w:rPr>
                <w:sz w:val="15"/>
                <w:szCs w:val="15"/>
                <w:color w:val="auto"/>
              </w:rPr>
            </w:pPr>
          </w:p>
        </w:tc>
        <w:tc>
          <w:tcPr>
            <w:tcW w:w="2760" w:type="dxa"/>
            <w:vAlign w:val="bottom"/>
          </w:tcPr>
          <w:p>
            <w:pPr>
              <w:ind w:left="178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6"/>
        </w:trPr>
        <w:tc>
          <w:tcPr>
            <w:tcW w:w="35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9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2025</w:t>
            </w:r>
          </w:p>
        </w:tc>
        <w:tc>
          <w:tcPr>
            <w:tcW w:w="27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Obstler</w:t>
            </w:r>
          </w:p>
        </w:tc>
      </w:tr>
      <w:tr>
        <w:trPr>
          <w:trHeight w:val="218"/>
        </w:trPr>
        <w:tc>
          <w:tcPr>
            <w:tcW w:w="3580" w:type="dxa"/>
            <w:vAlign w:val="bottom"/>
          </w:tcPr>
          <w:p>
            <w:pPr>
              <w:spacing w:after="0"/>
              <w:rPr>
                <w:sz w:val="18"/>
                <w:szCs w:val="18"/>
                <w:color w:val="auto"/>
              </w:rPr>
            </w:pPr>
          </w:p>
        </w:tc>
        <w:tc>
          <w:tcPr>
            <w:tcW w:w="27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Obstler</w:t>
            </w:r>
          </w:p>
        </w:tc>
      </w:tr>
      <w:tr>
        <w:trPr>
          <w:trHeight w:val="180"/>
        </w:trPr>
        <w:tc>
          <w:tcPr>
            <w:tcW w:w="3580" w:type="dxa"/>
            <w:vAlign w:val="bottom"/>
          </w:tcPr>
          <w:p>
            <w:pPr>
              <w:spacing w:after="0"/>
              <w:rPr>
                <w:sz w:val="15"/>
                <w:szCs w:val="15"/>
                <w:color w:val="auto"/>
              </w:rPr>
            </w:pPr>
          </w:p>
        </w:tc>
        <w:tc>
          <w:tcPr>
            <w:tcW w:w="2760" w:type="dxa"/>
            <w:vAlign w:val="bottom"/>
          </w:tcPr>
          <w:p>
            <w:pPr>
              <w:ind w:left="178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5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089"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Olivier Pomel, certify that:</w:t>
      </w:r>
    </w:p>
    <w:p>
      <w:pPr>
        <w:spacing w:after="0" w:line="225" w:lineRule="exact"/>
        <w:rPr>
          <w:sz w:val="20"/>
          <w:szCs w:val="20"/>
          <w:color w:val="auto"/>
        </w:rPr>
      </w:pPr>
    </w:p>
    <w:p>
      <w:pPr>
        <w:ind w:left="580" w:hanging="572"/>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Datadog, Inc. (the “registrant”) for the fiscal quarter ended September 30, 2025;</w:t>
      </w:r>
    </w:p>
    <w:p>
      <w:pPr>
        <w:spacing w:after="0" w:line="225" w:lineRule="exact"/>
        <w:rPr>
          <w:rFonts w:ascii="Times New Roman" w:cs="Times New Roman" w:eastAsia="Times New Roman" w:hAnsi="Times New Roman"/>
          <w:sz w:val="18"/>
          <w:szCs w:val="18"/>
          <w:color w:val="auto"/>
        </w:rPr>
      </w:pPr>
    </w:p>
    <w:p>
      <w:pPr>
        <w:jc w:val="both"/>
        <w:ind w:left="580" w:right="200" w:hanging="572"/>
        <w:spacing w:after="0" w:line="266" w:lineRule="auto"/>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80" w:right="160" w:hanging="572"/>
        <w:spacing w:after="0" w:line="282" w:lineRule="auto"/>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80" w:right="220" w:hanging="572"/>
        <w:spacing w:after="0" w:line="282" w:lineRule="auto"/>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140" w:right="80" w:hanging="565"/>
        <w:spacing w:after="0" w:line="266" w:lineRule="auto"/>
        <w:tabs>
          <w:tab w:leader="none" w:pos="113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40" w:right="200" w:hanging="565"/>
        <w:spacing w:after="0" w:line="266" w:lineRule="auto"/>
        <w:tabs>
          <w:tab w:leader="none" w:pos="112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40" w:right="380" w:hanging="565"/>
        <w:spacing w:after="0" w:line="312" w:lineRule="auto"/>
        <w:tabs>
          <w:tab w:leader="none" w:pos="1131"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140" w:right="100" w:hanging="565"/>
        <w:spacing w:after="0" w:line="266" w:lineRule="auto"/>
        <w:tabs>
          <w:tab w:leader="none" w:pos="112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80" w:right="180" w:hanging="572"/>
        <w:spacing w:after="0" w:line="282" w:lineRule="auto"/>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40" w:right="620" w:hanging="565"/>
        <w:spacing w:after="0" w:line="282" w:lineRule="auto"/>
        <w:tabs>
          <w:tab w:leader="none" w:pos="113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40" w:right="340" w:hanging="565"/>
        <w:spacing w:after="0" w:line="282" w:lineRule="auto"/>
        <w:tabs>
          <w:tab w:leader="none" w:pos="112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5840" w:val="left"/>
          <w:tab w:leader="none" w:pos="7100" w:val="left"/>
        </w:tabs>
        <w:rPr>
          <w:sz w:val="20"/>
          <w:szCs w:val="20"/>
          <w:color w:val="auto"/>
        </w:rPr>
      </w:pPr>
      <w:r>
        <w:rPr>
          <w:rFonts w:ascii="Times New Roman" w:cs="Times New Roman" w:eastAsia="Times New Roman" w:hAnsi="Times New Roman"/>
          <w:sz w:val="18"/>
          <w:szCs w:val="18"/>
          <w:color w:val="auto"/>
        </w:rPr>
        <w:t>Date: November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Olivier Pomel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34290</wp:posOffset>
            </wp:positionV>
            <wp:extent cx="310324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53" w:lineRule="exact"/>
        <w:rPr>
          <w:sz w:val="20"/>
          <w:szCs w:val="20"/>
          <w:color w:val="auto"/>
        </w:rPr>
      </w:pPr>
    </w:p>
    <w:p>
      <w:pPr>
        <w:ind w:left="6340"/>
        <w:spacing w:after="0"/>
        <w:tabs>
          <w:tab w:leader="none" w:pos="71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color w:val="auto"/>
        </w:rPr>
        <w:t>Olivier Pomel</w:t>
      </w:r>
    </w:p>
    <w:p>
      <w:pPr>
        <w:spacing w:after="0" w:line="63" w:lineRule="exact"/>
        <w:rPr>
          <w:sz w:val="20"/>
          <w:szCs w:val="20"/>
          <w:color w:val="auto"/>
        </w:rPr>
      </w:pPr>
    </w:p>
    <w:p>
      <w:pPr>
        <w:ind w:left="6340"/>
        <w:spacing w:after="0"/>
        <w:tabs>
          <w:tab w:leader="none" w:pos="71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Chief Executive Officer and Director</w:t>
      </w:r>
    </w:p>
    <w:p>
      <w:pPr>
        <w:spacing w:after="0" w:line="6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887"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Obstler, certify that:</w:t>
      </w:r>
    </w:p>
    <w:p>
      <w:pPr>
        <w:spacing w:after="0" w:line="225" w:lineRule="exact"/>
        <w:rPr>
          <w:sz w:val="20"/>
          <w:szCs w:val="20"/>
          <w:color w:val="auto"/>
        </w:rPr>
      </w:pPr>
    </w:p>
    <w:p>
      <w:pPr>
        <w:ind w:left="580" w:hanging="572"/>
        <w:spacing w:after="0"/>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Datadog, Inc. (the “registrant”) for the fiscal quarter ended September 30, 2025;</w:t>
      </w:r>
    </w:p>
    <w:p>
      <w:pPr>
        <w:spacing w:after="0" w:line="225" w:lineRule="exact"/>
        <w:rPr>
          <w:rFonts w:ascii="Times New Roman" w:cs="Times New Roman" w:eastAsia="Times New Roman" w:hAnsi="Times New Roman"/>
          <w:sz w:val="18"/>
          <w:szCs w:val="18"/>
          <w:color w:val="auto"/>
        </w:rPr>
      </w:pPr>
    </w:p>
    <w:p>
      <w:pPr>
        <w:jc w:val="both"/>
        <w:ind w:left="580" w:right="200" w:hanging="572"/>
        <w:spacing w:after="0" w:line="266" w:lineRule="auto"/>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80" w:right="160" w:hanging="572"/>
        <w:spacing w:after="0" w:line="282" w:lineRule="auto"/>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80" w:right="220" w:hanging="572"/>
        <w:spacing w:after="0" w:line="282" w:lineRule="auto"/>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140" w:right="80" w:hanging="565"/>
        <w:spacing w:after="0" w:line="266" w:lineRule="auto"/>
        <w:tabs>
          <w:tab w:leader="none" w:pos="113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40" w:right="200" w:hanging="565"/>
        <w:spacing w:after="0" w:line="266" w:lineRule="auto"/>
        <w:tabs>
          <w:tab w:leader="none" w:pos="112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40" w:right="380" w:hanging="565"/>
        <w:spacing w:after="0" w:line="312" w:lineRule="auto"/>
        <w:tabs>
          <w:tab w:leader="none" w:pos="1131"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140" w:right="100" w:hanging="565"/>
        <w:spacing w:after="0" w:line="266" w:lineRule="auto"/>
        <w:tabs>
          <w:tab w:leader="none" w:pos="112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80" w:right="180" w:hanging="572"/>
        <w:spacing w:after="0" w:line="282" w:lineRule="auto"/>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40" w:right="620" w:hanging="565"/>
        <w:spacing w:after="0" w:line="282" w:lineRule="auto"/>
        <w:tabs>
          <w:tab w:leader="none" w:pos="113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40" w:right="340" w:hanging="565"/>
        <w:spacing w:after="0" w:line="282" w:lineRule="auto"/>
        <w:tabs>
          <w:tab w:leader="none" w:pos="112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2025</w:t>
            </w:r>
          </w:p>
        </w:tc>
        <w:tc>
          <w:tcPr>
            <w:tcW w:w="314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David Obstler</w:t>
            </w:r>
          </w:p>
        </w:tc>
      </w:tr>
      <w:tr>
        <w:trPr>
          <w:trHeight w:val="214"/>
        </w:trPr>
        <w:tc>
          <w:tcPr>
            <w:tcW w:w="3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David Obstler</w:t>
            </w:r>
          </w:p>
        </w:tc>
      </w:tr>
      <w:tr>
        <w:trPr>
          <w:trHeight w:val="232"/>
        </w:trPr>
        <w:tc>
          <w:tcPr>
            <w:tcW w:w="3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bl>
    <w:p>
      <w:pPr>
        <w:sectPr>
          <w:pgSz w:w="11900" w:h="16838" w:orient="portrait"/>
          <w:cols w:equalWidth="0" w:num="1">
            <w:col w:w="11240"/>
          </w:cols>
          <w:pgMar w:left="320" w:top="887"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 Olivier Pomel, certify, pursuant to 18 U.S.C. Section 1350, as adopted pursuant to Section 906 of the Sarbanes-Oxley Act of 2002, that the Quarterly Report on Form 10-Q of Datadog, Inc. for the fiscal quarter ended September 30, 2025 fully complies with the requirements of Section 13(a) or 15(d) of the Securities Exchange Act of 1934, as amended, and that information contained in such Quarterly Report on Form 10-Q fairly presents, in all material respects, the financial condition and results of operations of Datadog, Inc.</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2025</w:t>
            </w:r>
          </w:p>
        </w:tc>
        <w:tc>
          <w:tcPr>
            <w:tcW w:w="314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Olivier Pomel</w:t>
            </w:r>
          </w:p>
        </w:tc>
      </w:tr>
      <w:tr>
        <w:trPr>
          <w:trHeight w:val="214"/>
        </w:trPr>
        <w:tc>
          <w:tcPr>
            <w:tcW w:w="3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Olivier Pomel</w:t>
            </w:r>
          </w:p>
        </w:tc>
      </w:tr>
      <w:tr>
        <w:trPr>
          <w:trHeight w:val="232"/>
        </w:trPr>
        <w:tc>
          <w:tcPr>
            <w:tcW w:w="3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6"/>
        </w:trPr>
        <w:tc>
          <w:tcPr>
            <w:tcW w:w="3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3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Quarterly Report, is not deemed filed with the Securities and Exchange Commission and is not to be incorporated by reference into any filing of Datadog, Inc. under the Securities Act of 1933, as amended, or the Securities Exchange Act of 1934, as amended (whether made before or after the date of the Quarterly Report on Form 10-Q), irrespective of any general incorporation language contained in such filing.</w:t>
      </w:r>
    </w:p>
    <w:p>
      <w:pPr>
        <w:sectPr>
          <w:pgSz w:w="11900" w:h="16838" w:orient="portrait"/>
          <w:cols w:equalWidth="0" w:num="1">
            <w:col w:w="11240"/>
          </w:cols>
          <w:pgMar w:left="320" w:top="887"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 David Obstler, certify, pursuant to 18 U.S.C. Section 1350, as adopted pursuant to Section 906 of the Sarbanes-Oxley Act of 2002, that the Quarterly Report on Form 10-Q of Datadog, Inc. for the fiscal quarter ended September 30, 2025 fully complies with the requirements of Section 13(a) or 15(d) of the Securities Exchange Act of 1934, as amended, and that information contained in such Quarterly Report on Form 10-Q fairly presents, in all material respects, the financial condition and results of operations of Datadog, Inc.</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2025</w:t>
            </w:r>
          </w:p>
        </w:tc>
        <w:tc>
          <w:tcPr>
            <w:tcW w:w="314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David Obstler</w:t>
            </w:r>
          </w:p>
        </w:tc>
      </w:tr>
      <w:tr>
        <w:trPr>
          <w:trHeight w:val="214"/>
        </w:trPr>
        <w:tc>
          <w:tcPr>
            <w:tcW w:w="3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David Obstler</w:t>
            </w:r>
          </w:p>
        </w:tc>
      </w:tr>
      <w:tr>
        <w:trPr>
          <w:trHeight w:val="232"/>
        </w:trPr>
        <w:tc>
          <w:tcPr>
            <w:tcW w:w="3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bl>
    <w:p>
      <w:pPr>
        <w:spacing w:after="0" w:line="2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Quarterly Report, is not deemed filed with the Securities and Exchange Commission and is not to be incorporated by reference into any filing of Datadog, Inc.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2"/>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0" Type="http://schemas.openxmlformats.org/officeDocument/2006/relationships/hyperlink" Target="https://www.sec.gov/Archives/edgar/data/1561550/000156155025000162/datadog-amendedandrestated.htm" TargetMode="External"/><Relationship Id="rId131" Type="http://schemas.openxmlformats.org/officeDocument/2006/relationships/hyperlink" Target="https://www.sec.gov/Archives/edgar/data/1561550/000156155023000039/exhibit32-amendedandrest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2025-11-07T06:45:53Z</dcterms:created>
  <dcterms:modified xsi:type="dcterms:W3CDTF">2025-11-07T06:45:53Z</dcterms:modified>
</cp:coreProperties>
</file>