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b w:val="1"/>
          <w:bCs w:val="1"/>
          <w:u w:val="single" w:color="auto"/>
          <w:color w:val="auto"/>
        </w:rPr>
        <w:t>______</w:t>
      </w:r>
      <w:r>
        <w:rPr>
          <w:rFonts w:ascii="Arial" w:cs="Arial" w:eastAsia="Arial" w:hAnsi="Arial"/>
          <w:sz w:val="18"/>
          <w:szCs w:val="18"/>
          <w:b w:val="1"/>
          <w:bCs w:val="1"/>
          <w:color w:val="auto"/>
        </w:rPr>
        <w:t xml:space="preserve"> to </w:t>
      </w:r>
      <w:r>
        <w:rPr>
          <w:rFonts w:ascii="Arial" w:cs="Arial" w:eastAsia="Arial" w:hAnsi="Arial"/>
          <w:sz w:val="18"/>
          <w:szCs w:val="18"/>
          <w:b w:val="1"/>
          <w:bCs w:val="1"/>
          <w:u w:val="single" w:color="auto"/>
          <w:color w:val="auto"/>
        </w:rPr>
        <w:t>______</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001-39051</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Datadog,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35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760" w:type="dxa"/>
            <w:vAlign w:val="bottom"/>
          </w:tcPr>
          <w:p>
            <w:pPr>
              <w:jc w:val="center"/>
              <w:ind w:left="176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tcPr>
          <w:p>
            <w:pPr>
              <w:jc w:val="right"/>
              <w:ind w:right="1703"/>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193"/>
        </w:trPr>
        <w:tc>
          <w:tcPr>
            <w:tcW w:w="3760" w:type="dxa"/>
            <w:vAlign w:val="bottom"/>
          </w:tcPr>
          <w:p>
            <w:pPr>
              <w:jc w:val="center"/>
              <w:ind w:left="1760"/>
              <w:spacing w:after="0"/>
              <w:rPr>
                <w:sz w:val="20"/>
                <w:szCs w:val="20"/>
                <w:color w:val="auto"/>
              </w:rPr>
            </w:pPr>
            <w:r>
              <w:rPr>
                <w:rFonts w:ascii="Arial" w:cs="Arial" w:eastAsia="Arial" w:hAnsi="Arial"/>
                <w:sz w:val="14"/>
                <w:szCs w:val="14"/>
                <w:b w:val="1"/>
                <w:bCs w:val="1"/>
                <w:color w:val="auto"/>
                <w:w w:val="93"/>
              </w:rPr>
              <w:t>(State or other jurisdiction of</w:t>
            </w: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jc w:val="center"/>
              <w:ind w:right="1023"/>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60" w:type="dxa"/>
            <w:vAlign w:val="bottom"/>
          </w:tcPr>
          <w:p>
            <w:pPr>
              <w:jc w:val="center"/>
              <w:ind w:left="1760"/>
              <w:spacing w:after="0"/>
              <w:rPr>
                <w:sz w:val="20"/>
                <w:szCs w:val="20"/>
                <w:color w:val="auto"/>
              </w:rPr>
            </w:pPr>
            <w:r>
              <w:rPr>
                <w:rFonts w:ascii="Arial" w:cs="Arial" w:eastAsia="Arial" w:hAnsi="Arial"/>
                <w:sz w:val="14"/>
                <w:szCs w:val="14"/>
                <w:b w:val="1"/>
                <w:bCs w:val="1"/>
                <w:color w:val="auto"/>
                <w:w w:val="94"/>
              </w:rPr>
              <w:t>incorporation or organization)</w:t>
            </w: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ind w:left="560"/>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69"/>
        </w:trPr>
        <w:tc>
          <w:tcPr>
            <w:tcW w:w="3760" w:type="dxa"/>
            <w:vAlign w:val="bottom"/>
          </w:tcPr>
          <w:p>
            <w:pPr>
              <w:jc w:val="center"/>
              <w:ind w:right="580"/>
              <w:spacing w:after="0"/>
              <w:rPr>
                <w:sz w:val="20"/>
                <w:szCs w:val="20"/>
                <w:color w:val="auto"/>
              </w:rPr>
            </w:pPr>
            <w:r>
              <w:rPr>
                <w:rFonts w:ascii="Arial" w:cs="Arial" w:eastAsia="Arial" w:hAnsi="Arial"/>
                <w:sz w:val="18"/>
                <w:szCs w:val="18"/>
                <w:b w:val="1"/>
                <w:bCs w:val="1"/>
                <w:color w:val="auto"/>
                <w:w w:val="88"/>
              </w:rPr>
              <w:t>620 8th Avenue,</w:t>
            </w:r>
          </w:p>
        </w:tc>
        <w:tc>
          <w:tcPr>
            <w:tcW w:w="416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4"/>
              </w:rPr>
              <w:t>45th Floor</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jc w:val="center"/>
              <w:ind w:right="580"/>
              <w:spacing w:after="0"/>
              <w:rPr>
                <w:sz w:val="20"/>
                <w:szCs w:val="20"/>
                <w:color w:val="auto"/>
              </w:rPr>
            </w:pPr>
            <w:r>
              <w:rPr>
                <w:rFonts w:ascii="Arial" w:cs="Arial" w:eastAsia="Arial" w:hAnsi="Arial"/>
                <w:sz w:val="18"/>
                <w:szCs w:val="18"/>
                <w:b w:val="1"/>
                <w:bCs w:val="1"/>
                <w:color w:val="auto"/>
                <w:w w:val="94"/>
              </w:rPr>
              <w:t>New York,</w:t>
            </w:r>
          </w:p>
        </w:tc>
        <w:tc>
          <w:tcPr>
            <w:tcW w:w="416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rPr>
              <w:t>NY</w:t>
            </w:r>
          </w:p>
        </w:tc>
        <w:tc>
          <w:tcPr>
            <w:tcW w:w="3340" w:type="dxa"/>
            <w:vAlign w:val="bottom"/>
          </w:tcPr>
          <w:p>
            <w:pPr>
              <w:jc w:val="right"/>
              <w:ind w:right="1923"/>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218"/>
        </w:trPr>
        <w:tc>
          <w:tcPr>
            <w:tcW w:w="79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right="1023"/>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08"/>
        </w:trPr>
        <w:tc>
          <w:tcPr>
            <w:tcW w:w="1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________________________________________</w:t>
            </w:r>
          </w:p>
        </w:tc>
        <w:tc>
          <w:tcPr>
            <w:tcW w:w="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60" w:type="dxa"/>
            <w:vAlign w:val="bottom"/>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37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2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87"/>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DDOG</w:t>
            </w:r>
          </w:p>
        </w:tc>
        <w:tc>
          <w:tcPr>
            <w:tcW w:w="420" w:type="dxa"/>
            <w:vAlign w:val="bottom"/>
          </w:tcPr>
          <w:p>
            <w:pPr>
              <w:spacing w:after="0"/>
              <w:rPr>
                <w:sz w:val="16"/>
                <w:szCs w:val="16"/>
                <w:color w:val="auto"/>
              </w:rPr>
            </w:pPr>
          </w:p>
        </w:tc>
        <w:tc>
          <w:tcPr>
            <w:tcW w:w="334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3340" w:type="dxa"/>
            <w:vAlign w:val="bottom"/>
            <w:tcBorders>
              <w:right w:val="single" w:sz="8" w:color="auto"/>
            </w:tcBorders>
            <w:vMerge w:val="restart"/>
          </w:tcPr>
          <w:p>
            <w:pPr>
              <w:ind w:left="56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12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7920" w:type="dxa"/>
            <w:vAlign w:val="bottom"/>
            <w:gridSpan w:val="3"/>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 Yes</w:t>
            </w:r>
          </w:p>
        </w:tc>
        <w:tc>
          <w:tcPr>
            <w:tcW w:w="3340" w:type="dxa"/>
            <w:vAlign w:val="bottom"/>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99" w:lineRule="exact"/>
        <w:rPr>
          <w:sz w:val="24"/>
          <w:szCs w:val="24"/>
          <w:color w:val="auto"/>
        </w:rPr>
      </w:pPr>
    </w:p>
    <w:p>
      <w:pPr>
        <w:jc w:val="both"/>
        <w:ind w:right="20"/>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5" w:lineRule="exact"/>
        <w:rPr>
          <w:sz w:val="24"/>
          <w:szCs w:val="24"/>
          <w:color w:val="auto"/>
        </w:rPr>
      </w:pPr>
    </w:p>
    <w:p>
      <w:pPr>
        <w:jc w:val="both"/>
        <w:ind w:right="2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72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3" w:lineRule="exact"/>
        <w:rPr>
          <w:sz w:val="24"/>
          <w:szCs w:val="24"/>
          <w:color w:val="auto"/>
        </w:rPr>
      </w:pPr>
    </w:p>
    <w:p>
      <w:pPr>
        <w:jc w:val="both"/>
        <w:ind w:right="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4" w:lineRule="exact"/>
        <w:rPr>
          <w:sz w:val="24"/>
          <w:szCs w:val="24"/>
          <w:color w:val="auto"/>
        </w:rPr>
      </w:pPr>
    </w:p>
    <w:p>
      <w:pPr>
        <w:jc w:val="both"/>
        <w:ind w:right="4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59"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registrant’s shares of Class A common stock as reported by The Nasdaq Global Select Market on June 30, 2021 was approximately $24.47 billion.</w:t>
      </w:r>
    </w:p>
    <w:p>
      <w:pPr>
        <w:spacing w:after="0" w:line="10"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As of February 15, 2022, there were 264,288,799 shares of the registrant’s Class A common stock and 49,620,900 shares of the registrant’s Class B common stock, each with a par value of $0.00001 per share, outstanding.</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212529"/>
        </w:rPr>
        <w:t>DOCUMENTS INCORPORATED BY REFERENCE</w:t>
      </w:r>
    </w:p>
    <w:p>
      <w:pPr>
        <w:spacing w:after="0" w:line="63"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212529"/>
        </w:rPr>
        <w:t>Portions of the registrant’s Proxy Statement for its 2022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322" w:right="319" w:bottom="74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264795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9"/>
              </w:rPr>
              <w:t>DATADOG, INC.</w:t>
            </w:r>
          </w:p>
        </w:tc>
        <w:tc>
          <w:tcPr>
            <w:tcW w:w="12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40" w:type="dxa"/>
            <w:vAlign w:val="bottom"/>
            <w:gridSpan w:val="11"/>
          </w:tcPr>
          <w:p>
            <w:pPr>
              <w:jc w:val="center"/>
              <w:ind w:right="2000"/>
              <w:spacing w:after="0"/>
              <w:rPr>
                <w:sz w:val="20"/>
                <w:szCs w:val="20"/>
                <w:color w:val="auto"/>
              </w:rPr>
            </w:pPr>
            <w:r>
              <w:rPr>
                <w:rFonts w:ascii="Arial" w:cs="Arial" w:eastAsia="Arial" w:hAnsi="Arial"/>
                <w:sz w:val="18"/>
                <w:szCs w:val="18"/>
                <w:b w:val="1"/>
                <w:bCs w:val="1"/>
                <w:color w:val="auto"/>
                <w:w w:val="98"/>
              </w:rPr>
              <w:t>2021 ANNUAL REPORT ON FORM 10-K</w:t>
            </w:r>
          </w:p>
        </w:tc>
        <w:tc>
          <w:tcPr>
            <w:tcW w:w="12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0"/>
                <w:szCs w:val="20"/>
                <w:color w:val="auto"/>
              </w:rPr>
            </w:pPr>
          </w:p>
        </w:tc>
      </w:tr>
      <w:tr>
        <w:trPr>
          <w:trHeight w:val="304"/>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Page</w:t>
            </w:r>
          </w:p>
        </w:tc>
      </w:tr>
      <w:tr>
        <w:trPr>
          <w:trHeight w:val="215"/>
        </w:trPr>
        <w:tc>
          <w:tcPr>
            <w:tcW w:w="1200" w:type="dxa"/>
            <w:vAlign w:val="bottom"/>
            <w:gridSpan w:val="2"/>
          </w:tcPr>
          <w:p>
            <w:pPr>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PART I.</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0"/>
        </w:trPr>
        <w:tc>
          <w:tcPr>
            <w:tcW w:w="1200" w:type="dxa"/>
            <w:vAlign w:val="bottom"/>
            <w:gridSpan w:val="2"/>
          </w:tcPr>
          <w:p>
            <w:pPr>
              <w:spacing w:after="0" w:line="190" w:lineRule="exact"/>
              <w:rPr>
                <w:rFonts w:ascii="Arial" w:cs="Arial" w:eastAsia="Arial" w:hAnsi="Arial"/>
                <w:sz w:val="18"/>
                <w:szCs w:val="18"/>
                <w:color w:val="auto"/>
              </w:rPr>
            </w:pPr>
            <w:hyperlink w:anchor="page7">
              <w:r>
                <w:rPr>
                  <w:rFonts w:ascii="Arial" w:cs="Arial" w:eastAsia="Arial" w:hAnsi="Arial"/>
                  <w:sz w:val="18"/>
                  <w:szCs w:val="18"/>
                  <w:color w:val="auto"/>
                </w:rPr>
                <w:t>Item 1.</w:t>
              </w:r>
            </w:hyperlink>
          </w:p>
        </w:tc>
        <w:tc>
          <w:tcPr>
            <w:tcW w:w="640" w:type="dxa"/>
            <w:vAlign w:val="bottom"/>
            <w:tcBorders>
              <w:bottom w:val="single" w:sz="8" w:color="0000FF"/>
            </w:tcBorders>
          </w:tcPr>
          <w:p>
            <w:pPr>
              <w:spacing w:after="0" w:line="190"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Business</w:t>
              </w:r>
            </w:hyperlink>
          </w:p>
        </w:tc>
        <w:tc>
          <w:tcPr>
            <w:tcW w:w="8140" w:type="dxa"/>
            <w:vAlign w:val="bottom"/>
            <w:gridSpan w:val="19"/>
          </w:tcPr>
          <w:p>
            <w:pPr>
              <w:spacing w:after="0"/>
              <w:rPr>
                <w:sz w:val="16"/>
                <w:szCs w:val="16"/>
                <w:color w:val="auto"/>
              </w:rPr>
            </w:pPr>
          </w:p>
        </w:tc>
        <w:tc>
          <w:tcPr>
            <w:tcW w:w="1200" w:type="dxa"/>
            <w:vAlign w:val="bottom"/>
          </w:tcPr>
          <w:p>
            <w:pPr>
              <w:jc w:val="center"/>
              <w:spacing w:after="0" w:line="190" w:lineRule="exact"/>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14">
              <w:r>
                <w:rPr>
                  <w:rFonts w:ascii="Arial" w:cs="Arial" w:eastAsia="Arial" w:hAnsi="Arial"/>
                  <w:sz w:val="18"/>
                  <w:szCs w:val="18"/>
                  <w:color w:val="auto"/>
                </w:rPr>
                <w:t>Item 1A.</w:t>
              </w:r>
            </w:hyperlink>
          </w:p>
        </w:tc>
        <w:tc>
          <w:tcPr>
            <w:tcW w:w="90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14">
              <w:r>
                <w:rPr>
                  <w:rFonts w:ascii="Arial" w:cs="Arial" w:eastAsia="Arial" w:hAnsi="Arial"/>
                  <w:sz w:val="18"/>
                  <w:szCs w:val="18"/>
                  <w:color w:val="0000FF"/>
                  <w:w w:val="87"/>
                </w:rPr>
                <w:t>Risk Factors</w:t>
              </w:r>
            </w:hyperlink>
          </w:p>
        </w:tc>
        <w:tc>
          <w:tcPr>
            <w:tcW w:w="7880" w:type="dxa"/>
            <w:vAlign w:val="bottom"/>
            <w:gridSpan w:val="16"/>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12</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1B.</w:t>
              </w:r>
            </w:hyperlink>
          </w:p>
        </w:tc>
        <w:tc>
          <w:tcPr>
            <w:tcW w:w="20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Unresolved Staff Comments</w:t>
              </w:r>
            </w:hyperlink>
          </w:p>
        </w:tc>
        <w:tc>
          <w:tcPr>
            <w:tcW w:w="6740" w:type="dxa"/>
            <w:vAlign w:val="bottom"/>
            <w:gridSpan w:val="11"/>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2.</w:t>
              </w:r>
            </w:hyperlink>
          </w:p>
        </w:tc>
        <w:tc>
          <w:tcPr>
            <w:tcW w:w="878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Properties</w:t>
              </w:r>
            </w:hyperlink>
          </w:p>
        </w:tc>
        <w:tc>
          <w:tcPr>
            <w:tcW w:w="1200" w:type="dxa"/>
            <w:vAlign w:val="bottom"/>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878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200" w:type="dxa"/>
            <w:vAlign w:val="bottom"/>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878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1200" w:type="dxa"/>
            <w:vAlign w:val="bottom"/>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519"/>
        </w:trPr>
        <w:tc>
          <w:tcPr>
            <w:tcW w:w="1200" w:type="dxa"/>
            <w:vAlign w:val="bottom"/>
            <w:gridSpan w:val="2"/>
          </w:tcPr>
          <w:p>
            <w:pPr>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1200" w:type="dxa"/>
            <w:vAlign w:val="bottom"/>
            <w:gridSpan w:val="2"/>
          </w:tcPr>
          <w:p>
            <w:pPr>
              <w:spacing w:after="0" w:line="190" w:lineRule="exact"/>
              <w:rPr>
                <w:rFonts w:ascii="Arial" w:cs="Arial" w:eastAsia="Arial" w:hAnsi="Arial"/>
                <w:sz w:val="18"/>
                <w:szCs w:val="18"/>
                <w:color w:val="auto"/>
              </w:rPr>
            </w:pPr>
            <w:hyperlink w:anchor="page41">
              <w:r>
                <w:rPr>
                  <w:rFonts w:ascii="Arial" w:cs="Arial" w:eastAsia="Arial" w:hAnsi="Arial"/>
                  <w:sz w:val="18"/>
                  <w:szCs w:val="18"/>
                  <w:color w:val="auto"/>
                </w:rPr>
                <w:t>Item 5.</w:t>
              </w:r>
            </w:hyperlink>
          </w:p>
        </w:tc>
        <w:tc>
          <w:tcPr>
            <w:tcW w:w="8780" w:type="dxa"/>
            <w:vAlign w:val="bottom"/>
            <w:gridSpan w:val="20"/>
          </w:tcPr>
          <w:p>
            <w:pPr>
              <w:spacing w:after="0" w:line="190" w:lineRule="exact"/>
              <w:rPr>
                <w:rFonts w:ascii="Arial" w:cs="Arial" w:eastAsia="Arial" w:hAnsi="Arial"/>
                <w:sz w:val="18"/>
                <w:szCs w:val="18"/>
                <w:color w:val="0000FF"/>
                <w:w w:val="98"/>
              </w:rPr>
            </w:pPr>
            <w:hyperlink w:anchor="page41">
              <w:r>
                <w:rPr>
                  <w:rFonts w:ascii="Arial" w:cs="Arial" w:eastAsia="Arial" w:hAnsi="Arial"/>
                  <w:sz w:val="18"/>
                  <w:szCs w:val="18"/>
                  <w:color w:val="0000FF"/>
                  <w:w w:val="98"/>
                </w:rPr>
                <w:t>Market for Registrant's Common Equity, Related Stockholder Matters and Issuer Purchases of Equity Securities</w:t>
              </w:r>
            </w:hyperlink>
          </w:p>
        </w:tc>
        <w:tc>
          <w:tcPr>
            <w:tcW w:w="1200" w:type="dxa"/>
            <w:vAlign w:val="bottom"/>
          </w:tcPr>
          <w:p>
            <w:pPr>
              <w:jc w:val="center"/>
              <w:spacing w:after="0" w:line="190" w:lineRule="exact"/>
              <w:rPr>
                <w:rFonts w:ascii="Arial" w:cs="Arial" w:eastAsia="Arial" w:hAnsi="Arial"/>
                <w:sz w:val="18"/>
                <w:szCs w:val="18"/>
                <w:color w:val="auto"/>
                <w:w w:val="89"/>
              </w:rPr>
            </w:pPr>
            <w:hyperlink w:anchor="page41">
              <w:r>
                <w:rPr>
                  <w:rFonts w:ascii="Arial" w:cs="Arial" w:eastAsia="Arial" w:hAnsi="Arial"/>
                  <w:sz w:val="18"/>
                  <w:szCs w:val="18"/>
                  <w:color w:val="auto"/>
                  <w:w w:val="89"/>
                </w:rPr>
                <w:t>39</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6.</w:t>
              </w:r>
            </w:hyperlink>
          </w:p>
        </w:tc>
        <w:tc>
          <w:tcPr>
            <w:tcW w:w="8040" w:type="dxa"/>
            <w:vAlign w:val="bottom"/>
            <w:tcBorders>
              <w:top w:val="single" w:sz="8" w:color="0000FF"/>
            </w:tcBorders>
            <w:gridSpan w:val="1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[Reserved]</w:t>
              </w:r>
            </w:hyperlink>
          </w:p>
        </w:tc>
        <w:tc>
          <w:tcPr>
            <w:tcW w:w="740" w:type="dxa"/>
            <w:vAlign w:val="bottom"/>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7.</w:t>
              </w:r>
            </w:hyperlink>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Management’s Discussion and Analysis of Financial Condition and Results of Operations</w:t>
              </w:r>
            </w:hyperlink>
          </w:p>
        </w:tc>
        <w:tc>
          <w:tcPr>
            <w:tcW w:w="2320" w:type="dxa"/>
            <w:vAlign w:val="bottom"/>
            <w:gridSpan w:val="3"/>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40</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7A.</w:t>
              </w:r>
            </w:hyperlink>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Quantitative and Qualitative Disclosures About Market Risk</w:t>
              </w:r>
            </w:hyperlink>
          </w:p>
        </w:tc>
        <w:tc>
          <w:tcPr>
            <w:tcW w:w="4420" w:type="dxa"/>
            <w:vAlign w:val="bottom"/>
            <w:gridSpan w:val="6"/>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53</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8.</w:t>
              </w:r>
            </w:hyperlink>
          </w:p>
        </w:tc>
        <w:tc>
          <w:tcPr>
            <w:tcW w:w="8780" w:type="dxa"/>
            <w:vAlign w:val="bottom"/>
            <w:gridSpan w:val="2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Financial Statements and Supplementary Data</w:t>
              </w:r>
            </w:hyperlink>
          </w:p>
        </w:tc>
        <w:tc>
          <w:tcPr>
            <w:tcW w:w="1200" w:type="dxa"/>
            <w:vAlign w:val="bottom"/>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54</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rFonts w:ascii="Arial" w:cs="Arial" w:eastAsia="Arial" w:hAnsi="Arial"/>
                <w:sz w:val="18"/>
                <w:szCs w:val="18"/>
                <w:color w:val="auto"/>
              </w:rPr>
            </w:pPr>
            <w:hyperlink w:anchor="page90">
              <w:r>
                <w:rPr>
                  <w:rFonts w:ascii="Arial" w:cs="Arial" w:eastAsia="Arial" w:hAnsi="Arial"/>
                  <w:sz w:val="18"/>
                  <w:szCs w:val="18"/>
                  <w:color w:val="auto"/>
                </w:rPr>
                <w:t>Item 9.</w:t>
              </w:r>
            </w:hyperlink>
          </w:p>
        </w:tc>
        <w:tc>
          <w:tcPr>
            <w:tcW w:w="8780" w:type="dxa"/>
            <w:vAlign w:val="bottom"/>
            <w:gridSpan w:val="20"/>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Changes in and Disagreements with Accountants on Accounting and Financial Disclosure</w:t>
              </w:r>
            </w:hyperlink>
          </w:p>
        </w:tc>
        <w:tc>
          <w:tcPr>
            <w:tcW w:w="1200" w:type="dxa"/>
            <w:vAlign w:val="bottom"/>
          </w:tcPr>
          <w:p>
            <w:pPr>
              <w:jc w:val="center"/>
              <w:spacing w:after="0"/>
              <w:rPr>
                <w:rFonts w:ascii="Arial" w:cs="Arial" w:eastAsia="Arial" w:hAnsi="Arial"/>
                <w:sz w:val="18"/>
                <w:szCs w:val="18"/>
                <w:color w:val="auto"/>
                <w:w w:val="89"/>
              </w:rPr>
            </w:pPr>
            <w:hyperlink w:anchor="page90">
              <w:r>
                <w:rPr>
                  <w:rFonts w:ascii="Arial" w:cs="Arial" w:eastAsia="Arial" w:hAnsi="Arial"/>
                  <w:sz w:val="18"/>
                  <w:szCs w:val="18"/>
                  <w:color w:val="auto"/>
                  <w:w w:val="89"/>
                </w:rPr>
                <w:t>89</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9A.</w:t>
              </w:r>
            </w:hyperlink>
          </w:p>
        </w:tc>
        <w:tc>
          <w:tcPr>
            <w:tcW w:w="6460" w:type="dxa"/>
            <w:vAlign w:val="bottom"/>
            <w:tcBorders>
              <w:top w:val="single" w:sz="8" w:color="0000FF"/>
            </w:tcBorders>
            <w:gridSpan w:val="1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Controls and Procedures</w:t>
              </w:r>
            </w:hyperlink>
          </w:p>
        </w:tc>
        <w:tc>
          <w:tcPr>
            <w:tcW w:w="2320" w:type="dxa"/>
            <w:vAlign w:val="bottom"/>
            <w:gridSpan w:val="3"/>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91">
              <w:r>
                <w:rPr>
                  <w:rFonts w:ascii="Arial" w:cs="Arial" w:eastAsia="Arial" w:hAnsi="Arial"/>
                  <w:sz w:val="18"/>
                  <w:szCs w:val="18"/>
                  <w:color w:val="auto"/>
                  <w:w w:val="89"/>
                </w:rPr>
                <w:t>89</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92">
              <w:r>
                <w:rPr>
                  <w:rFonts w:ascii="Arial" w:cs="Arial" w:eastAsia="Arial" w:hAnsi="Arial"/>
                  <w:sz w:val="18"/>
                  <w:szCs w:val="18"/>
                  <w:color w:val="auto"/>
                </w:rPr>
                <w:t>Item 9B.</w:t>
              </w:r>
            </w:hyperlink>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7020" w:type="dxa"/>
            <w:vAlign w:val="bottom"/>
            <w:gridSpan w:val="13"/>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90</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8780" w:type="dxa"/>
            <w:vAlign w:val="bottom"/>
            <w:gridSpan w:val="2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Disclosure Regarding Foreign Jurisdictions that Prevent Inspections</w:t>
              </w:r>
            </w:hyperlink>
            <w:r>
              <w:rPr>
                <w:rFonts w:ascii="Arial" w:cs="Arial" w:eastAsia="Arial" w:hAnsi="Arial"/>
                <w:sz w:val="18"/>
                <w:szCs w:val="18"/>
                <w:color w:val="000000"/>
              </w:rPr>
              <w:t>.</w:t>
            </w:r>
          </w:p>
        </w:tc>
        <w:tc>
          <w:tcPr>
            <w:tcW w:w="1200" w:type="dxa"/>
            <w:vAlign w:val="bottom"/>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90</w:t>
              </w:r>
            </w:hyperlink>
          </w:p>
        </w:tc>
      </w:tr>
      <w:tr>
        <w:trPr>
          <w:trHeight w:val="519"/>
        </w:trPr>
        <w:tc>
          <w:tcPr>
            <w:tcW w:w="1200" w:type="dxa"/>
            <w:vAlign w:val="bottom"/>
            <w:gridSpan w:val="2"/>
          </w:tcPr>
          <w:p>
            <w:pPr>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PART III.</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1200" w:type="dxa"/>
            <w:vAlign w:val="bottom"/>
            <w:gridSpan w:val="2"/>
          </w:tcPr>
          <w:p>
            <w:pPr>
              <w:spacing w:after="0" w:line="190" w:lineRule="exact"/>
              <w:rPr>
                <w:rFonts w:ascii="Arial" w:cs="Arial" w:eastAsia="Arial" w:hAnsi="Arial"/>
                <w:sz w:val="18"/>
                <w:szCs w:val="18"/>
                <w:color w:val="auto"/>
              </w:rPr>
            </w:pPr>
            <w:hyperlink w:anchor="page94">
              <w:r>
                <w:rPr>
                  <w:rFonts w:ascii="Arial" w:cs="Arial" w:eastAsia="Arial" w:hAnsi="Arial"/>
                  <w:sz w:val="18"/>
                  <w:szCs w:val="18"/>
                  <w:color w:val="auto"/>
                </w:rPr>
                <w:t>Item 10.</w:t>
              </w:r>
            </w:hyperlink>
          </w:p>
        </w:tc>
        <w:tc>
          <w:tcPr>
            <w:tcW w:w="8780" w:type="dxa"/>
            <w:vAlign w:val="bottom"/>
            <w:gridSpan w:val="20"/>
          </w:tcPr>
          <w:p>
            <w:pPr>
              <w:spacing w:after="0" w:line="190" w:lineRule="exact"/>
              <w:rPr>
                <w:rFonts w:ascii="Arial" w:cs="Arial" w:eastAsia="Arial" w:hAnsi="Arial"/>
                <w:sz w:val="18"/>
                <w:szCs w:val="18"/>
                <w:color w:val="0000FF"/>
              </w:rPr>
            </w:pPr>
            <w:hyperlink w:anchor="page94">
              <w:r>
                <w:rPr>
                  <w:rFonts w:ascii="Arial" w:cs="Arial" w:eastAsia="Arial" w:hAnsi="Arial"/>
                  <w:sz w:val="18"/>
                  <w:szCs w:val="18"/>
                  <w:color w:val="0000FF"/>
                </w:rPr>
                <w:t>Directors, Executive Officers and Corporate Governance</w:t>
              </w:r>
            </w:hyperlink>
          </w:p>
        </w:tc>
        <w:tc>
          <w:tcPr>
            <w:tcW w:w="1200" w:type="dxa"/>
            <w:vAlign w:val="bottom"/>
          </w:tcPr>
          <w:p>
            <w:pPr>
              <w:jc w:val="center"/>
              <w:spacing w:after="0" w:line="190" w:lineRule="exact"/>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11.</w:t>
              </w:r>
            </w:hyperlink>
          </w:p>
        </w:tc>
        <w:tc>
          <w:tcPr>
            <w:tcW w:w="18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5"/>
          </w:tcPr>
          <w:p>
            <w:pPr>
              <w:spacing w:after="0"/>
              <w:rPr>
                <w:sz w:val="18"/>
                <w:szCs w:val="18"/>
                <w:color w:val="auto"/>
              </w:rPr>
            </w:pPr>
          </w:p>
        </w:tc>
        <w:tc>
          <w:tcPr>
            <w:tcW w:w="4700" w:type="dxa"/>
            <w:vAlign w:val="bottom"/>
            <w:gridSpan w:val="7"/>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12.</w:t>
              </w:r>
            </w:hyperlink>
          </w:p>
        </w:tc>
        <w:tc>
          <w:tcPr>
            <w:tcW w:w="8780" w:type="dxa"/>
            <w:vAlign w:val="bottom"/>
            <w:gridSpan w:val="2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Security Ownership of Certain Beneficial Owners and Management and Related Stockholder Matters</w:t>
              </w:r>
            </w:hyperlink>
          </w:p>
        </w:tc>
        <w:tc>
          <w:tcPr>
            <w:tcW w:w="1200" w:type="dxa"/>
            <w:vAlign w:val="bottom"/>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13.</w:t>
              </w:r>
            </w:hyperlink>
          </w:p>
        </w:tc>
        <w:tc>
          <w:tcPr>
            <w:tcW w:w="7280" w:type="dxa"/>
            <w:vAlign w:val="bottom"/>
            <w:tcBorders>
              <w:top w:val="single" w:sz="8" w:color="0000FF"/>
            </w:tcBorders>
            <w:gridSpan w:val="18"/>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Certain Relationships and Related Transactions, and Director Independence</w:t>
              </w:r>
            </w:hyperlink>
          </w:p>
        </w:tc>
        <w:tc>
          <w:tcPr>
            <w:tcW w:w="1500" w:type="dxa"/>
            <w:vAlign w:val="bottom"/>
            <w:gridSpan w:val="2"/>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14.</w:t>
              </w:r>
            </w:hyperlink>
          </w:p>
        </w:tc>
        <w:tc>
          <w:tcPr>
            <w:tcW w:w="5440" w:type="dxa"/>
            <w:vAlign w:val="bottom"/>
            <w:tcBorders>
              <w:top w:val="single" w:sz="8" w:color="0000FF"/>
            </w:tcBorders>
            <w:gridSpan w:val="16"/>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Principal Accounting Fees and Services</w:t>
              </w:r>
            </w:hyperlink>
          </w:p>
        </w:tc>
        <w:tc>
          <w:tcPr>
            <w:tcW w:w="3340" w:type="dxa"/>
            <w:vAlign w:val="bottom"/>
            <w:gridSpan w:val="4"/>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519"/>
        </w:trPr>
        <w:tc>
          <w:tcPr>
            <w:tcW w:w="1200" w:type="dxa"/>
            <w:vAlign w:val="bottom"/>
            <w:gridSpan w:val="2"/>
          </w:tcPr>
          <w:p>
            <w:pPr>
              <w:spacing w:after="0"/>
              <w:rPr>
                <w:rFonts w:ascii="Arial" w:cs="Arial" w:eastAsia="Arial" w:hAnsi="Arial"/>
                <w:sz w:val="18"/>
                <w:szCs w:val="18"/>
                <w:b w:val="1"/>
                <w:bCs w:val="1"/>
                <w:color w:val="auto"/>
              </w:rPr>
            </w:pPr>
            <w:hyperlink w:anchor="page94">
              <w:r>
                <w:rPr>
                  <w:rFonts w:ascii="Arial" w:cs="Arial" w:eastAsia="Arial" w:hAnsi="Arial"/>
                  <w:sz w:val="18"/>
                  <w:szCs w:val="18"/>
                  <w:b w:val="1"/>
                  <w:bCs w:val="1"/>
                  <w:color w:val="auto"/>
                </w:rPr>
                <w:t>PART IV.</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0"/>
        </w:trPr>
        <w:tc>
          <w:tcPr>
            <w:tcW w:w="1200" w:type="dxa"/>
            <w:vAlign w:val="bottom"/>
            <w:gridSpan w:val="2"/>
          </w:tcPr>
          <w:p>
            <w:pPr>
              <w:spacing w:after="0" w:line="190" w:lineRule="exact"/>
              <w:rPr>
                <w:rFonts w:ascii="Arial" w:cs="Arial" w:eastAsia="Arial" w:hAnsi="Arial"/>
                <w:sz w:val="18"/>
                <w:szCs w:val="18"/>
                <w:color w:val="auto"/>
              </w:rPr>
            </w:pPr>
            <w:hyperlink w:anchor="page95">
              <w:r>
                <w:rPr>
                  <w:rFonts w:ascii="Arial" w:cs="Arial" w:eastAsia="Arial" w:hAnsi="Arial"/>
                  <w:sz w:val="18"/>
                  <w:szCs w:val="18"/>
                  <w:color w:val="auto"/>
                </w:rPr>
                <w:t>Item 15.</w:t>
              </w:r>
            </w:hyperlink>
          </w:p>
        </w:tc>
        <w:tc>
          <w:tcPr>
            <w:tcW w:w="2900" w:type="dxa"/>
            <w:vAlign w:val="bottom"/>
            <w:tcBorders>
              <w:bottom w:val="single" w:sz="8" w:color="0000FF"/>
            </w:tcBorders>
            <w:gridSpan w:val="11"/>
          </w:tcPr>
          <w:p>
            <w:pPr>
              <w:spacing w:after="0" w:line="190" w:lineRule="exact"/>
              <w:rPr>
                <w:rFonts w:ascii="Arial" w:cs="Arial" w:eastAsia="Arial" w:hAnsi="Arial"/>
                <w:sz w:val="18"/>
                <w:szCs w:val="18"/>
                <w:color w:val="0000FF"/>
                <w:w w:val="89"/>
              </w:rPr>
            </w:pPr>
            <w:hyperlink w:anchor="page95">
              <w:r>
                <w:rPr>
                  <w:rFonts w:ascii="Arial" w:cs="Arial" w:eastAsia="Arial" w:hAnsi="Arial"/>
                  <w:sz w:val="18"/>
                  <w:szCs w:val="18"/>
                  <w:color w:val="0000FF"/>
                  <w:w w:val="89"/>
                </w:rPr>
                <w:t>Exhibits, Financial Statement Schedules</w:t>
              </w:r>
            </w:hyperlink>
          </w:p>
        </w:tc>
        <w:tc>
          <w:tcPr>
            <w:tcW w:w="5880" w:type="dxa"/>
            <w:vAlign w:val="bottom"/>
            <w:gridSpan w:val="9"/>
          </w:tcPr>
          <w:p>
            <w:pPr>
              <w:spacing w:after="0"/>
              <w:rPr>
                <w:sz w:val="16"/>
                <w:szCs w:val="16"/>
                <w:color w:val="auto"/>
              </w:rPr>
            </w:pPr>
          </w:p>
        </w:tc>
        <w:tc>
          <w:tcPr>
            <w:tcW w:w="1200" w:type="dxa"/>
            <w:vAlign w:val="bottom"/>
          </w:tcPr>
          <w:p>
            <w:pPr>
              <w:jc w:val="center"/>
              <w:spacing w:after="0" w:line="190" w:lineRule="exact"/>
              <w:rPr>
                <w:rFonts w:ascii="Arial" w:cs="Arial" w:eastAsia="Arial" w:hAnsi="Arial"/>
                <w:sz w:val="18"/>
                <w:szCs w:val="18"/>
                <w:color w:val="auto"/>
                <w:w w:val="89"/>
              </w:rPr>
            </w:pPr>
            <w:hyperlink w:anchor="page95">
              <w:r>
                <w:rPr>
                  <w:rFonts w:ascii="Arial" w:cs="Arial" w:eastAsia="Arial" w:hAnsi="Arial"/>
                  <w:sz w:val="18"/>
                  <w:szCs w:val="18"/>
                  <w:color w:val="auto"/>
                  <w:w w:val="89"/>
                </w:rPr>
                <w:t>93</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16.</w:t>
              </w:r>
            </w:hyperlink>
          </w:p>
        </w:tc>
        <w:tc>
          <w:tcPr>
            <w:tcW w:w="8780" w:type="dxa"/>
            <w:vAlign w:val="bottom"/>
            <w:gridSpan w:val="20"/>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Form 10-K Summary</w:t>
              </w:r>
            </w:hyperlink>
          </w:p>
        </w:tc>
        <w:tc>
          <w:tcPr>
            <w:tcW w:w="1200" w:type="dxa"/>
            <w:vAlign w:val="bottom"/>
          </w:tcPr>
          <w:p>
            <w:pPr>
              <w:jc w:val="center"/>
              <w:spacing w:after="0"/>
              <w:rPr>
                <w:rFonts w:ascii="Arial" w:cs="Arial" w:eastAsia="Arial" w:hAnsi="Arial"/>
                <w:sz w:val="18"/>
                <w:szCs w:val="18"/>
                <w:color w:val="auto"/>
                <w:w w:val="89"/>
              </w:rPr>
            </w:pPr>
            <w:hyperlink w:anchor="page97">
              <w:r>
                <w:rPr>
                  <w:rFonts w:ascii="Arial" w:cs="Arial" w:eastAsia="Arial" w:hAnsi="Arial"/>
                  <w:sz w:val="18"/>
                  <w:szCs w:val="18"/>
                  <w:color w:val="auto"/>
                  <w:w w:val="89"/>
                </w:rPr>
                <w:t>95</w:t>
              </w:r>
            </w:hyperlink>
          </w:p>
        </w:tc>
      </w:tr>
      <w:tr>
        <w:trPr>
          <w:trHeight w:val="210"/>
        </w:trPr>
        <w:tc>
          <w:tcPr>
            <w:tcW w:w="1200" w:type="dxa"/>
            <w:vAlign w:val="bottom"/>
            <w:gridSpan w:val="2"/>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center"/>
              <w:spacing w:after="0"/>
              <w:rPr>
                <w:rFonts w:ascii="Arial" w:cs="Arial" w:eastAsia="Arial" w:hAnsi="Arial"/>
                <w:sz w:val="18"/>
                <w:szCs w:val="18"/>
                <w:color w:val="auto"/>
                <w:w w:val="89"/>
              </w:rPr>
            </w:pPr>
            <w:hyperlink w:anchor="page97">
              <w:r>
                <w:rPr>
                  <w:rFonts w:ascii="Arial" w:cs="Arial" w:eastAsia="Arial" w:hAnsi="Arial"/>
                  <w:sz w:val="18"/>
                  <w:szCs w:val="18"/>
                  <w:color w:val="auto"/>
                  <w:w w:val="89"/>
                </w:rPr>
                <w:t>96</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Our operations and financial results and an investment in our Class A common stock are subject to various risks and uncertainties, the most significant of which are summarized below. You should consider carefully the summary below and the risks and uncertainties described in the “Risk Factors” section of this Annual Report on Form 10-K, as well as the other information contained in this Annual Report on Form 10-K, including our consolidated financial statements and related notes. The risks and uncertainties described below and in “Risk Factors” are not the only ones we face. Additional risks and uncertainties that we are unaware of, or that we currently believe are not material, may also become important factors that adversely affect our business. If any of such risks or others not specified below or in “Risk Factors” materialize, our business, financial condition and results of operations could be materially and adversely affected. In that case, the trading price of our Class A common stock could decline.</w:t>
      </w:r>
    </w:p>
    <w:p>
      <w:pPr>
        <w:spacing w:after="0" w:line="69" w:lineRule="exact"/>
        <w:rPr>
          <w:sz w:val="20"/>
          <w:szCs w:val="20"/>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COVID-19 pandemic and any related economic downturn could negatively impact our business, financial condition and results of operations.</w:t>
      </w:r>
    </w:p>
    <w:p>
      <w:pPr>
        <w:spacing w:after="0" w:line="62" w:lineRule="exact"/>
        <w:rPr>
          <w:rFonts w:ascii="Arial" w:cs="Arial" w:eastAsia="Arial" w:hAnsi="Arial"/>
          <w:sz w:val="18"/>
          <w:szCs w:val="18"/>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1460" w:right="20" w:hanging="480"/>
        <w:spacing w:after="0" w:line="277" w:lineRule="auto"/>
        <w:tabs>
          <w:tab w:leader="none" w:pos="1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1460" w:right="2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require additional capital to support the growth of our business, and this capital might not be available on acceptable terms, if at all.</w:t>
      </w:r>
    </w:p>
    <w:p>
      <w:pPr>
        <w:spacing w:after="0" w:line="62" w:lineRule="exact"/>
        <w:rPr>
          <w:rFonts w:ascii="Arial" w:cs="Arial" w:eastAsia="Arial" w:hAnsi="Arial"/>
          <w:sz w:val="18"/>
          <w:szCs w:val="18"/>
          <w:color w:val="auto"/>
        </w:rPr>
      </w:pPr>
    </w:p>
    <w:p>
      <w:pPr>
        <w:ind w:left="1460" w:right="20" w:hanging="480"/>
        <w:spacing w:after="0" w:line="308" w:lineRule="auto"/>
        <w:tabs>
          <w:tab w:leader="none" w:pos="1497"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38" w:lineRule="exact"/>
        <w:rPr>
          <w:rFonts w:ascii="Arial" w:cs="Arial" w:eastAsia="Arial" w:hAnsi="Arial"/>
          <w:sz w:val="17"/>
          <w:szCs w:val="17"/>
          <w:color w:val="auto"/>
        </w:rPr>
      </w:pPr>
    </w:p>
    <w:p>
      <w:pPr>
        <w:ind w:left="1460" w:hanging="48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attract new customers, our business, financial condition and results of operations will be adversely affected.</w:t>
      </w:r>
    </w:p>
    <w:p>
      <w:pPr>
        <w:spacing w:after="0" w:line="128" w:lineRule="exact"/>
        <w:rPr>
          <w:rFonts w:ascii="Arial" w:cs="Arial" w:eastAsia="Arial" w:hAnsi="Arial"/>
          <w:sz w:val="17"/>
          <w:szCs w:val="17"/>
          <w:color w:val="auto"/>
        </w:rPr>
      </w:pPr>
    </w:p>
    <w:p>
      <w:pPr>
        <w:ind w:left="1460" w:right="2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1460" w:hanging="480"/>
        <w:spacing w:after="0" w:line="279" w:lineRule="auto"/>
        <w:tabs>
          <w:tab w:leader="none" w:pos="1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63" w:lineRule="exact"/>
        <w:rPr>
          <w:rFonts w:ascii="Arial" w:cs="Arial" w:eastAsia="Arial" w:hAnsi="Arial"/>
          <w:sz w:val="17"/>
          <w:szCs w:val="17"/>
          <w:color w:val="auto"/>
        </w:rPr>
      </w:pPr>
    </w:p>
    <w:p>
      <w:pPr>
        <w:ind w:left="1460" w:hanging="480"/>
        <w:spacing w:after="0" w:line="277" w:lineRule="auto"/>
        <w:tabs>
          <w:tab w:leader="none" w:pos="148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62" w:lineRule="exact"/>
        <w:rPr>
          <w:rFonts w:ascii="Arial" w:cs="Arial" w:eastAsia="Arial" w:hAnsi="Arial"/>
          <w:sz w:val="18"/>
          <w:szCs w:val="18"/>
          <w:color w:val="auto"/>
        </w:rPr>
      </w:pPr>
    </w:p>
    <w:p>
      <w:pPr>
        <w:ind w:left="1460" w:hanging="480"/>
        <w:spacing w:after="0" w:line="308" w:lineRule="auto"/>
        <w:tabs>
          <w:tab w:leader="none" w:pos="147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38" w:lineRule="exact"/>
        <w:rPr>
          <w:rFonts w:ascii="Arial" w:cs="Arial" w:eastAsia="Arial" w:hAnsi="Arial"/>
          <w:sz w:val="17"/>
          <w:szCs w:val="17"/>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jc w:val="both"/>
        <w:ind w:left="1460" w:hanging="480"/>
        <w:spacing w:after="0" w:line="263"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1460" w:right="20" w:hanging="480"/>
        <w:spacing w:after="0" w:line="277" w:lineRule="auto"/>
        <w:tabs>
          <w:tab w:leader="none" w:pos="14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including variant strains of COVID-19, and responses thereto on our business, financial condition and results of operations;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investments in our business, our anticipated capital expenditures and our estimates regarding our capital requirements;</w:t>
      </w:r>
    </w:p>
    <w:p>
      <w:pPr>
        <w:spacing w:after="0" w:line="128" w:lineRule="exact"/>
        <w:rPr>
          <w:rFonts w:ascii="Arial" w:cs="Arial" w:eastAsia="Arial" w:hAnsi="Arial"/>
          <w:sz w:val="17"/>
          <w:szCs w:val="17"/>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8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“Datadog”, “the Company,” “we,” “our” and “us” refer to Datadog, Inc. and its subsidiaries.</w:t>
      </w:r>
    </w:p>
    <w:p>
      <w:pPr>
        <w:spacing w:after="0" w:line="170"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65"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The statistical data, estimates and forecasts referenced throughout this Annual Report on Form 10-K are based on independent industry publications or other publicly available information, as well as information based on our internal sources. While we believe the industry and market data included in this Annual Report on Form 10-K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Annual Report on Form 10-K were prepared on our or on our affiliates’ behalf or at our expense. The industry in which we operate is subject to a high degree of uncertainty and risk due to a variety of factors, including those described in the section titled “Risk Factors” and “Special Note Regarding Forward-Looking Statements,” that could cause results to differ materially from those expressed in these publications and other publicly available information.</w:t>
      </w:r>
    </w:p>
    <w:p>
      <w:pPr>
        <w:spacing w:after="0" w:line="178"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The Gartner content referenced herein (the “Gartner Content”) represents research opinion or viewpoints published, as part of a syndicated subscription service, by Gartner, Inc. (“Gartner”), and are not representations of fact. The Gartner Content speaks as of its original publication date (and not as of the date of this Annual Report on Form 10-K) and the opinions expressed in the Gartner Content are subject to change without notice.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Datadog is the monitoring and security platform for cloud applications.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in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 We continue to broaden our observability platform. Starting in 2020, we began our efforts in cloud security, and in 2021 expanded into developer use cases.</w:t>
      </w:r>
    </w:p>
    <w:p>
      <w:pPr>
        <w:spacing w:after="0" w:line="164"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From our founding goal of breaking down silos between Dev and Ops, we set out in 2010 to build a real-time data integration platform to turn chaos from disparate sources into digestible and actionable insights. In 2012, we launched our first use case with infrastructure monitoring, purpose-built to handle increasingly ephemeral cloud-native architectures. This enabled us to be deployed on our customers’ entire cloud IT environments and gave our product broad usage across Dev, Ops and business teams, in turn allowing us to address a bigger set of challenges through our platform. In 2017 we launched our Application Performance Monitoring, or APM, product, designed to be broadly deployed in very distributed, micro-services architectures. In 2018, we were the first to combine the “three pillars of observability” with the introduction of our Log Management product. To allow for full-stack observability, in 2019, we launched user Experience Monitoring and Network Performance Monitoring. In 2020, we extended into security with the launch of Security Monitoring to detect threats in real time, as well as launched Continuous Profiler and Incident Management to enhance workflows and collaboration as incidents occur. In 2021, we launched our Cloud Security Platform, including the launches of Cloud Security Posture Management and Cloud Workload Security. We also launched CI Visibility to bring production-level observability to developers. And we launched Network Device Monitoring for physical network devices, and Database Monitoring to improve database performance. Today, we offer end-to-end monitoring and analytics, powered by a common data model that is extensible for use cases in observability, cloud security, and developer observability.</w:t>
      </w:r>
    </w:p>
    <w:p>
      <w:pPr>
        <w:spacing w:after="0" w:line="168"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Our proprietary platform combines the power of metrics, traces, logs, and other data from over 500 integrations to provide a unified view of infrastructure, application performance and the real-time events impacting this performance. Datadog is designed to be cloud agnostic and easy to deploy, with hundreds of out-of-the-box integrations, a built-in understanding of modern technology stacks and extensive customizations. Customers can deploy our platform across their entire infrastructure, making it ubiquitous and a daily part of the lives of developers, operations engineers and business leaders.</w:t>
      </w:r>
    </w:p>
    <w:p>
      <w:pPr>
        <w:spacing w:after="0" w:line="15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believe that our platform currently addresses a significant portion of the IT Operations Management market. According to Gartner, the IT Operations Management market represents a $53 billion opportunity in 2025.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and Key Strengths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76" w:lineRule="exact"/>
        <w:rPr>
          <w:sz w:val="20"/>
          <w:szCs w:val="20"/>
          <w:color w:val="auto"/>
        </w:rPr>
      </w:pPr>
    </w:p>
    <w:p>
      <w:pPr>
        <w:jc w:val="both"/>
        <w:ind w:left="1460" w:hanging="480"/>
        <w:spacing w:after="0" w:line="263" w:lineRule="auto"/>
        <w:tabs>
          <w:tab w:leader="none" w:pos="14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infrastructures</w:t>
      </w:r>
      <w:r>
        <w:rPr>
          <w:rFonts w:ascii="Arial" w:cs="Arial" w:eastAsia="Arial" w:hAnsi="Arial"/>
          <w:sz w:val="18"/>
          <w:szCs w:val="18"/>
          <w:color w:val="auto"/>
        </w:rPr>
        <w:t>. Our innovative platform was born in the cloud and was built to work with ephemeral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such as microservices, containers and serverless computing. Our data model was built to work at cloud scale with highly dynamic data sets and processes more than 10 trillion events a day.</w:t>
      </w:r>
    </w:p>
    <w:p>
      <w:pPr>
        <w:spacing w:after="0" w:line="75" w:lineRule="exact"/>
        <w:rPr>
          <w:rFonts w:ascii="Arial" w:cs="Arial" w:eastAsia="Arial" w:hAnsi="Arial"/>
          <w:sz w:val="18"/>
          <w:szCs w:val="18"/>
          <w:color w:val="auto"/>
        </w:rPr>
      </w:pPr>
    </w:p>
    <w:p>
      <w:pPr>
        <w:jc w:val="both"/>
        <w:ind w:left="1460" w:hanging="480"/>
        <w:spacing w:after="0" w:line="255" w:lineRule="auto"/>
        <w:tabs>
          <w:tab w:leader="none" w:pos="14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Simple but not simplistic</w:t>
      </w:r>
      <w:r>
        <w:rPr>
          <w:rFonts w:ascii="Arial" w:cs="Arial" w:eastAsia="Arial" w:hAnsi="Arial"/>
          <w:sz w:val="18"/>
          <w:szCs w:val="18"/>
          <w:color w:val="auto"/>
        </w:rPr>
        <w:t>. Our platform is easy-to-use with out-of-the-box integrations, customizable drag-and-drop dashboards, real-time 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security professionals, product managers, product designers, support staff, and business users. As a result, our platform is integral to business operations and used every day, and our users find increasing value in the solution over time.</w:t>
      </w:r>
    </w:p>
    <w:p>
      <w:pPr>
        <w:spacing w:after="0" w:line="84" w:lineRule="exact"/>
        <w:rPr>
          <w:rFonts w:ascii="Arial" w:cs="Arial" w:eastAsia="Arial" w:hAnsi="Arial"/>
          <w:sz w:val="18"/>
          <w:szCs w:val="18"/>
          <w:color w:val="auto"/>
        </w:rPr>
      </w:pPr>
    </w:p>
    <w:p>
      <w:pPr>
        <w:jc w:val="both"/>
        <w:ind w:left="1460" w:hanging="480"/>
        <w:spacing w:after="0" w:line="271" w:lineRule="auto"/>
        <w:tabs>
          <w:tab w:leader="none" w:pos="145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data platform</w:t>
      </w:r>
      <w:r>
        <w:rPr>
          <w:rFonts w:ascii="Arial" w:cs="Arial" w:eastAsia="Arial" w:hAnsi="Arial"/>
          <w:sz w:val="17"/>
          <w:szCs w:val="17"/>
          <w:color w:val="auto"/>
        </w:rPr>
        <w:t>. We were the first to combine the “three pillars of observability” - metrics, traces, and logs -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introduction of our log management solution in 2018. Today, our platform combines infrastructure monitoring, application performance monitoring, log management, user experience monitoring, network performance monitoring, database monitoring, security monitoring, incident management, and developer testing and pipeline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they provide the ability to view metrics, traces, logs, and other data side-by-side and to perform correlation analysis.</w:t>
      </w:r>
    </w:p>
    <w:p>
      <w:pPr>
        <w:spacing w:after="0" w:line="70" w:lineRule="exact"/>
        <w:rPr>
          <w:rFonts w:ascii="Arial" w:cs="Arial" w:eastAsia="Arial" w:hAnsi="Arial"/>
          <w:sz w:val="17"/>
          <w:szCs w:val="17"/>
          <w:color w:val="auto"/>
        </w:rPr>
      </w:pPr>
    </w:p>
    <w:p>
      <w:pPr>
        <w:jc w:val="both"/>
        <w:ind w:left="1460" w:hanging="480"/>
        <w:spacing w:after="0" w:line="293" w:lineRule="auto"/>
        <w:tabs>
          <w:tab w:leader="none" w:pos="145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Built for collaboration</w:t>
      </w:r>
      <w:r>
        <w:rPr>
          <w:rFonts w:ascii="Arial" w:cs="Arial" w:eastAsia="Arial" w:hAnsi="Arial"/>
          <w:sz w:val="16"/>
          <w:szCs w:val="16"/>
          <w:color w:val="auto"/>
        </w:rPr>
        <w:t>. Our platform was built to break down the silos between developers and operations teams in order to help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 Over time, as the use cases for our platform have expanded, the types of users that we can serve and help to collaborate have expanded as well, to include security professionals, support staff, and business users.</w:t>
      </w:r>
    </w:p>
    <w:p>
      <w:pPr>
        <w:spacing w:after="0" w:line="56" w:lineRule="exact"/>
        <w:rPr>
          <w:rFonts w:ascii="Arial" w:cs="Arial" w:eastAsia="Arial" w:hAnsi="Arial"/>
          <w:sz w:val="16"/>
          <w:szCs w:val="16"/>
          <w:color w:val="auto"/>
        </w:rPr>
      </w:pPr>
    </w:p>
    <w:p>
      <w:pPr>
        <w:ind w:left="1460" w:right="20" w:hanging="480"/>
        <w:spacing w:after="0" w:line="342" w:lineRule="auto"/>
        <w:tabs>
          <w:tab w:leader="none" w:pos="145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Cloud agnostic</w:t>
      </w:r>
      <w:r>
        <w:rPr>
          <w:rFonts w:ascii="Arial" w:cs="Arial" w:eastAsia="Arial" w:hAnsi="Arial"/>
          <w:sz w:val="16"/>
          <w:szCs w:val="16"/>
          <w:color w:val="auto"/>
        </w:rPr>
        <w:t>. Our platform is designed to be deployable across all environments, including public cloud, private cloud, on-premise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multi-cloud hybrid environments, allowing organizations to diversify their infrastructure and reduce single vendor dependence.</w:t>
      </w:r>
    </w:p>
    <w:p>
      <w:pPr>
        <w:spacing w:after="0" w:line="15" w:lineRule="exact"/>
        <w:rPr>
          <w:rFonts w:ascii="Arial" w:cs="Arial" w:eastAsia="Arial" w:hAnsi="Arial"/>
          <w:sz w:val="16"/>
          <w:szCs w:val="16"/>
          <w:color w:val="auto"/>
        </w:rPr>
      </w:pPr>
    </w:p>
    <w:p>
      <w:pPr>
        <w:jc w:val="both"/>
        <w:ind w:left="1460" w:hanging="480"/>
        <w:spacing w:after="0" w:line="263" w:lineRule="auto"/>
        <w:tabs>
          <w:tab w:leader="none" w:pos="14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Ubiquitous</w:t>
      </w:r>
      <w:r>
        <w:rPr>
          <w:rFonts w:ascii="Arial" w:cs="Arial" w:eastAsia="Arial" w:hAnsi="Arial"/>
          <w:sz w:val="18"/>
          <w:szCs w:val="18"/>
          <w:color w:val="auto"/>
        </w:rPr>
        <w:t>. Datadog is frequently deployed across a customer’s entire infrastructure, making it ubiquitous. Compared to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that are often used only by a few users in an organization’s IT operations team, Datadog is a daily part of the lives of developers, operations engineers and business leaders.</w:t>
      </w:r>
    </w:p>
    <w:p>
      <w:pPr>
        <w:spacing w:after="0" w:line="75" w:lineRule="exact"/>
        <w:rPr>
          <w:rFonts w:ascii="Arial" w:cs="Arial" w:eastAsia="Arial" w:hAnsi="Arial"/>
          <w:sz w:val="18"/>
          <w:szCs w:val="18"/>
          <w:color w:val="auto"/>
        </w:rPr>
      </w:pPr>
    </w:p>
    <w:p>
      <w:pPr>
        <w:jc w:val="both"/>
        <w:ind w:left="1460" w:hanging="480"/>
        <w:spacing w:after="0" w:line="257" w:lineRule="auto"/>
        <w:tabs>
          <w:tab w:leader="none" w:pos="14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Integrates with our customers’ complex environments</w:t>
      </w:r>
      <w:r>
        <w:rPr>
          <w:rFonts w:ascii="Arial" w:cs="Arial" w:eastAsia="Arial" w:hAnsi="Arial"/>
          <w:sz w:val="18"/>
          <w:szCs w:val="18"/>
          <w:color w:val="auto"/>
        </w:rPr>
        <w:t>. We enable development and operations teams to harness the full spectrum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SaaS and open source tools. We have over 500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79"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Powered by robust analytics and machine-learning</w:t>
      </w:r>
      <w:r>
        <w:rPr>
          <w:rFonts w:ascii="Arial" w:cs="Arial" w:eastAsia="Arial" w:hAnsi="Arial"/>
          <w:sz w:val="18"/>
          <w:szCs w:val="18"/>
          <w:color w:val="auto"/>
        </w:rPr>
        <w:t>. Our platform ingests massive amounts of data into our unified data warehouse.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develop actionable insights using our advanced analytics capabilities. Our platform's Watchdog capabilities feature artificial intelligence and machine learning that can cross-correlate metrics, traces, logs, and other data to identify outliers and notify users of potential anomalies before they impact the business.</w:t>
      </w:r>
    </w:p>
    <w:p>
      <w:pPr>
        <w:spacing w:after="0" w:line="78"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Scalable</w:t>
      </w:r>
      <w:r>
        <w:rPr>
          <w:rFonts w:ascii="Arial" w:cs="Arial" w:eastAsia="Arial" w:hAnsi="Arial"/>
          <w:sz w:val="18"/>
          <w:szCs w:val="18"/>
          <w:color w:val="auto"/>
        </w:rPr>
        <w:t>. Our SaaS platform is highly scalable and is delivered through the cloud. Our platform is massively scalable,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more than tens of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Key Benefits to Our Customers</w:t>
      </w:r>
    </w:p>
    <w:p>
      <w:pPr>
        <w:spacing w:after="0" w:line="229" w:lineRule="exact"/>
        <w:rPr>
          <w:sz w:val="20"/>
          <w:szCs w:val="20"/>
          <w:color w:val="auto"/>
        </w:rPr>
      </w:pPr>
    </w:p>
    <w:p>
      <w:pPr>
        <w:ind w:firstLine="972"/>
        <w:spacing w:after="0" w:line="308" w:lineRule="auto"/>
        <w:rPr>
          <w:sz w:val="20"/>
          <w:szCs w:val="20"/>
          <w:color w:val="auto"/>
        </w:rPr>
      </w:pPr>
      <w:r>
        <w:rPr>
          <w:rFonts w:ascii="Arial" w:cs="Arial" w:eastAsia="Arial" w:hAnsi="Arial"/>
          <w:sz w:val="17"/>
          <w:szCs w:val="17"/>
          <w:color w:val="auto"/>
        </w:rPr>
        <w:t>Organizations of all sizes, in all industries, both private and public, purchase our products for a variety of use cases. As of December 31, 2021, we had approximately 18,800 customers in over 100 countries. Our platform provides the following key benefits to our customers:</w:t>
      </w:r>
    </w:p>
    <w:p>
      <w:pPr>
        <w:spacing w:after="0" w:line="38" w:lineRule="exact"/>
        <w:rPr>
          <w:sz w:val="20"/>
          <w:szCs w:val="20"/>
          <w:color w:val="auto"/>
        </w:rPr>
      </w:pPr>
    </w:p>
    <w:p>
      <w:pPr>
        <w:jc w:val="both"/>
        <w:ind w:left="1460" w:hanging="480"/>
        <w:spacing w:after="0" w:line="259" w:lineRule="auto"/>
        <w:tabs>
          <w:tab w:leader="none" w:pos="14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digital transformation</w:t>
      </w:r>
      <w:r>
        <w:rPr>
          <w:rFonts w:ascii="Arial" w:cs="Arial" w:eastAsia="Arial" w:hAnsi="Arial"/>
          <w:sz w:val="18"/>
          <w:szCs w:val="18"/>
          <w:color w:val="auto"/>
        </w:rPr>
        <w:t>. We enable customers to take full advantage of the cloud to develop and maintain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78"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Reduce time to problem detection and resolution</w:t>
      </w:r>
      <w:r>
        <w:rPr>
          <w:rFonts w:ascii="Arial" w:cs="Arial" w:eastAsia="Arial" w:hAnsi="Arial"/>
          <w:sz w:val="18"/>
          <w:szCs w:val="18"/>
          <w:color w:val="auto"/>
        </w:rPr>
        <w:t>. Using infrastructure, APM, log data, and data from integrations in our unified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our customers are able to quickly isolate the root cause of application issues in one place where they otherwise would be required to spend hours trying to investigate using multiple tools. The reduction in mean time to detection and mean time to resolution helps our customers avoid lost revenues and enhance customer experience.</w:t>
      </w:r>
    </w:p>
    <w:p>
      <w:pPr>
        <w:spacing w:after="0" w:line="78" w:lineRule="exact"/>
        <w:rPr>
          <w:rFonts w:ascii="Arial" w:cs="Arial" w:eastAsia="Arial" w:hAnsi="Arial"/>
          <w:sz w:val="18"/>
          <w:szCs w:val="18"/>
          <w:color w:val="auto"/>
        </w:rPr>
      </w:pPr>
    </w:p>
    <w:p>
      <w:pPr>
        <w:jc w:val="both"/>
        <w:ind w:left="1460" w:hanging="480"/>
        <w:spacing w:after="0" w:line="257" w:lineRule="auto"/>
        <w:tabs>
          <w:tab w:leader="none" w:pos="14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Improve agility of development, operations, security and business teams</w:t>
      </w:r>
      <w:r>
        <w:rPr>
          <w:rFonts w:ascii="Arial" w:cs="Arial" w:eastAsia="Arial" w:hAnsi="Arial"/>
          <w:sz w:val="18"/>
          <w:szCs w:val="18"/>
          <w:color w:val="auto"/>
        </w:rPr>
        <w:t>. We eliminate the historical silos of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teams and provide a platform that enables efficient and agile development through the adoption of DevOps and DevSecOps. Our platform enables development, operations and security teams to collaborate closely with a shared understanding of data and analytics. This helps them develop a joint understanding of application performance and shared insights into the infrastructure supporting the applications.</w:t>
      </w:r>
    </w:p>
    <w:p>
      <w:pPr>
        <w:spacing w:after="0" w:line="79" w:lineRule="exact"/>
        <w:rPr>
          <w:rFonts w:ascii="Arial" w:cs="Arial" w:eastAsia="Arial" w:hAnsi="Arial"/>
          <w:sz w:val="18"/>
          <w:szCs w:val="18"/>
          <w:color w:val="auto"/>
        </w:rPr>
      </w:pPr>
    </w:p>
    <w:p>
      <w:pPr>
        <w:jc w:val="both"/>
        <w:ind w:left="1460" w:hanging="480"/>
        <w:spacing w:after="0" w:line="296" w:lineRule="auto"/>
        <w:tabs>
          <w:tab w:leader="none" w:pos="145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Enable operational efficiency</w:t>
      </w:r>
      <w:r>
        <w:rPr>
          <w:rFonts w:ascii="Arial" w:cs="Arial" w:eastAsia="Arial" w:hAnsi="Arial"/>
          <w:sz w:val="16"/>
          <w:szCs w:val="16"/>
          <w:color w:val="auto"/>
        </w:rPr>
        <w:t>. Our solution is easy to install, which eliminates the need for heavy implementation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services. We have hundreds of integrations with key technologies, from which our customers can derive significant value, avoiding internal development costs and professional services required to create those integrations. Our customer-centric pricing model is tailored to customers’ desired usage needs. Our platform empowers customers to better understand the operational needs of their applications and IT environments, enabling greater efficiency in resource allocation and spend on cloud infrastructure.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intend to pursue the following growth strategies:</w:t>
      </w:r>
    </w:p>
    <w:p>
      <w:pPr>
        <w:spacing w:after="0" w:line="117" w:lineRule="exact"/>
        <w:rPr>
          <w:sz w:val="20"/>
          <w:szCs w:val="20"/>
          <w:color w:val="auto"/>
        </w:rPr>
      </w:pPr>
    </w:p>
    <w:p>
      <w:pPr>
        <w:jc w:val="both"/>
        <w:ind w:left="1460" w:hanging="480"/>
        <w:spacing w:after="0" w:line="263" w:lineRule="auto"/>
        <w:tabs>
          <w:tab w:leader="none" w:pos="14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continue to grow our customer base. We intend to drive new customer additions by expanding our sales and marketing efforts in the markets we serve.</w:t>
      </w:r>
    </w:p>
    <w:p>
      <w:pPr>
        <w:spacing w:after="0" w:line="75"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18,800 customers as of December 31, 2021 represents a significant opportunity for further sales expansion. We plan to continue to increase sales within our existing customer base through increased usage of our platform and the cross selling of additional products.</w:t>
      </w:r>
    </w:p>
    <w:p>
      <w:pPr>
        <w:spacing w:after="0" w:line="78" w:lineRule="exact"/>
        <w:rPr>
          <w:rFonts w:ascii="Arial" w:cs="Arial" w:eastAsia="Arial" w:hAnsi="Arial"/>
          <w:sz w:val="18"/>
          <w:szCs w:val="18"/>
          <w:color w:val="auto"/>
        </w:rPr>
      </w:pPr>
    </w:p>
    <w:p>
      <w:pPr>
        <w:jc w:val="both"/>
        <w:ind w:left="1460" w:hanging="480"/>
        <w:spacing w:after="0" w:line="255" w:lineRule="auto"/>
        <w:tabs>
          <w:tab w:leader="none" w:pos="14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technology leadership through continued investment and new products</w:t>
      </w:r>
      <w:r>
        <w:rPr>
          <w:rFonts w:ascii="Arial" w:cs="Arial" w:eastAsia="Arial" w:hAnsi="Arial"/>
          <w:sz w:val="18"/>
          <w:szCs w:val="18"/>
          <w:color w:val="auto"/>
        </w:rPr>
        <w:t>. We intend to invest in expanding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functionality of our current platform and adding capabilities that address new market opportunities. We have a history of continued innovation. For example, in 2017 we launched APM, in 2018 we launched Log Management, in 2019 we launched User Experience Monitoring and Network Performance Monitoring, in 2020 we launched Security Monitoring, Continuous Profiler and Incident Management, and in 2021 we launched Cloud Security Posture Management, Cloud Workload Security, Database Monitoring, and Sensitive Data Scanner.</w:t>
      </w:r>
    </w:p>
    <w:p>
      <w:pPr>
        <w:spacing w:after="0" w:line="84"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internationally</w:t>
      </w:r>
      <w:r>
        <w:rPr>
          <w:rFonts w:ascii="Arial" w:cs="Arial" w:eastAsia="Arial" w:hAnsi="Arial"/>
          <w:sz w:val="18"/>
          <w:szCs w:val="18"/>
          <w:color w:val="auto"/>
        </w:rPr>
        <w:t>. We believe there is a significant opportunity to continue to expand usage of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of the United States, as international markets have increased the shift of their IT spend to the cloud.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proprietary platform provides real-time insights into software applications and IT infrastructure performance to enable better user experiences, faster problem detection and resolution and smarter, more impactful business decisions. Our platform is modular and includes infrastructure monitoring, application performance monitoring, log management, user experience monitoring, network performance monitoring, cloud security, developer-focused observability, and incident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management, as well as a range of shared features such as sophisticated dashboards, advanced analytics, collaboration tools and alerting capabilities. Each of our products is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8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platform is supported by hundreds of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more than tens of trillion events a day and millions of servers and containers.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key elements that can be leveraged across our platform:</w:t>
      </w:r>
    </w:p>
    <w:p>
      <w:pPr>
        <w:spacing w:after="0" w:line="113" w:lineRule="exact"/>
        <w:rPr>
          <w:sz w:val="20"/>
          <w:szCs w:val="20"/>
          <w:color w:val="auto"/>
        </w:rPr>
      </w:pPr>
    </w:p>
    <w:p>
      <w:pPr>
        <w:jc w:val="both"/>
        <w:ind w:left="1460" w:hanging="480"/>
        <w:spacing w:after="0" w:line="261"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Single Pane of Glass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ability to provide a unified source of data enables users to access information from a single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easily explore multiple data sources. Through a single dashboard and with a common data framework, users are able to access and explore all of the relevant performance data. Users are able to more quickly assess and resolve their issues without having to toggle between multiple products.</w:t>
      </w:r>
    </w:p>
    <w:p>
      <w:pPr>
        <w:spacing w:after="0" w:line="71" w:lineRule="exact"/>
        <w:rPr>
          <w:rFonts w:ascii="Arial" w:cs="Arial" w:eastAsia="Arial" w:hAnsi="Arial"/>
          <w:sz w:val="18"/>
          <w:szCs w:val="18"/>
          <w:color w:val="auto"/>
        </w:rPr>
      </w:pPr>
    </w:p>
    <w:p>
      <w:pPr>
        <w:jc w:val="both"/>
        <w:ind w:left="1460" w:hanging="480"/>
        <w:spacing w:after="0" w:line="281" w:lineRule="auto"/>
        <w:tabs>
          <w:tab w:leader="none" w:pos="14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Robust, Deep Data Set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client-side collection technology relies on installation of a single agent for metrics, traces, logs,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allowing for a simple, seamless deployment experience for the customers. We ingest massive amounts of complex data and normalize it. The volume of data associated with combining infrastructure, APM and log management provides for a dramatically more robust data set than any of the individual data sources would provide on their own.</w:t>
      </w:r>
    </w:p>
    <w:p>
      <w:pPr>
        <w:spacing w:after="0" w:line="56" w:lineRule="exact"/>
        <w:rPr>
          <w:rFonts w:ascii="Arial" w:cs="Arial" w:eastAsia="Arial" w:hAnsi="Arial"/>
          <w:sz w:val="17"/>
          <w:szCs w:val="17"/>
          <w:color w:val="auto"/>
        </w:rPr>
      </w:pPr>
    </w:p>
    <w:p>
      <w:pPr>
        <w:ind w:left="1460" w:hanging="480"/>
        <w:spacing w:after="0" w:line="312" w:lineRule="auto"/>
        <w:tabs>
          <w:tab w:leader="none" w:pos="14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SaaS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cloud based multi-tenant SaaS platform allows for real-time ingestion, and analysis of massive amounts of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our customers needing to worry about the provisioning, sizing and capacity of their monitoring platform.</w:t>
      </w:r>
    </w:p>
    <w:p>
      <w:pPr>
        <w:spacing w:after="0" w:line="35" w:lineRule="exact"/>
        <w:rPr>
          <w:rFonts w:ascii="Arial" w:cs="Arial" w:eastAsia="Arial" w:hAnsi="Arial"/>
          <w:sz w:val="17"/>
          <w:szCs w:val="17"/>
          <w:color w:val="auto"/>
        </w:rPr>
      </w:pPr>
    </w:p>
    <w:p>
      <w:pPr>
        <w:jc w:val="both"/>
        <w:ind w:left="1460" w:hanging="480"/>
        <w:spacing w:after="0" w:line="263"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Data Model. </w:t>
      </w:r>
      <w:r>
        <w:rPr>
          <w:rFonts w:ascii="Arial" w:cs="Arial" w:eastAsia="Arial" w:hAnsi="Arial"/>
          <w:sz w:val="18"/>
          <w:szCs w:val="18"/>
          <w:color w:val="auto"/>
        </w:rPr>
        <w:t>Every piece of data that is ingested by our platform is consistently tagged with metadata regardless of its type.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for different kinds of performance data, such as a log event and an application trace, to be queried together, correlated, alerted on, and visualized in a common user interface.</w:t>
      </w:r>
    </w:p>
    <w:p>
      <w:pPr>
        <w:spacing w:after="0" w:line="71"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Cross-Correlation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solutions are integrated and work cohesively to provide a deep level of context and insight into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occurring in a customer’s IT environment and power faster troubleshooting.</w:t>
      </w:r>
    </w:p>
    <w:p>
      <w:pPr>
        <w:spacing w:after="0" w:line="53"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Out-Of-The-Box, Actionable Insights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moment of installation, our platform provides actionable insights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customizable dashboards, predictive analytics, automated correlations, visualizations and alerting.</w:t>
      </w:r>
    </w:p>
    <w:p>
      <w:pPr>
        <w:spacing w:after="0" w:line="53" w:lineRule="exact"/>
        <w:rPr>
          <w:rFonts w:ascii="Arial" w:cs="Arial" w:eastAsia="Arial" w:hAnsi="Arial"/>
          <w:sz w:val="18"/>
          <w:szCs w:val="18"/>
          <w:color w:val="auto"/>
        </w:rPr>
      </w:pPr>
    </w:p>
    <w:p>
      <w:pPr>
        <w:jc w:val="both"/>
        <w:ind w:left="1460" w:hanging="480"/>
        <w:spacing w:after="0" w:line="261"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High Accuracy Machine-Learning Capabilities and Predictive Capabilities Powered by the Network Effect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multi-tenant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analyzes massive data sets ingested across our customers and their IT environments. It uses machine learning to predict and identify sources of performance or availability issues that customers share due to dependencies on common service providers or third-party services.</w:t>
      </w:r>
    </w:p>
    <w:p>
      <w:pPr>
        <w:spacing w:after="0" w:line="71"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500+ Fully Supported Integrations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more than 500 out-of-the-box integrations including public cloud, private cloud, on-premise hardware, databases and third-party software.</w:t>
      </w:r>
    </w:p>
    <w:p>
      <w:pPr>
        <w:spacing w:after="0" w:line="53"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Alerts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sophisticated real time alerting capabilities in the platform that detects issues, alerts users, and integrates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their service management systems.</w:t>
      </w:r>
    </w:p>
    <w:p>
      <w:pPr>
        <w:spacing w:after="0" w:line="166"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Our platform consists of the following products that can be used individually or as a unified solution and includes a Marketplace where customers can access products built by our partners on top of the Datadog platform. Our products include:</w:t>
      </w:r>
    </w:p>
    <w:p>
      <w:pPr>
        <w:spacing w:after="0" w:line="58" w:lineRule="exact"/>
        <w:rPr>
          <w:sz w:val="20"/>
          <w:szCs w:val="20"/>
          <w:color w:val="auto"/>
        </w:rPr>
      </w:pPr>
    </w:p>
    <w:p>
      <w:pPr>
        <w:jc w:val="both"/>
        <w:ind w:left="1460" w:hanging="480"/>
        <w:spacing w:after="0" w:line="281" w:lineRule="auto"/>
        <w:tabs>
          <w:tab w:leader="none" w:pos="14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Infrastructure Monitoring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Infrastructure Monitoring platform provides real-time monitoring of IT infrastructure across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private cloud and hybrid environments, as well as in containers and serverless architectures, ensuring performance and availability of applications. All infrastructure data is located in one repository with automatic correlation, regardless of environment size or rate of change, to provide a fulsome view of everything that is occurring across the IT ecosystem.</w:t>
      </w:r>
    </w:p>
    <w:p>
      <w:pPr>
        <w:spacing w:after="0" w:line="60" w:lineRule="exact"/>
        <w:rPr>
          <w:rFonts w:ascii="Arial" w:cs="Arial" w:eastAsia="Arial" w:hAnsi="Arial"/>
          <w:sz w:val="17"/>
          <w:szCs w:val="17"/>
          <w:color w:val="auto"/>
        </w:rPr>
      </w:pPr>
    </w:p>
    <w:p>
      <w:pPr>
        <w:ind w:left="1460" w:hanging="480"/>
        <w:spacing w:after="0" w:line="277" w:lineRule="auto"/>
        <w:tabs>
          <w:tab w:leader="none" w:pos="14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Performance Monitoring (APM). </w:t>
      </w:r>
      <w:r>
        <w:rPr>
          <w:rFonts w:ascii="Arial" w:cs="Arial" w:eastAsia="Arial" w:hAnsi="Arial"/>
          <w:sz w:val="18"/>
          <w:szCs w:val="18"/>
          <w:color w:val="auto"/>
        </w:rPr>
        <w:t>APM provides full visibility into the health and functioning of applications regardless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deployment environment. Distributed tracing across microservices, hosts,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ind w:left="1460"/>
        <w:spacing w:after="0"/>
        <w:rPr>
          <w:sz w:val="20"/>
          <w:szCs w:val="20"/>
          <w:color w:val="auto"/>
        </w:rPr>
      </w:pPr>
      <w:r>
        <w:rPr>
          <w:rFonts w:ascii="Arial" w:cs="Arial" w:eastAsia="Arial" w:hAnsi="Arial"/>
          <w:sz w:val="18"/>
          <w:szCs w:val="18"/>
          <w:color w:val="auto"/>
        </w:rPr>
        <w:t>containers and serverless computing functions allows our customers to gain deep insights into application performance.</w:t>
      </w:r>
    </w:p>
    <w:p>
      <w:pPr>
        <w:spacing w:after="0" w:line="117" w:lineRule="exact"/>
        <w:rPr>
          <w:sz w:val="20"/>
          <w:szCs w:val="20"/>
          <w:color w:val="auto"/>
        </w:rPr>
      </w:pPr>
    </w:p>
    <w:p>
      <w:pPr>
        <w:jc w:val="both"/>
        <w:ind w:left="1460" w:hanging="480"/>
        <w:spacing w:after="0" w:line="259"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 Management. </w:t>
      </w:r>
      <w:r>
        <w:rPr>
          <w:rFonts w:ascii="Arial" w:cs="Arial" w:eastAsia="Arial" w:hAnsi="Arial"/>
          <w:sz w:val="18"/>
          <w:szCs w:val="18"/>
          <w:color w:val="auto"/>
        </w:rPr>
        <w:t>Log Management for applications, systems and cloud platforms ingests data, creates indexes and enables querying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logs with visualizations and alerting to provide immediate insight into any performance issues. Logging Without Limits</w:t>
      </w:r>
      <w:r>
        <w:rPr>
          <w:rFonts w:ascii="Arial" w:cs="Arial" w:eastAsia="Arial" w:hAnsi="Arial"/>
          <w:sz w:val="16"/>
          <w:szCs w:val="16"/>
          <w:color w:val="auto"/>
        </w:rPr>
        <w:t>™</w:t>
      </w:r>
      <w:r>
        <w:rPr>
          <w:rFonts w:ascii="Arial" w:cs="Arial" w:eastAsia="Arial" w:hAnsi="Arial"/>
          <w:sz w:val="18"/>
          <w:szCs w:val="18"/>
          <w:color w:val="auto"/>
        </w:rPr>
        <w:t xml:space="preserve"> decouples the cost of log ingestion from processing, allowing customers to cost effectively collect a massive volume of logs and selectively process those they need to monitor.</w:t>
      </w:r>
    </w:p>
    <w:p>
      <w:pPr>
        <w:spacing w:after="0" w:line="78" w:lineRule="exact"/>
        <w:rPr>
          <w:rFonts w:ascii="Arial" w:cs="Arial" w:eastAsia="Arial" w:hAnsi="Arial"/>
          <w:sz w:val="18"/>
          <w:szCs w:val="18"/>
          <w:color w:val="auto"/>
        </w:rPr>
      </w:pPr>
    </w:p>
    <w:p>
      <w:pPr>
        <w:jc w:val="both"/>
        <w:ind w:left="1460" w:hanging="480"/>
        <w:spacing w:after="0" w:line="279" w:lineRule="auto"/>
        <w:tabs>
          <w:tab w:leader="none" w:pos="145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User Experience Monitoring. </w:t>
      </w:r>
      <w:r>
        <w:rPr>
          <w:rFonts w:ascii="Arial" w:cs="Arial" w:eastAsia="Arial" w:hAnsi="Arial"/>
          <w:sz w:val="17"/>
          <w:szCs w:val="17"/>
          <w:color w:val="auto"/>
        </w:rPr>
        <w:t>User experience monitoring brings visibility up the stack to monitor the digital experience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and is comprised of two products – Synthetics and Real User Monitoring, or RUM. Synthetics provides user-experience monitoring of applications and API endpoints via simulated AI-powered user requests to track application performance and ensure uptime. RUM provides analysis and visualization of the performance of front-end applications as experienced by all actual users.</w:t>
      </w:r>
    </w:p>
    <w:p>
      <w:pPr>
        <w:spacing w:after="0" w:line="59" w:lineRule="exact"/>
        <w:rPr>
          <w:rFonts w:ascii="Arial" w:cs="Arial" w:eastAsia="Arial" w:hAnsi="Arial"/>
          <w:sz w:val="17"/>
          <w:szCs w:val="17"/>
          <w:color w:val="auto"/>
        </w:rPr>
      </w:pPr>
    </w:p>
    <w:p>
      <w:pPr>
        <w:jc w:val="both"/>
        <w:ind w:left="1460" w:hanging="480"/>
        <w:spacing w:after="0" w:line="266"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Continuous Profiler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Profiler measures code level performance in any environment through an always-on, and 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overhead solution. This allows customers to quickly identify and optimize the most resource-consuming parts in application code in order to improve mean time to resolution, enhance user experience and reduce cloud provider cost.</w:t>
      </w:r>
    </w:p>
    <w:p>
      <w:pPr>
        <w:spacing w:after="0" w:line="71"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Database Monitoring. </w:t>
      </w:r>
      <w:r>
        <w:rPr>
          <w:rFonts w:ascii="Arial" w:cs="Arial" w:eastAsia="Arial" w:hAnsi="Arial"/>
          <w:sz w:val="18"/>
          <w:szCs w:val="18"/>
          <w:color w:val="auto"/>
        </w:rPr>
        <w:t>Database Monitoring allows customers to view query metrics and explain plans from all of their databases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single place. With Database Monitoring, they can quickly pinpoint costly and slow queries and drill into precise execution details to address bottlenecks. Additionally, query and host metric correlation makes it easy to identify and understand the impact of resource constraints on database performance.</w:t>
      </w:r>
    </w:p>
    <w:p>
      <w:pPr>
        <w:spacing w:after="0" w:line="78" w:lineRule="exact"/>
        <w:rPr>
          <w:rFonts w:ascii="Arial" w:cs="Arial" w:eastAsia="Arial" w:hAnsi="Arial"/>
          <w:sz w:val="18"/>
          <w:szCs w:val="18"/>
          <w:color w:val="auto"/>
        </w:rPr>
      </w:pPr>
    </w:p>
    <w:p>
      <w:pPr>
        <w:jc w:val="both"/>
        <w:ind w:left="1460" w:hanging="480"/>
        <w:spacing w:after="0" w:line="257"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Network Monitoring. </w:t>
      </w:r>
      <w:r>
        <w:rPr>
          <w:rFonts w:ascii="Arial" w:cs="Arial" w:eastAsia="Arial" w:hAnsi="Arial"/>
          <w:sz w:val="18"/>
          <w:szCs w:val="18"/>
          <w:color w:val="auto"/>
        </w:rPr>
        <w:t>Network Monitoring enables the analysis and visualization of the flow of network traffic in cloud-based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hybrid environments. It is very lightweight, allowing customers to monitor the flow of network traffic without sacrificing performance. With the launch of Network Device Monitoring in 2021, our Network Monitoring solution also offers monitoring of network hardware, such as routers, switches, and firewalls. Network Monitoring allows the mapping of full-stack dependencies, and is fully integrated with the Datadog platform.</w:t>
      </w:r>
    </w:p>
    <w:p>
      <w:pPr>
        <w:spacing w:after="0" w:line="79" w:lineRule="exact"/>
        <w:rPr>
          <w:rFonts w:ascii="Arial" w:cs="Arial" w:eastAsia="Arial" w:hAnsi="Arial"/>
          <w:sz w:val="18"/>
          <w:szCs w:val="18"/>
          <w:color w:val="auto"/>
        </w:rPr>
      </w:pPr>
    </w:p>
    <w:p>
      <w:pPr>
        <w:jc w:val="both"/>
        <w:ind w:left="1460" w:hanging="480"/>
        <w:spacing w:after="0" w:line="263"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 SIEM. </w:t>
      </w:r>
      <w:r>
        <w:rPr>
          <w:rFonts w:ascii="Arial" w:cs="Arial" w:eastAsia="Arial" w:hAnsi="Arial"/>
          <w:sz w:val="18"/>
          <w:szCs w:val="18"/>
          <w:color w:val="auto"/>
        </w:rPr>
        <w:t>Cloud SIEM (Security Information and Event Management) allows customers to detect threats in real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investigate security signals across metrics, traces, logs, and other data. It provides the full engineering organization, including Dev, Ops, and security teams, visibility into common data sources, in order to better operationalize IT security.</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 Security Posture Management. </w:t>
      </w:r>
      <w:r>
        <w:rPr>
          <w:rFonts w:ascii="Arial" w:cs="Arial" w:eastAsia="Arial" w:hAnsi="Arial"/>
          <w:sz w:val="18"/>
          <w:szCs w:val="18"/>
          <w:color w:val="auto"/>
        </w:rPr>
        <w:t>Cloud Security Posture Management allows customers to assess and visualize the current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 security posture of their cloud environments, automate audit evidence collection, and catch misconfigurations that leaves their organizations vulnerable to attacks.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 Workload Security. </w:t>
      </w:r>
      <w:r>
        <w:rPr>
          <w:rFonts w:ascii="Arial" w:cs="Arial" w:eastAsia="Arial" w:hAnsi="Arial"/>
          <w:sz w:val="18"/>
          <w:szCs w:val="18"/>
          <w:color w:val="auto"/>
        </w:rPr>
        <w:t>Cloud Workload Security performs deep, in-kernel analysis of workload activity across customers' hosts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containers to uncover threats. Datadog researches, develops, and packages out-of-the-box threat detection, with the ability to customize security rules.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Incident Management. </w:t>
      </w:r>
      <w:r>
        <w:rPr>
          <w:rFonts w:ascii="Arial" w:cs="Arial" w:eastAsia="Arial" w:hAnsi="Arial"/>
          <w:sz w:val="18"/>
          <w:szCs w:val="18"/>
          <w:color w:val="auto"/>
        </w:rPr>
        <w:t>Incident management allows users to declare incidents, investigate root cause and dependencies, collaborate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a shared view of the incident, follow to resolution, and auto-generate post-mortem documentations, all within the Datadog platform.</w:t>
      </w:r>
    </w:p>
    <w:p>
      <w:pPr>
        <w:spacing w:after="0" w:line="75" w:lineRule="exact"/>
        <w:rPr>
          <w:rFonts w:ascii="Arial" w:cs="Arial" w:eastAsia="Arial" w:hAnsi="Arial"/>
          <w:sz w:val="18"/>
          <w:szCs w:val="18"/>
          <w:color w:val="auto"/>
        </w:rPr>
      </w:pPr>
    </w:p>
    <w:p>
      <w:pPr>
        <w:jc w:val="both"/>
        <w:ind w:left="1460" w:hanging="480"/>
        <w:spacing w:after="0" w:line="301" w:lineRule="auto"/>
        <w:tabs>
          <w:tab w:leader="none" w:pos="1455"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CI Visibility. </w:t>
      </w:r>
      <w:r>
        <w:rPr>
          <w:rFonts w:ascii="Arial" w:cs="Arial" w:eastAsia="Arial" w:hAnsi="Arial"/>
          <w:sz w:val="16"/>
          <w:szCs w:val="16"/>
          <w:color w:val="auto"/>
        </w:rPr>
        <w:t>CI, or Continuous Integration, Visibility provides deep insight into the health and performance of customers' CI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 Datadog auto-instruments pipelines and tests, so customers can dive into traces for problematic builds and executions. They can also scope CI data by repository, branch, or commit in order to surface trends and troubleshoot issues. This provides a comprehensive view into CI activity and makes it easier to resolve bottlenecks, reduce CI costs, and deliver better software.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Our sales team is segmented into four revenue-generating areas: an enterprise sales team that sells to large businesses; a high velocity inside sales team that is focused on acquiring new customers; a customer success team that handles new customer on-boarding and expansions in existing customers; and a partner team that works with resellers, system integrators, referral partners and managed service providers. Each of these teams is further split regionally for geographic coverage across the Americas, Asia-Pacific, or APAC, and Europe, the Middle East and Africa, or EMEA, regions. The sales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teams work with marketing to actively pursue leads generated from marketing programs and help take prospective customers through an evaluation and purchase process.</w:t>
      </w:r>
    </w:p>
    <w:p>
      <w:pPr>
        <w:spacing w:after="0" w:line="170"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 marketing, events, digital advertising, social media, public relations, partner marketing and community initiatives. We offer prospective customers free trials to help them understand the power of our platform. We also host and present at regional, national, global and virtual events to engage both customers and prospects, deliver product training, share best practices and foster community.</w:t>
      </w:r>
    </w:p>
    <w:p>
      <w:pPr>
        <w:spacing w:after="0" w:line="17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2021, we had approximately 1,500 employees in our sales and marketing organization, including sales development, field sales, sales engineering, technical solutions, business development, sales operations, sales strategy, customer success and marketing personnel. We intend to continue to invest in our sales and marketing capabilities to capitalize on our market opportunity.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research and development investments seek to drive core technology innovation and bring new products to market. Research and development employees are located primarily in our New York and Paris offices, as well as remotely distributed.</w:t>
      </w:r>
    </w:p>
    <w:p>
      <w:pPr>
        <w:spacing w:after="0" w:line="15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Our research and development team consists of our software engineering, product management, development and site reliability engineering teams. As of December 31, 2021, we had approximately 1,400 employees in our research and development organization. We intend to continue to invest in our research and development capabilities to extend our platform and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worldwide monitoring and analytics market is and has been highly competitive for decades and is rapidly evolving. We compete on the basis of a number of factors, including:</w:t>
      </w:r>
    </w:p>
    <w:p>
      <w:pPr>
        <w:spacing w:after="0" w:line="62" w:lineRule="exact"/>
        <w:rPr>
          <w:sz w:val="20"/>
          <w:szCs w:val="20"/>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different vendors:</w:t>
      </w:r>
    </w:p>
    <w:p>
      <w:pPr>
        <w:spacing w:after="0" w:line="62" w:lineRule="exact"/>
        <w:rPr>
          <w:sz w:val="20"/>
          <w:szCs w:val="20"/>
          <w:color w:val="auto"/>
        </w:rPr>
      </w:pPr>
    </w:p>
    <w:p>
      <w:pPr>
        <w:ind w:left="1460" w:hanging="480"/>
        <w:spacing w:after="0" w:line="277" w:lineRule="auto"/>
        <w:tabs>
          <w:tab w:leader="none" w:pos="1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on-premise infrastructure monitoring, we compete with diversified technology companies and systems management vendors including IBM, Microsoft Corporation, and SolarWinds Corporation.</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APM, we compete with Cisco Systems, Inc., New Relic, Inc. and Dynatrace Software Inc.</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Log Management, we compete with Splunk Inc. and Elastic N.V.</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2" w:name="page13"/>
    <w:bookmarkEnd w:id="12"/>
    <w:p>
      <w:pPr>
        <w:ind w:left="1460" w:hanging="480"/>
        <w:spacing w:after="0" w:line="277" w:lineRule="auto"/>
        <w:tabs>
          <w:tab w:leader="none" w:pos="1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Cloud monitoring, we compete with native solutions from cloud providers such as Amazon Web Services, or AWS, Microsoft Azure, and Google Cloud Platform, or GCP.</w:t>
      </w:r>
    </w:p>
    <w:p>
      <w:pPr>
        <w:spacing w:after="0" w:line="170"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As of December 31, 2021, we had approximately 3,200 employees operating across 31 countries. Approximately 39% of our full-time employees as of that date were located outside of the United States, 39% of whom were located in France. 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and Engagement</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All of us at Datadog are driven by the desire to deliver a product that our customers love. In order to do that, we strive to create a culture that our employees love; one that promotes a healthy work-life balance, career growth, low drama, and a friendly office culture with plenty of fun activities to ensure our teams remain engaged, productive, and passionate about their roles. To make sure our culture remains positive and strong, we conduct global engagement surveys periodically to gain a better understanding of what is important to our employees. The areas in which we are most successful include employee belief in Datadog's mission and purpose, the transparency and accessibility of our leadership, the strength of our product offerings, and opportunities for employee growth and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Datadog fosters a strong learning culture offering individual- and team-specific training on an ongoing basis, as well as a wide range of learning programs delivered by our global Talent Development team. We also provide robust manager training that shares effective tools and frameworks around recruiting, managing, and developing team members.</w:t>
      </w:r>
    </w:p>
    <w:p>
      <w:pPr>
        <w:spacing w:after="0" w:line="184"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We continually invest in our employees’ career growth and provide employees with a wide range of development opportunities, including face-to-face, virtual, social, and self-directed learning, mentoring, coaching, and external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offer industry competitive wages and benefits and are committed to maintaining a workplace environment that promotes employee productivity and satisfaction. We believe our employees should have the support they need to maintain a strong work/life balance, grow personally and professionally, and save for their future. While the philosophy around our benefits is the same worldwide, specific benefits vary regionally due to local regulations and preferences.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At Datadog, diversity means making a conscious effort to reflect the many experiences and identities of the world outside, while treating each other with fairness and without bias. Inclusion is the choice we make every day to foster an environment where people of all backgrounds not only belong but excel, so that together, as a company, we can succeed.</w:t>
      </w:r>
    </w:p>
    <w:p>
      <w:pPr>
        <w:spacing w:after="0" w:line="18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1D1C1D"/>
        </w:rPr>
        <w:t>Datadog strives for an inclusive community, both inside and out of the office. Internally, we offer training for employees around unconscious bias, and other diversity and inclusion-related topics designed to create a culture of belonging.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both"/>
        <w:ind w:firstLine="972"/>
        <w:spacing w:after="0" w:line="257"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use open source software in our services. Our proprietary API and the agent used by customers to upload data to our platform are licensed by us on an open source basis.</w:t>
      </w:r>
    </w:p>
    <w:p>
      <w:pPr>
        <w:spacing w:after="0" w:line="188"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As of December 31, 2021, we own four patents, three allowed patents, six patent applications pending for examination in the United States, three pending PCT applications, and two foreign patents or patent applications. The pending U.S. patent applications, if issued, would be scheduled to expire between 2039 and 2041. Despite our pending U.S. patent applications, there can be no assurance that our patent applications will result in issued patents. As of December 31, 2021, we own five registered trademarks in the United States and eighty-five registered trademarks in various non-U.S. jurisdictions. However, as we have expanded internationally, we have been unable to register or obtain the right to use the Datadog trademark in certain jurisdictions, and as we continue to expand may face similar issues in other jurisdictions.</w:t>
      </w:r>
    </w:p>
    <w:p>
      <w:pPr>
        <w:spacing w:after="0" w:line="17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platform are more essential to establishing and maintaining our technology leadership position.</w:t>
      </w:r>
    </w:p>
    <w:p>
      <w:pPr>
        <w:spacing w:after="0" w:line="187"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www.investors.datadoghq.com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any related economic downturn could negatively impact our business, financial condition and results of operations.</w:t>
      </w:r>
    </w:p>
    <w:p>
      <w:pPr>
        <w:spacing w:after="0" w:line="19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ongoing COVID-19 pandemic has and may continue to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including the emergence and spread of new variant strains of COVID-19, many state, local and foreign governments have put in place, and others in the future may put in place, quarantines, executive orders, shelter-in-place orders, occupancy limits, vaccination mandates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 While the rollout of COVID-19 vaccines is ongoing, vaccination rates and the lifting of occupancy and movement restrictions varies from location to location, is evolving, and to varying degrees remains unknown.</w:t>
      </w:r>
    </w:p>
    <w:p>
      <w:pPr>
        <w:spacing w:after="0" w:line="18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light of the uncertain and rapidly evolving situation relating to the spread of COVID-19, we have taken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Although we have recently and may continue to selectively reopen certain of our offices and hold in-person meetings and events in compliance with applicable government orders and guidelines, many of our employees continue to work remotely and in-person meetings remain limited.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1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especially in light of the emergence of new variant strains of COVID-19, and the measures taken by governments, businesses and other organizations in response to COVID-19, as well as the uncertainty around the duration of business disruptions, the timing of the vaccine rollouts and rates of vaccination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ongoing COVID-19 pandemic),</w:t>
      </w:r>
      <w:r>
        <w:rPr>
          <w:rFonts w:ascii="Arial" w:cs="Arial" w:eastAsia="Arial" w:hAnsi="Arial"/>
          <w:sz w:val="16"/>
          <w:szCs w:val="16"/>
          <w:color w:val="auto"/>
        </w:rPr>
        <w:t xml:space="preserve"> warfare and terrorist attacks on the United States, Europe, the Asia Pacific region or elsewhere, could cause a decrease in business investments, including spending on information technology, disrupt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right="20" w:firstLine="972"/>
        <w:spacing w:after="0" w:line="259" w:lineRule="auto"/>
        <w:rPr>
          <w:sz w:val="20"/>
          <w:szCs w:val="20"/>
          <w:color w:val="auto"/>
        </w:rPr>
      </w:pPr>
      <w:r>
        <w:rPr>
          <w:rFonts w:ascii="Arial" w:cs="Arial" w:eastAsia="Arial" w:hAnsi="Arial"/>
          <w:sz w:val="18"/>
          <w:szCs w:val="18"/>
          <w:color w:val="auto"/>
        </w:rPr>
        <w:t>Our revenue was $1,028.8 million, $603.5 million and $362.8 million for the years ended December 31, 2021, 2020 and 2019,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9" w:lineRule="exact"/>
        <w:rPr>
          <w:sz w:val="20"/>
          <w:szCs w:val="20"/>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1460" w:hanging="480"/>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1460" w:right="20" w:hanging="480"/>
        <w:spacing w:after="0" w:line="277" w:lineRule="auto"/>
        <w:tabs>
          <w:tab w:leader="none" w:pos="1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We generated net losses of $20.7 million, $24.5 million and $16.7 million for the years ended December 31, 2021, 2020 and 2019, respectively. As of December 31, 2021, we had an accumulated deficit of $152.1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We were founded in June 2010. As a result of our limited operating history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7"/>
          <w:szCs w:val="17"/>
          <w:color w:val="auto"/>
        </w:rPr>
        <w:t>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In addition, the factors impacting our ability to sell additional subscriptions and products to our customers may be exacerbated by the COVID-19 pandemic.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 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 We may use third-party service providers and sub-processors to help us deliver services to our customers. These vendors may store or process personal information on our behalf.</w:t>
      </w:r>
    </w:p>
    <w:p>
      <w:pPr>
        <w:spacing w:after="0" w:line="18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due to the COVID-19 pandemic, which may pose additional data security risks (including, for example, an increase in phishing and spam emails we began experiencing during 2020).</w:t>
      </w:r>
    </w:p>
    <w:p>
      <w:pPr>
        <w:spacing w:after="0" w:line="19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67"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95"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6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9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and prevent data loss and other security breaches, including systems and processes designed to reduce the impact of a security breach at a third-party service provider, such measures cannot provide absolute security.</w:t>
      </w:r>
    </w:p>
    <w:p>
      <w:pPr>
        <w:spacing w:after="0" w:line="170"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8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71"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1460" w:hanging="48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and timing of non-cash expenses, including stock-based compensation, goodwill impairments and other non-cash charges;</w:t>
      </w:r>
    </w:p>
    <w:p>
      <w:pPr>
        <w:spacing w:after="0" w:line="140" w:lineRule="exact"/>
        <w:rPr>
          <w:rFonts w:ascii="Arial" w:cs="Arial" w:eastAsia="Arial" w:hAnsi="Arial"/>
          <w:sz w:val="16"/>
          <w:szCs w:val="16"/>
          <w:color w:val="auto"/>
        </w:rPr>
      </w:pPr>
    </w:p>
    <w:p>
      <w:pPr>
        <w:ind w:left="1460" w:right="20" w:hanging="480"/>
        <w:spacing w:after="0" w:line="277" w:lineRule="auto"/>
        <w:tabs>
          <w:tab w:leader="none" w:pos="1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ongoing COVID-19 pandemic;</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regulatory or legal environments that may cause us to incur, among other elements, expenses associated with compliance;</w:t>
      </w:r>
    </w:p>
    <w:p>
      <w:pPr>
        <w:spacing w:after="0" w:line="140" w:lineRule="exact"/>
        <w:rPr>
          <w:rFonts w:ascii="Arial" w:cs="Arial" w:eastAsia="Arial" w:hAnsi="Arial"/>
          <w:sz w:val="16"/>
          <w:szCs w:val="16"/>
          <w:color w:val="auto"/>
        </w:rPr>
      </w:pPr>
    </w:p>
    <w:p>
      <w:pPr>
        <w:ind w:left="1460" w:hanging="48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and platform capabilities.</w:t>
      </w:r>
    </w:p>
    <w:p>
      <w:pPr>
        <w:spacing w:after="0" w:line="17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price of our Class A common stock would decline substantially, and we could face costly lawsuits, including securities class 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92"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the ongoing COVID-19 pandemic and remote work arrangements. If we fail to maintain our company culture, our business and competitive position may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 success of our platform depends, in part, on its ability to be deployed in a self-service installation process. We currently offer more than 500 out-of-the-box integrations to assist customers in deploying Datadog, and we need to continuously modify and enhance our products to adapt to changes and innovation in existing and new technologies to maintain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65"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jc w:val="both"/>
        <w:ind w:firstLine="972"/>
        <w:spacing w:after="0" w:line="296" w:lineRule="auto"/>
        <w:rPr>
          <w:sz w:val="20"/>
          <w:szCs w:val="20"/>
          <w:color w:val="auto"/>
        </w:rPr>
      </w:pPr>
      <w:r>
        <w:rPr>
          <w:rFonts w:ascii="Arial" w:cs="Arial" w:eastAsia="Arial" w:hAnsi="Arial"/>
          <w:sz w:val="16"/>
          <w:szCs w:val="16"/>
          <w:color w:val="auto"/>
        </w:rPr>
        <w:t>We have legal, contractual and other applicable obligations regarding the protection of confidentiality and appropriate use of personal information, confidential information, and other proprietary information that we, our third-party service providers or other partners process.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16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w:t>
      </w:r>
    </w:p>
    <w:p>
      <w:pPr>
        <w:spacing w:after="0" w:line="18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In addition, certain jurisdictions have enacted data localization laws and cross-border personal data transfer laws. For example, absent appropriate safeguards or other circumstances, the EU GDPR generally prohibits the transfer of personal information outside the European Economic Area, or the EEA. In June 2021, the European Commission released a set of Standard Contractual Clauses, or “SCCs,” that can lawfully be used for personal information transfers from Europe to the United States or most other countries. The SCCs require parties that rely upon that legal mechanism to comply with additional obligations, such as conducting transfer impact assessments and implementing additional security and privacy measures, which increases the difficulty of selling to European customers and may lead to longer sales cycles. While we have taken steps to mitigate the impact on us with respect to transfers of data, such as implementing SCCs, the efficacy and longevity of these transfer mechanisms remains uncertain. Moreover, due to potential legal</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challenges, there exists some uncertainty as to whether the SCCs will remain a valid transfer mechanism of personal data out of the EEA. In addition, laws in Switzerland and the United Kingdom similarly restrict transfers of personal data outside of those jurisdictions to countries such as the United States that do not provide an adequate level of personal data protection.</w:t>
      </w:r>
    </w:p>
    <w:p>
      <w:pPr>
        <w:spacing w:after="0" w:line="18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Recently, for example, Brazil enacted the General Data Protection Law, New Zealand enacted the New Zealand Privacy Act, China enacted its Personal Information Protection Law, and Canada introduced the Digital Charter Implementation Act.</w:t>
      </w:r>
    </w:p>
    <w:p>
      <w:pPr>
        <w:spacing w:after="0" w:line="171"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difficultly of establishing a lawful basis for personal information transfers out of Europe or other jurisdictions, or requiring us to increase our data processing capabilities in Europe or elsewhere at significant expense.</w:t>
      </w:r>
    </w:p>
    <w:p>
      <w:pPr>
        <w:spacing w:after="0" w:line="203"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It is anticipated that the ePrivacy Regulation will replace the current national laws that implement the ePrivacy Directive that governs electronic communications. Outside of Europe, other laws are further regulating targeted advertising, making certain online advertising activities more difficult and subject to additional scrutiny.</w:t>
      </w:r>
    </w:p>
    <w:p>
      <w:pPr>
        <w:spacing w:after="0" w:line="188"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jc w:val="both"/>
        <w:ind w:firstLine="972"/>
        <w:spacing w:after="0" w:line="272" w:lineRule="auto"/>
        <w:rPr>
          <w:sz w:val="20"/>
          <w:szCs w:val="20"/>
          <w:color w:val="auto"/>
        </w:rPr>
      </w:pPr>
      <w:r>
        <w:rPr>
          <w:rFonts w:ascii="Arial" w:cs="Arial" w:eastAsia="Arial" w:hAnsi="Arial"/>
          <w:sz w:val="17"/>
          <w:szCs w:val="17"/>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77"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Just this year, Virginia passed its Consumer Data Protection Act, and Colorado passed the Colorado Privacy Act, both of which differ from the CPRA and become effective in 2023.</w:t>
      </w:r>
    </w:p>
    <w:p>
      <w:pPr>
        <w:spacing w:after="0" w:line="168"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7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8" w:name="page29"/>
    <w:bookmarkEnd w:id="28"/>
    <w:p>
      <w:pPr>
        <w:jc w:val="both"/>
        <w:spacing w:after="0" w:line="275" w:lineRule="auto"/>
        <w:rPr>
          <w:sz w:val="20"/>
          <w:szCs w:val="20"/>
          <w:color w:val="auto"/>
        </w:rPr>
      </w:pPr>
      <w:r>
        <w:rPr>
          <w:rFonts w:ascii="Arial" w:cs="Arial" w:eastAsia="Arial" w:hAnsi="Arial"/>
          <w:sz w:val="17"/>
          <w:szCs w:val="17"/>
          <w:color w:val="auto"/>
        </w:rPr>
        <w:t>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7"/>
          <w:szCs w:val="17"/>
          <w:color w:val="auto"/>
        </w:rPr>
        <w:t>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As of December 31, 2021, we had NOL carryforwards for federal and state income tax purposes of approximately $505.4 million and $342.1 million, respectively, which may be available to offset taxable income in the future, and which expire in various years beginning in 2031 for federal purposes and 2028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incurred in taxable years beginning after December 31, 2020,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0" w:name="page31"/>
    <w:bookmarkEnd w:id="30"/>
    <w:p>
      <w:pPr>
        <w:ind w:left="1460" w:right="20" w:hanging="480"/>
        <w:spacing w:after="0" w:line="277" w:lineRule="auto"/>
        <w:tabs>
          <w:tab w:leader="none" w:pos="1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62" w:lineRule="exact"/>
        <w:rPr>
          <w:rFonts w:ascii="Arial" w:cs="Arial" w:eastAsia="Arial" w:hAnsi="Arial"/>
          <w:sz w:val="18"/>
          <w:szCs w:val="18"/>
          <w:color w:val="auto"/>
        </w:rPr>
      </w:pPr>
    </w:p>
    <w:p>
      <w:pPr>
        <w:ind w:left="1460" w:right="20" w:hanging="480"/>
        <w:spacing w:after="0" w:line="277" w:lineRule="auto"/>
        <w:tabs>
          <w:tab w:leader="none" w:pos="1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Cuts and Jobs Act, or the Tax Act, and federal income tax legislation proposed by Congress;</w:t>
      </w:r>
    </w:p>
    <w:p>
      <w:pPr>
        <w:spacing w:after="0" w:line="62" w:lineRule="exact"/>
        <w:rPr>
          <w:rFonts w:ascii="Arial" w:cs="Arial" w:eastAsia="Arial" w:hAnsi="Arial"/>
          <w:sz w:val="18"/>
          <w:szCs w:val="18"/>
          <w:color w:val="auto"/>
        </w:rPr>
      </w:pPr>
    </w:p>
    <w:p>
      <w:pPr>
        <w:ind w:left="1460" w:hanging="480"/>
        <w:spacing w:after="0" w:line="342" w:lineRule="auto"/>
        <w:tabs>
          <w:tab w:leader="none" w:pos="14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5" w:lineRule="exact"/>
        <w:rPr>
          <w:rFonts w:ascii="Arial" w:cs="Arial" w:eastAsia="Arial" w:hAnsi="Arial"/>
          <w:sz w:val="16"/>
          <w:szCs w:val="16"/>
          <w:color w:val="auto"/>
        </w:rPr>
      </w:pPr>
    </w:p>
    <w:p>
      <w:pPr>
        <w:ind w:left="1460" w:hanging="480"/>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U.S. generally accepted accounting principles, or GAAP, are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spacing w:after="0" w:line="285" w:lineRule="auto"/>
        <w:rPr>
          <w:sz w:val="20"/>
          <w:szCs w:val="20"/>
          <w:color w:val="auto"/>
        </w:rPr>
      </w:pPr>
      <w:r>
        <w:rPr>
          <w:rFonts w:ascii="Arial" w:cs="Arial" w:eastAsia="Arial" w:hAnsi="Arial"/>
          <w:sz w:val="16"/>
          <w:szCs w:val="16"/>
          <w:color w:val="auto"/>
        </w:rPr>
        <w:t>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390"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7"/>
          <w:szCs w:val="17"/>
          <w:color w:val="auto"/>
        </w:rPr>
        <w:t>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73" w:lineRule="exact"/>
        <w:rPr>
          <w:sz w:val="20"/>
          <w:szCs w:val="20"/>
          <w:color w:val="auto"/>
        </w:rPr>
      </w:pPr>
    </w:p>
    <w:p>
      <w:pPr>
        <w:ind w:left="1460" w:hanging="480"/>
        <w:spacing w:after="0" w:line="277" w:lineRule="auto"/>
        <w:tabs>
          <w:tab w:leader="none" w:pos="1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28% for the year ended December 31, 2021.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December 31, 2021, approximately 39% of our full-time employees were located outside of the United States, 39%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 and the United Kingdom;</w:t>
      </w:r>
    </w:p>
    <w:p>
      <w:pPr>
        <w:spacing w:after="0" w:line="62" w:lineRule="exact"/>
        <w:rPr>
          <w:rFonts w:ascii="Arial" w:cs="Arial" w:eastAsia="Arial" w:hAnsi="Arial"/>
          <w:sz w:val="18"/>
          <w:szCs w:val="18"/>
          <w:color w:val="auto"/>
        </w:rPr>
      </w:pPr>
    </w:p>
    <w:p>
      <w:pPr>
        <w:ind w:left="1460" w:hanging="480"/>
        <w:spacing w:after="0" w:line="308" w:lineRule="auto"/>
        <w:tabs>
          <w:tab w:leader="none" w:pos="14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jc w:val="both"/>
        <w:ind w:left="1460" w:hanging="480"/>
        <w:spacing w:after="0" w:line="263"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ability to reinvest earnings from operations in one country to fund the capital needs of our operations in other countries;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outbreak of a contagious disease, which may cause us or our third-party providers and/or customers to temporarily suspend our or their respective operations in the affected city or country;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ind w:left="1460" w:hanging="480"/>
        <w:spacing w:after="0" w:line="277" w:lineRule="auto"/>
        <w:tabs>
          <w:tab w:leader="none" w:pos="1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jc w:val="both"/>
        <w:ind w:firstLine="972"/>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ongoing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December 31, 2021, our outstanding shares of Class B common stock represented approximately 66% of the voting power of our outstanding capital stock. As a result, the holders of our Class B common stock, which includes certain of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7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92"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jc w:val="both"/>
        <w:ind w:firstLine="972"/>
        <w:spacing w:after="0" w:line="263" w:lineRule="auto"/>
        <w:rPr>
          <w:sz w:val="20"/>
          <w:szCs w:val="20"/>
          <w:color w:val="auto"/>
        </w:rPr>
      </w:pPr>
      <w:r>
        <w:rPr>
          <w:rFonts w:ascii="Arial" w:cs="Arial" w:eastAsia="Arial" w:hAnsi="Arial"/>
          <w:sz w:val="18"/>
          <w:szCs w:val="18"/>
          <w:color w:val="auto"/>
        </w:rPr>
        <w:t>Further, as of December 31, 2021,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significant legal, accounting, insurance, and other expenses as a public company, which we expect to further increase.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200" w:lineRule="exact"/>
        <w:rPr>
          <w:sz w:val="20"/>
          <w:szCs w:val="20"/>
          <w:color w:val="auto"/>
        </w:rPr>
      </w:pPr>
    </w:p>
    <w:p>
      <w:pPr>
        <w:spacing w:after="0" w:line="2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both"/>
        <w:ind w:firstLine="972"/>
        <w:spacing w:after="0" w:line="255"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92"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1460" w:hanging="480"/>
        <w:spacing w:after="0" w:line="277"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62"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that our directors may be removed for cause only upon the vote of at least 66 2/3% of our outstanding shares of voting stock;</w:t>
      </w:r>
    </w:p>
    <w:p>
      <w:pPr>
        <w:spacing w:after="0" w:line="140" w:lineRule="exact"/>
        <w:rPr>
          <w:rFonts w:ascii="Arial" w:cs="Arial" w:eastAsia="Arial" w:hAnsi="Arial"/>
          <w:sz w:val="16"/>
          <w:szCs w:val="16"/>
          <w:color w:val="auto"/>
        </w:rPr>
      </w:pPr>
    </w:p>
    <w:p>
      <w:pPr>
        <w:ind w:left="1460" w:hanging="480"/>
        <w:spacing w:after="0" w:line="277"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460" w:right="20" w:hanging="480"/>
        <w:spacing w:after="0" w:line="277"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they could deter potential acquirers of our company, thereby reducing the likelihood that holders of our Class A common stock would receive a premium for their shares of our Class A common stock in an acquisition.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2025 Notes may adversely affect our financial condition and operating results.</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During the fiscal year ended December 31, 2021, the conditional conversion feature of the 2025 Notes was triggered. As a result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9" w:name="page40"/>
    <w:bookmarkEnd w:id="39"/>
    <w:p>
      <w:pPr>
        <w:jc w:val="both"/>
        <w:ind w:firstLine="972"/>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headquarters are located in New York City, where we lease approximately 129,000 square feet pursuant to four separate subleases. One of these subleases, for approximately 33,000 square feet, will expire in December 2022. The other three subleases, totaling approximately 96,000 square feet, will expire in December 2023. We have other offices including Boston, Dublin, and Paris. These offices are leased, and we do not own any real property. We believe that our current facilities are adequate to meet our current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Our Class A common stock is traded on The Nasdaq Global Select Market, or Nasdaq, under the symbol “DDOG”. Our Class B common stock is not listed or traded on any exchange, but each share of Class B common stock is convertible at any time at the option of the holder into one share of Class A common stock, and is automatically converted upon sale or transfer into one share of Class A common stock.</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 of February 15, 2022, there were 52 holders of record of our Class A common stock and 47 holders of record of our Class B common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We have never declared or paid any dividends on our Class A common stock or Class B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auto"/>
        </w:rPr>
        <w:t>During the year ended December 31, 2021, we issued 600,176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 graph below shows a comparison, from September 19, 2019 (the date our Class A common stock commenced trading on Nasdaq) through December 31, 2021, of the cumulative total return to stockholders of our Class A common stock relative to the Nasdaq Composite Index, or the Nasdaq Composite, and the Nasdaq Computer Index, or the Nasdaq Computer.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ind w:firstLine="972"/>
        <w:spacing w:after="0" w:line="263" w:lineRule="auto"/>
        <w:rPr>
          <w:sz w:val="20"/>
          <w:szCs w:val="20"/>
          <w:color w:val="auto"/>
        </w:rPr>
      </w:pPr>
      <w:r>
        <w:rPr>
          <w:rFonts w:ascii="Arial" w:cs="Arial" w:eastAsia="Arial" w:hAnsi="Arial"/>
          <w:sz w:val="18"/>
          <w:szCs w:val="18"/>
          <w:color w:val="auto"/>
        </w:rPr>
        <w:t>The graph assumes that $100 was invested in each of our Class A common stock, the Nasdaq Composite and the Nasdaq Computer at their respective closing prices on September 19, 2019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125730</wp:posOffset>
            </wp:positionV>
            <wp:extent cx="5391785" cy="2785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178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Datadog, Inc. under the Securities Act or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“Part I, Item 1A. Risk Factors” in this Annual Report on Form 10-K for a discussion of important factors that could cause our actual results to differ materially from those anticipated in these forward-looking statements.</w:t>
      </w:r>
    </w:p>
    <w:p>
      <w:pPr>
        <w:spacing w:after="0" w:line="195"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i w:val="1"/>
          <w:iCs w:val="1"/>
          <w:color w:val="auto"/>
        </w:rPr>
        <w:t>This section of our Annual Report on Form 10-K discusses our financial condition and results of operations for the fiscal years ended December 31, 2021 and 2020, and year-to-year comparisons between fiscal 2021 and fiscal 2020. A discussion of our financial condition and results of operations for the fiscal year ended December 31, 2019 and year-to-year comparisons between fiscal 2020 and fiscal 2019 that are not included in this Annual Report on Form 10-K can be found in “Management’s Discussion and Analysis of Financial Condition and Results of Operations” in Part II, Item 7 of our Annual Report on Form 10-K for the fiscal year ended December 31, 2020, filed on March 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Datadog is the monitoring and security platform for cloud applications.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42" w:name="page43"/>
    <w:bookmarkEnd w:id="42"/>
    <w:p>
      <w:pPr>
        <w:jc w:val="both"/>
        <w:ind w:firstLine="972"/>
        <w:spacing w:after="0" w:line="257"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As of December 31, 2021, we had $274.5 million in cash, cash equivalents and restricted cash and $1,283.5 million in marketable securities. We have grown rapidly in recent periods, with revenues for the fiscal years ended December 31, 2021, 2020 and 2019 of $1,028.8 million, $603.5 million, and $362.8 million, respectively, representing year-over-year growth of 70% from the fiscal year ended December 31, 2020 to the fiscal year ended December 31, 2021 and 66% from the fiscal year ended December 31, 2019 to the fiscal year ended December 31, 2020. Substantially all of our revenue is from subscription software sales. We have continued to make significant expenditures and investments, including in personnel-related costs, sales and marketing, infrastructure and operations, and have incurred net losses of $20.7 million, $24.5 million and $16.7 million for the fiscal years ended December 31, 2021, 2020 and 2019, respectively. Our operating cash flow was $286.5 million, $109.1 million and $24.2 million for the years ended December 31, 2021, 2020 and 2019, respectively. Our free cash flow was $250.5 million, $83.2 million and $0.8 million for the years ended December 31, 2021, 2020 and 2019, respectively. See the section titled “—Liquidity and Capital Resources—Non-GAAP Free Cash Flow” below.</w:t>
      </w:r>
    </w:p>
    <w:p>
      <w:pPr>
        <w:spacing w:after="0" w:line="166"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Since December 2019, a novel strain of coronavirus, which we refer to, together with other related strains of coronavirus, as “COVID-19”, has spread across the world, including to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especially in light of the emergence of new variant strains of COVID-19, its impact on industry events, and its effect on our customers, partners, suppliers and vendors and other parties with whom we do business, and the availability, distribution and acceptance of vaccines, all of which are uncertain and cannot be predicted at this time. To the extent possible, we are conducting business as usual, with necessary or advisable modifications to employee travel and employee work locations and cancelling or holding virtually Datadog marketing events.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may impact our results of operations and financial condition remains uncertain. In addition, due to our subscription model, the effect of the COVID-19 pandemic, if any, may not be fully reflected in our results of operations until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December 31, 2021, we had approximately 18,800 customers spanning organizations of a broad range of sizes and industries, compared to approximately 14,170 as of December 31, 2020.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Our base of customers represents a significant opportunity for further sales expansion. As of December 31, 2021, we had approximately 2,010 customers with annual run-rate revenue, or ARR, of $100,000 or more, representing 83% of our ARR, up from 1,228 as of December 31, 2020, representing 78%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We updated the definition of MRR as of the quarter ended September 30, 2021 to capture usage from subscriptions with committed contractual amounts and applied this change</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retrospectively.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4"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December 31, 2021 and 2020,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2020. As of December 31, 2021, approximately 78% of our customers were using more than one product, up from approximately 72% a year earlier. We believe these metrics indicate strong momentum in the uptake of our newer platform products.</w:t>
      </w:r>
    </w:p>
    <w:p>
      <w:pPr>
        <w:spacing w:after="0" w:line="16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28% of our total revenue for the year ended December 31, 2021, compared to 25% for the year ended December 31, 2020. In addition, we have made and plan to continue to make significant investments to expand geographically, particularly in EMEA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4" w:name="page45"/>
    <w:bookmarkEnd w:id="44"/>
    <w:p>
      <w:pPr>
        <w:jc w:val="both"/>
        <w:ind w:right="20"/>
        <w:spacing w:after="0" w:line="263" w:lineRule="auto"/>
        <w:rPr>
          <w:sz w:val="20"/>
          <w:szCs w:val="20"/>
          <w:color w:val="auto"/>
        </w:rPr>
      </w:pPr>
      <w:r>
        <w:rPr>
          <w:rFonts w:ascii="Arial" w:cs="Arial" w:eastAsia="Arial" w:hAnsi="Arial"/>
          <w:sz w:val="18"/>
          <w:szCs w:val="18"/>
          <w:color w:val="auto"/>
        </w:rPr>
        <w:t>APAC.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Usage is measured primarily by the number of hosts or by the volume of data indexed. A host is generally defined as a server, either in the cloud or on-premise. Our infrastructure monitoring, APM and network performance monitoring products are priced per host, our logs product is priced primarily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71"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jc w:val="both"/>
        <w:ind w:firstLine="972"/>
        <w:spacing w:after="0" w:line="311"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Other income (loss),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1,028,784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603,466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362,780</w:t>
            </w:r>
          </w:p>
        </w:tc>
      </w:tr>
      <w:tr>
        <w:trPr>
          <w:trHeight w:val="243"/>
        </w:trPr>
        <w:tc>
          <w:tcPr>
            <w:tcW w:w="6700" w:type="dxa"/>
            <w:vAlign w:val="bottom"/>
            <w:tcBorders>
              <w:bottom w:val="single" w:sz="8" w:color="CFF0FC"/>
            </w:tcBorders>
          </w:tcPr>
          <w:p>
            <w:pPr>
              <w:ind w:left="20"/>
              <w:spacing w:after="0" w:line="243"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(1)(2)(4)</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234,245</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130,197</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88,949</w:t>
            </w:r>
          </w:p>
        </w:tc>
      </w:tr>
      <w:tr>
        <w:trPr>
          <w:trHeight w:val="22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794,539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473,269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273,831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FF0FC"/>
          </w:tcPr>
          <w:p>
            <w:pPr>
              <w:ind w:left="260"/>
              <w:spacing w:after="0" w:line="243"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(1)(3)(4)</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419,769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210,626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111,425</w:t>
            </w:r>
          </w:p>
        </w:tc>
      </w:tr>
      <w:tr>
        <w:trPr>
          <w:trHeight w:val="243"/>
        </w:trPr>
        <w:tc>
          <w:tcPr>
            <w:tcW w:w="6700" w:type="dxa"/>
            <w:vAlign w:val="bottom"/>
          </w:tcPr>
          <w:p>
            <w:pPr>
              <w:ind w:left="260"/>
              <w:spacing w:after="0" w:line="243"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(1)(2)(3)(4)</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146,657</w:t>
            </w:r>
          </w:p>
        </w:tc>
      </w:tr>
      <w:tr>
        <w:trPr>
          <w:trHeight w:val="243"/>
        </w:trPr>
        <w:tc>
          <w:tcPr>
            <w:tcW w:w="6700" w:type="dxa"/>
            <w:vAlign w:val="bottom"/>
            <w:shd w:val="clear" w:color="auto" w:fill="CFF0FC"/>
          </w:tcPr>
          <w:p>
            <w:pPr>
              <w:ind w:left="260"/>
              <w:spacing w:after="0" w:line="243"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(1)(3)(4)</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94,429</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62,756</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35,889</w:t>
            </w:r>
          </w:p>
        </w:tc>
      </w:tr>
      <w:tr>
        <w:trPr>
          <w:trHeight w:val="223"/>
        </w:trPr>
        <w:tc>
          <w:tcPr>
            <w:tcW w:w="67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813,695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487,042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293,971</w:t>
            </w:r>
          </w:p>
        </w:tc>
      </w:tr>
      <w:tr>
        <w:trPr>
          <w:trHeight w:val="22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FF0FC"/>
          </w:tcPr>
          <w:p>
            <w:pPr>
              <w:ind w:left="260"/>
              <w:spacing w:after="0" w:line="243"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(5)</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r>
      <w:tr>
        <w:trPr>
          <w:trHeight w:val="223"/>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(15,976)</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(16,710)</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09"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7,972</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r>
      <w:tr>
        <w:trPr>
          <w:trHeight w:val="248"/>
        </w:trPr>
        <w:tc>
          <w:tcPr>
            <w:tcW w:w="6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163,737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74,374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19,034</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09"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3,792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non-cash benefit related to tax adjustment as follows: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6"/>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r>
      <w:tr>
        <w:trPr>
          <w:trHeight w:val="21"/>
        </w:trPr>
        <w:tc>
          <w:tcPr>
            <w:tcW w:w="6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employer payroll taxes on employee stock transactions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6"/>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6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16,085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09"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amortization of debt discount and issuance costs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6"/>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ind w:right="222"/>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3,349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18,727</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172"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32385</wp:posOffset>
            </wp:positionV>
            <wp:extent cx="30435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gridSpan w:val="2"/>
          </w:tcPr>
          <w:p>
            <w:pPr>
              <w:ind w:left="704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5"/>
        </w:trPr>
        <w:tc>
          <w:tcPr>
            <w:tcW w:w="6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00" w:type="dxa"/>
            <w:vAlign w:val="bottom"/>
            <w:gridSpan w:val="5"/>
          </w:tcPr>
          <w:p>
            <w:pPr>
              <w:ind w:left="340"/>
              <w:spacing w:after="0" w:line="182" w:lineRule="exact"/>
              <w:rPr>
                <w:sz w:val="20"/>
                <w:szCs w:val="20"/>
                <w:color w:val="auto"/>
              </w:rPr>
            </w:pPr>
            <w:r>
              <w:rPr>
                <w:rFonts w:ascii="Arial" w:cs="Arial" w:eastAsia="Arial" w:hAnsi="Arial"/>
                <w:sz w:val="14"/>
                <w:szCs w:val="14"/>
                <w:b w:val="1"/>
                <w:bCs w:val="1"/>
                <w:color w:val="auto"/>
                <w:w w:val="98"/>
              </w:rPr>
              <w:t>(as a percentage of total revenue</w:t>
            </w:r>
            <w:r>
              <w:rPr>
                <w:rFonts w:ascii="Arial" w:cs="Arial" w:eastAsia="Arial" w:hAnsi="Arial"/>
                <w:sz w:val="18"/>
                <w:szCs w:val="18"/>
                <w:b w:val="1"/>
                <w:bCs w:val="1"/>
                <w:color w:val="auto"/>
                <w:w w:val="98"/>
                <w:vertAlign w:val="superscript"/>
              </w:rPr>
              <w:t>(1)</w:t>
            </w:r>
            <w:r>
              <w:rPr>
                <w:rFonts w:ascii="Arial" w:cs="Arial" w:eastAsia="Arial" w:hAnsi="Arial"/>
                <w:sz w:val="14"/>
                <w:szCs w:val="14"/>
                <w:b w:val="1"/>
                <w:bCs w:val="1"/>
                <w:color w:val="auto"/>
                <w:w w:val="98"/>
              </w:rPr>
              <w:t>)</w:t>
            </w:r>
          </w:p>
        </w:tc>
        <w:tc>
          <w:tcPr>
            <w:tcW w:w="1120" w:type="dxa"/>
            <w:vAlign w:val="bottom"/>
          </w:tcPr>
          <w:p>
            <w:pPr>
              <w:spacing w:after="0"/>
              <w:rPr>
                <w:sz w:val="15"/>
                <w:szCs w:val="15"/>
                <w:color w:val="auto"/>
              </w:rPr>
            </w:pPr>
          </w:p>
        </w:tc>
      </w:tr>
      <w:tr>
        <w:trPr>
          <w:trHeight w:val="230"/>
        </w:trPr>
        <w:tc>
          <w:tcPr>
            <w:tcW w:w="7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23"/>
        </w:trPr>
        <w:tc>
          <w:tcPr>
            <w:tcW w:w="64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75</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31</w:t>
            </w:r>
          </w:p>
        </w:tc>
      </w:tr>
      <w:tr>
        <w:trPr>
          <w:trHeight w:val="230"/>
        </w:trPr>
        <w:tc>
          <w:tcPr>
            <w:tcW w:w="740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40</w:t>
            </w:r>
          </w:p>
        </w:tc>
      </w:tr>
      <w:tr>
        <w:trPr>
          <w:trHeight w:val="229"/>
        </w:trPr>
        <w:tc>
          <w:tcPr>
            <w:tcW w:w="7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10</w:t>
            </w:r>
          </w:p>
        </w:tc>
      </w:tr>
      <w:tr>
        <w:trPr>
          <w:trHeight w:val="223"/>
        </w:trPr>
        <w:tc>
          <w:tcPr>
            <w:tcW w:w="6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FF0FC"/>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81</w:t>
            </w:r>
          </w:p>
        </w:tc>
      </w:tr>
      <w:tr>
        <w:trPr>
          <w:trHeight w:val="22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(6)</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Other income (loss):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r>
      <w:tr>
        <w:trPr>
          <w:trHeight w:val="230"/>
        </w:trPr>
        <w:tc>
          <w:tcPr>
            <w:tcW w:w="7400" w:type="dxa"/>
            <w:vAlign w:val="bottom"/>
            <w:gridSpan w:val="2"/>
          </w:tcPr>
          <w:p>
            <w:pPr>
              <w:ind w:left="220"/>
              <w:spacing w:after="0"/>
              <w:rPr>
                <w:sz w:val="20"/>
                <w:szCs w:val="20"/>
                <w:color w:val="auto"/>
              </w:rPr>
            </w:pPr>
            <w:r>
              <w:rPr>
                <w:rFonts w:ascii="Arial" w:cs="Arial" w:eastAsia="Arial" w:hAnsi="Arial"/>
                <w:sz w:val="18"/>
                <w:szCs w:val="18"/>
                <w:color w:val="auto"/>
              </w:rPr>
              <w:t>Interest income and other income, net</w:t>
            </w: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23"/>
        </w:trPr>
        <w:tc>
          <w:tcPr>
            <w:tcW w:w="64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income (loss), net</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w:t>
            </w:r>
          </w:p>
        </w:tc>
      </w:tr>
      <w:tr>
        <w:trPr>
          <w:trHeight w:val="223"/>
        </w:trPr>
        <w:tc>
          <w:tcPr>
            <w:tcW w:w="64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Loss before provision for income taxes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ind w:left="1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(5)</w:t>
            </w:r>
          </w:p>
        </w:tc>
      </w:tr>
      <w:tr>
        <w:trPr>
          <w:trHeight w:val="22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540" w:type="dxa"/>
            <w:vAlign w:val="bottom"/>
          </w:tcPr>
          <w:p>
            <w:pPr>
              <w:ind w:left="160"/>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19"/>
                <w:szCs w:val="19"/>
                <w:color w:val="auto"/>
              </w:rPr>
            </w:pPr>
          </w:p>
        </w:tc>
        <w:tc>
          <w:tcPr>
            <w:tcW w:w="1520" w:type="dxa"/>
            <w:vAlign w:val="bottom"/>
          </w:tcPr>
          <w:p>
            <w:pPr>
              <w:ind w:left="1140"/>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9"/>
              </w:rPr>
              <w:t>(5)%</w:t>
            </w:r>
          </w:p>
        </w:tc>
      </w:tr>
      <w:tr>
        <w:trPr>
          <w:trHeight w:val="21"/>
        </w:trPr>
        <w:tc>
          <w:tcPr>
            <w:tcW w:w="6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54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197"/>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1,028,784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603,466</w:t>
            </w:r>
          </w:p>
        </w:tc>
        <w:tc>
          <w:tcPr>
            <w:tcW w:w="100" w:type="dxa"/>
            <w:vAlign w:val="bottom"/>
            <w:shd w:val="clear" w:color="auto" w:fill="CCEEFF"/>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425,318</w:t>
            </w:r>
          </w:p>
        </w:tc>
        <w:tc>
          <w:tcPr>
            <w:tcW w:w="100" w:type="dxa"/>
            <w:vAlign w:val="bottom"/>
            <w:shd w:val="clear" w:color="auto" w:fill="CCEEFF"/>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w:t>
            </w:r>
          </w:p>
        </w:tc>
      </w:tr>
    </w:tbl>
    <w:p>
      <w:pPr>
        <w:spacing w:after="0" w:line="28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Revenue increased by $425.3 million or 70%, for the year ended December 31, 2021 compared to the year ended December 31, 2020. Approximately 71% of the increase in revenue was attributable to growth from existing customers, and the remaining 29% was attributable to growth from new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(dollars in thousands)</w:t>
            </w:r>
          </w:p>
        </w:tc>
        <w:tc>
          <w:tcPr>
            <w:tcW w:w="3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31"/>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234,245</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130,197</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104,048</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78 %</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9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Cost of revenue increased by $104.0 million, or 80%, for the year ended December 31, 2021 compared to the year ended December 31, 2020. This increase was primarily due to an increase of $88.3 million in third-party cloud infrastructure hosting and software costs, an increase of $7.9 million in personnel expenses as a result of increased headcount, an increase of $4.4 million of depreciation and amortization expense, an increase of $3.0 million in credit card processing fees and other fees, and an increase of $0.4 million in allocated overhead costs as a result of an increase in overall costs necessary to support the growth of the business and related infrastructure.</w:t>
      </w:r>
    </w:p>
    <w:p>
      <w:pPr>
        <w:spacing w:after="0" w:line="18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Our gross margin decreased by 1% for the year ended December 31, 2021 compared to the year ended December 31, 2020, primarily as the result of the timing and amount of our investments to expand the capacity of our third-party cloud infrastructure providers.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(dollars in thousands)</w:t>
            </w: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3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419,769</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210,626</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209,143</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Research and development expense increased by $209.1 million, or 99%, for the year ended December 31, 2021 compared to the year ended December 31, 2020. This increase was primarily due to an increase of $152.8 million in personnel costs for our engineering, product and design teams as a result of increased headcount, and an increase of $49.5 million in cloud infrastructure related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(dollars in thousands)</w:t>
            </w: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177"/>
              <w:spacing w:after="0"/>
              <w:rPr>
                <w:sz w:val="20"/>
                <w:szCs w:val="20"/>
                <w:color w:val="auto"/>
              </w:rPr>
            </w:pPr>
            <w:r>
              <w:rPr>
                <w:rFonts w:ascii="Arial" w:cs="Arial" w:eastAsia="Arial" w:hAnsi="Arial"/>
                <w:sz w:val="18"/>
                <w:szCs w:val="18"/>
                <w:color w:val="auto"/>
              </w:rPr>
              <w:t>299,497</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213,660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85,837</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50"/>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77"/>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jc w:val="both"/>
        <w:ind w:firstLine="972"/>
        <w:spacing w:after="0" w:line="257" w:lineRule="auto"/>
        <w:rPr>
          <w:sz w:val="20"/>
          <w:szCs w:val="20"/>
          <w:color w:val="auto"/>
        </w:rPr>
      </w:pPr>
      <w:r>
        <w:rPr>
          <w:rFonts w:ascii="Arial" w:cs="Arial" w:eastAsia="Arial" w:hAnsi="Arial"/>
          <w:sz w:val="18"/>
          <w:szCs w:val="18"/>
          <w:color w:val="auto"/>
        </w:rPr>
        <w:t>Sales and marketing expense increased by $85.8 million, or 40%, for the year ended December 31, 2021 compared to the year ended December 31, 2020. This increase was primarily due to an increase of $72.2 million in personnel costs for our sales and marketing organization as a result of increased headcount and increased variable compensation for our sales personnel, an increase of $7.1 million in allocated overhead costs as a result of an increase in overall costs necessary to support the growth of the business and related infrastructure, and an increase of $3.4 million in marketing and promotional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(dollars in thousands)</w:t>
            </w: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3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94,429</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62,756</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31,673</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8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General and administrative expense increased by $31.7 million, or 50%, for the year ended December 31, 2021 compared to the year ended December 31, 2020. This increase was primarily due to an increase of $22.8 million in personnel expenses as a result of increased headcount, an increase of $2.9 million related to charitable donations, an increase of $2.7 million related to outside professional fees primarily related to finance and legal fees, and an increase of $0.3 million in allocated overhead expenses related to an increase in overall costs necessary to support the growth of the business and related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5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3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4"/>
              </w:rPr>
              <w:t>(dollars in thousands)</w:t>
            </w:r>
          </w:p>
        </w:tc>
        <w:tc>
          <w:tcPr>
            <w:tcW w:w="3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3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(loss), net</w:t>
            </w:r>
          </w:p>
        </w:tc>
        <w:tc>
          <w:tcPr>
            <w:tcW w:w="880" w:type="dxa"/>
            <w:vAlign w:val="bottom"/>
            <w:shd w:val="clear" w:color="auto" w:fill="CFF0FC"/>
          </w:tcPr>
          <w:p>
            <w:pPr>
              <w:jc w:val="right"/>
              <w:ind w:right="68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734</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(8,449)</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9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 xml:space="preserve">Other income (loss), net increased by $9.2 million, or 109% for the year ended December 31, 2021 compared to the year ended December 31, 2020. This increase was primarily due to the early option of ASU No. 2020-06, </w:t>
      </w:r>
      <w:r>
        <w:rPr>
          <w:rFonts w:ascii="Arial" w:cs="Arial" w:eastAsia="Arial" w:hAnsi="Arial"/>
          <w:sz w:val="17"/>
          <w:szCs w:val="17"/>
          <w:i w:val="1"/>
          <w:iCs w:val="1"/>
          <w:color w:val="auto"/>
        </w:rPr>
        <w:t>Accounting for Convertible Instruments and Contracts in an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As a result of the adoption, the debt discount on our 2025 Notes is no longer amortized into income as interest expense over the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which led to a decrease in the interest expense incurred during the twelve months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years ended December 31, 2021, 2020, and 2019, and have supplemented working capital requirements through net proceeds from the sale of debt and equity securities. When assessing sources of liquidity, we also include cash and cash equivalents of $271.0 million and marketable securities of $1.3 billion as of December 31, 2021. We believe that our existing cash and cash equivalents, marketable securities and cash flow from operations will be sufficient to support our cash requirements for the next 12 months and beyond.</w:t>
      </w:r>
    </w:p>
    <w:p>
      <w:pPr>
        <w:spacing w:after="0" w:line="17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Non-cancelable purchase commitments for business operations and operating lease obligations total $688.4 million and $97.0 million, respectively, as of December 31, 2021, due primarily over the next five years. Purchase commitments for business operations are primarily related to cloud hosting and other software-based services.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also issued long-term debt to finance our business. In June 2020, we issued $747.5 million aggregate principal amount of the 2025 Notes in a private placement to qualified institutional buyers pursuant to Rule 144A under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Securities Act. The total net proceeds from the sale of the 2025 Notes, after deducting the initial purchasers’ discounts and debt issuance costs, were approximately $730.2 million. The principal and future interest payments related to our 2025 Notes is $750.8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right="235"/>
              <w:spacing w:after="0"/>
              <w:rPr>
                <w:sz w:val="20"/>
                <w:szCs w:val="20"/>
                <w:color w:val="auto"/>
              </w:rPr>
            </w:pPr>
            <w:r>
              <w:rPr>
                <w:rFonts w:ascii="Arial" w:cs="Arial" w:eastAsia="Arial" w:hAnsi="Arial"/>
                <w:sz w:val="14"/>
                <w:szCs w:val="14"/>
                <w:b w:val="1"/>
                <w:bCs w:val="1"/>
                <w:color w:val="auto"/>
                <w:w w:val="93"/>
              </w:rPr>
              <w:t>Year Ended December 31,</w:t>
            </w:r>
          </w:p>
        </w:tc>
      </w:tr>
      <w:tr>
        <w:trPr>
          <w:trHeight w:val="187"/>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5"/>
                <w:szCs w:val="15"/>
                <w:color w:val="auto"/>
              </w:rPr>
            </w:pPr>
          </w:p>
        </w:tc>
      </w:tr>
      <w:tr>
        <w:trPr>
          <w:trHeight w:val="231"/>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286,545</w:t>
            </w:r>
          </w:p>
        </w:tc>
        <w:tc>
          <w:tcPr>
            <w:tcW w:w="5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109,091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(273,740)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(1,152,624)</w:t>
            </w:r>
          </w:p>
        </w:tc>
      </w:tr>
      <w:tr>
        <w:trPr>
          <w:trHeight w:val="230"/>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34,940</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670,276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Net cash provided by operating activities increased $177.5 million from the year ended December 31, 2020 to $286.5 million for the year ended December 31, 2021, primarily driven by an increase in deferred revenue of $106.5 million and non-cash charges of $97.8 million. The increase in deferred revenue resulted primarily from increased billings for subscriptions. Further, the increase in non-cash charges related primarily to an increase of $89.3 million in stock-based compensation as we continued to increase headcount to support the growth of the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Net cash used in investing activities decreased by $878.9 million from the year ended December 31, 2020 to $273.7 million, primarily driven by a decrease in the investment in marketable securities of $669.0 million, an increase in proceeds of $540.0 million from maturities of marketable securities and an increase in capitalized software development costs of $5.6 million. The decrease in cash used by investing activities was offset by an increase in cash paid for acquisition of businesses net of cash acquired of $224.1 million, a decrease in the proceeds from sale of marketable securities of $95.9 million and an increase in purchases of property and equipment of $4.5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Net cash provided by financing activities decreased by $635.3 million from the year ended December 31, 2020 to $34.9 million, primarily due to the receipt of proceeds from the issuance of the 2025 Notes of $730.2 million, net of issuance costs, in 2020. Further, the purchase of the capped call in connection with the 2025 Notes for $89.6 million offset the decrease in cash provided by financing activities as there were no additional purchases in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We report our financial results in accordance with U.S. GAAP. To supplement our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286,545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109,091</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24,234</w:t>
            </w: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Less: Purchases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(13,315)</w:t>
            </w:r>
          </w:p>
        </w:tc>
      </w:tr>
      <w:tr>
        <w:trPr>
          <w:trHeight w:val="230"/>
        </w:trPr>
        <w:tc>
          <w:tcPr>
            <w:tcW w:w="6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Capitalized software development costs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(20,468)</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231F20"/>
        </w:rPr>
        <w:t xml:space="preserve">We </w:t>
      </w:r>
      <w:r>
        <w:rPr>
          <w:rFonts w:ascii="Arial" w:cs="Arial" w:eastAsia="Arial" w:hAnsi="Arial"/>
          <w:sz w:val="17"/>
          <w:szCs w:val="17"/>
          <w:color w:val="000000"/>
        </w:rPr>
        <w:t>generate revenue from the sale of subscriptions to customers using our cloud-based platform. The terms of our subscription agreements</w:t>
      </w:r>
      <w:r>
        <w:rPr>
          <w:rFonts w:ascii="Arial" w:cs="Arial" w:eastAsia="Arial" w:hAnsi="Arial"/>
          <w:sz w:val="17"/>
          <w:szCs w:val="17"/>
          <w:color w:val="231F20"/>
        </w:rPr>
        <w:t xml:space="preserve"> </w:t>
      </w:r>
      <w:r>
        <w:rPr>
          <w:rFonts w:ascii="Arial" w:cs="Arial" w:eastAsia="Arial" w:hAnsi="Arial"/>
          <w:sz w:val="17"/>
          <w:szCs w:val="17"/>
          <w:color w:val="000000"/>
        </w:rPr>
        <w:t>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r>
        <w:rPr>
          <w:rFonts w:ascii="Arial" w:cs="Arial" w:eastAsia="Arial" w:hAnsi="Arial"/>
          <w:sz w:val="17"/>
          <w:szCs w:val="17"/>
          <w:color w:val="231F20"/>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 xml:space="preserve">We account for revenue contracts with </w:t>
      </w:r>
      <w:r>
        <w:rPr>
          <w:rFonts w:ascii="Arial" w:cs="Arial" w:eastAsia="Arial" w:hAnsi="Arial"/>
          <w:sz w:val="18"/>
          <w:szCs w:val="18"/>
          <w:color w:val="000000"/>
        </w:rPr>
        <w:t>customers</w:t>
      </w:r>
      <w:r>
        <w:rPr>
          <w:rFonts w:ascii="Arial" w:cs="Arial" w:eastAsia="Arial" w:hAnsi="Arial"/>
          <w:sz w:val="18"/>
          <w:szCs w:val="18"/>
          <w:color w:val="231F20"/>
        </w:rPr>
        <w:t xml:space="preserve"> through the following steps:</w:t>
      </w:r>
    </w:p>
    <w:p>
      <w:pPr>
        <w:spacing w:after="0" w:line="117" w:lineRule="exact"/>
        <w:rPr>
          <w:sz w:val="20"/>
          <w:szCs w:val="20"/>
          <w:color w:val="auto"/>
        </w:rPr>
      </w:pPr>
    </w:p>
    <w:p>
      <w:pPr>
        <w:ind w:left="1540" w:hanging="560"/>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identify the performance obligations in the contract;</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determine the transaction price;</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recognize revenue when or as we satisfy a performance obligation.</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88"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 xml:space="preserve">Revenue is recognized when </w:t>
      </w:r>
      <w:r>
        <w:rPr>
          <w:rFonts w:ascii="Arial" w:cs="Arial" w:eastAsia="Arial" w:hAnsi="Arial"/>
          <w:sz w:val="16"/>
          <w:szCs w:val="16"/>
          <w:color w:val="000000"/>
        </w:rPr>
        <w:t>control</w:t>
      </w:r>
      <w:r>
        <w:rPr>
          <w:rFonts w:ascii="Arial" w:cs="Arial" w:eastAsia="Arial" w:hAnsi="Arial"/>
          <w:sz w:val="16"/>
          <w:szCs w:val="16"/>
          <w:color w:val="231F20"/>
        </w:rPr>
        <w:t xml:space="preserve"> of these services is transferred to customers, in an amount that reflects the consideration we expect to be entitled to receive in exchange for those services. We determine an output method to be the most appropriate measure of progress because it most faithfully represents when the value of the services is simultaneously received and consumed by the customer, and control is transferred.</w:t>
      </w:r>
    </w:p>
    <w:p>
      <w:pPr>
        <w:spacing w:after="0" w:line="14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231F20"/>
        </w:rPr>
        <w:t xml:space="preserve">For committed contractual </w:t>
      </w:r>
      <w:r>
        <w:rPr>
          <w:rFonts w:ascii="Arial" w:cs="Arial" w:eastAsia="Arial" w:hAnsi="Arial"/>
          <w:sz w:val="17"/>
          <w:szCs w:val="17"/>
          <w:color w:val="000000"/>
        </w:rPr>
        <w:t>amounts</w:t>
      </w:r>
      <w:r>
        <w:rPr>
          <w:rFonts w:ascii="Arial" w:cs="Arial" w:eastAsia="Arial" w:hAnsi="Arial"/>
          <w:sz w:val="17"/>
          <w:szCs w:val="17"/>
          <w:color w:val="231F20"/>
        </w:rPr>
        <w:t xml:space="preserve">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 xml:space="preserve">We account for stock-based compensation expense related to stock-based awards based on the estimated fair value of the award on the grant date. We historically issued options to purchase shares of our common stock under our 2012 equity incentive plan, or the 2012 Plan. Following the IPO, we ceased granting awards under the 2012 Plan, and all shares that remained available for issuance under the 2012 Plan at that time were transferred to our 2019 equity incentive plan, or the 2019 Plan. Under the 2019 Plan, we may grant stock options, stock appreciation rights, restricted stock awards, restricted stock units, or RSUs, and performance-based and other awards, each valued or based on </w:t>
      </w:r>
      <w:r>
        <w:rPr>
          <w:rFonts w:ascii="Arial" w:cs="Arial" w:eastAsia="Arial" w:hAnsi="Arial"/>
          <w:sz w:val="18"/>
          <w:szCs w:val="18"/>
          <w:color w:val="231F20"/>
        </w:rPr>
        <w:t>our</w:t>
      </w:r>
      <w:r>
        <w:rPr>
          <w:rFonts w:ascii="Arial" w:cs="Arial" w:eastAsia="Arial" w:hAnsi="Arial"/>
          <w:sz w:val="18"/>
          <w:szCs w:val="18"/>
          <w:color w:val="auto"/>
        </w:rPr>
        <w:t xml:space="preserve"> Class A common stock, to our employees, </w:t>
      </w:r>
      <w:r>
        <w:rPr>
          <w:rFonts w:ascii="Arial" w:cs="Arial" w:eastAsia="Arial" w:hAnsi="Arial"/>
          <w:sz w:val="18"/>
          <w:szCs w:val="18"/>
          <w:color w:val="231F20"/>
        </w:rPr>
        <w:t>directors,</w:t>
      </w:r>
      <w:r>
        <w:rPr>
          <w:rFonts w:ascii="Arial" w:cs="Arial" w:eastAsia="Arial" w:hAnsi="Arial"/>
          <w:sz w:val="18"/>
          <w:szCs w:val="18"/>
          <w:color w:val="auto"/>
        </w:rPr>
        <w:t xml:space="preserve"> consultants, and advisors. For further information see Note 13 in our Notes to Consolidated Financial Statements included in “Part II, Item 8. Financial Statements” of this Annual Report on Form 10-K.</w:t>
      </w:r>
    </w:p>
    <w:p>
      <w:pPr>
        <w:spacing w:after="0" w:line="19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Compensation expense related to stock-based transactions, including employee, consultant, and non-employee director stock option awards, is measured and recognized in the consolidated financial statements based on fair value. The fair value of each option award is estimated on the grant date using the Black Scholes option-pricing model. Expense is recognized on a straight-line basis over the vesting period of the award. Forfeitures are accounted for in the period in which the awards are forfeited.</w:t>
      </w:r>
    </w:p>
    <w:p>
      <w:pPr>
        <w:spacing w:after="0" w:line="18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option-pricing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jc w:val="both"/>
        <w:ind w:left="1460" w:hanging="480"/>
        <w:spacing w:after="0" w:line="269" w:lineRule="auto"/>
        <w:tabs>
          <w:tab w:leader="none" w:pos="145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Fair value</w:t>
      </w:r>
      <w:r>
        <w:rPr>
          <w:rFonts w:ascii="Arial" w:cs="Arial" w:eastAsia="Arial" w:hAnsi="Arial"/>
          <w:sz w:val="17"/>
          <w:szCs w:val="17"/>
          <w:color w:val="auto"/>
        </w:rPr>
        <w:t>. Prior to our IPO, the fair value of common stock underlying the stock options had historically been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Board of Directors, with input from our management. Our Board of Directors previously determined the fair value of the common stock at the time of grant of the options by considering a number of objective and subjective factors, including </w:t>
      </w:r>
      <w:r>
        <w:rPr>
          <w:rFonts w:ascii="Arial" w:cs="Arial" w:eastAsia="Arial" w:hAnsi="Arial"/>
          <w:sz w:val="17"/>
          <w:szCs w:val="17"/>
          <w:color w:val="231F20"/>
        </w:rPr>
        <w:t>the results of</w:t>
      </w:r>
      <w:r>
        <w:rPr>
          <w:rFonts w:ascii="Arial" w:cs="Arial" w:eastAsia="Arial" w:hAnsi="Arial"/>
          <w:sz w:val="17"/>
          <w:szCs w:val="17"/>
          <w:color w:val="auto"/>
        </w:rPr>
        <w:t xml:space="preserve"> </w:t>
      </w:r>
      <w:r>
        <w:rPr>
          <w:rFonts w:ascii="Arial" w:cs="Arial" w:eastAsia="Arial" w:hAnsi="Arial"/>
          <w:sz w:val="17"/>
          <w:szCs w:val="17"/>
          <w:color w:val="231F20"/>
        </w:rPr>
        <w:t>contemporaneous independent third-party valuations of our common stock, the prices, rights, preferences, and privileges of our redeemable convertible Preferred Stock relative to those of our common stock, the prices of common or convertible preferred stock sold to third-party investors by us and in secondary transactions or repurchased by us in arm’s-length transactions, the lack of marketability of our common stock, actual operating and financial results, current business conditions and projections, the likelihood of achieving a liquidity event, such as an initial public offering or a merger or acquisition of our company given prevailing market conditions</w:t>
      </w:r>
      <w:r>
        <w:rPr>
          <w:rFonts w:ascii="Arial" w:cs="Arial" w:eastAsia="Arial" w:hAnsi="Arial"/>
          <w:sz w:val="17"/>
          <w:szCs w:val="17"/>
          <w:color w:val="000000"/>
        </w:rPr>
        <w:t>. Subsequent to our IPO, the fair value of the underlying common stock is determined by the closing price, on the date of</w:t>
      </w:r>
      <w:r>
        <w:rPr>
          <w:rFonts w:ascii="Arial" w:cs="Arial" w:eastAsia="Arial" w:hAnsi="Arial"/>
          <w:sz w:val="17"/>
          <w:szCs w:val="17"/>
          <w:color w:val="231F20"/>
        </w:rPr>
        <w:t xml:space="preserve"> </w:t>
      </w:r>
      <w:r>
        <w:rPr>
          <w:rFonts w:ascii="Arial" w:cs="Arial" w:eastAsia="Arial" w:hAnsi="Arial"/>
          <w:sz w:val="17"/>
          <w:szCs w:val="17"/>
          <w:color w:val="000000"/>
        </w:rPr>
        <w:t>grant, of our Class A common stock, as reported by the Nasdaq.</w:t>
      </w:r>
    </w:p>
    <w:p>
      <w:pPr>
        <w:spacing w:after="0" w:line="77" w:lineRule="exact"/>
        <w:rPr>
          <w:rFonts w:ascii="Arial" w:cs="Arial" w:eastAsia="Arial" w:hAnsi="Arial"/>
          <w:sz w:val="17"/>
          <w:szCs w:val="17"/>
          <w:color w:val="auto"/>
        </w:rPr>
      </w:pPr>
    </w:p>
    <w:p>
      <w:pPr>
        <w:jc w:val="both"/>
        <w:ind w:left="1460" w:hanging="480"/>
        <w:spacing w:after="0" w:line="259" w:lineRule="auto"/>
        <w:tabs>
          <w:tab w:leader="none" w:pos="14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Expected volatility is a measure of the amount by which the stock price is expected to fluctuate. Since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78"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We determine the expected term based on the average period the stock options are expected to remain outstanding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8"/>
          <w:szCs w:val="18"/>
          <w:color w:val="auto"/>
        </w:rPr>
      </w:pPr>
    </w:p>
    <w:p>
      <w:pPr>
        <w:ind w:left="1460" w:hanging="480"/>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 We use the U.S. Treasury yield for our risk-free interest rate that corresponds with the expected term.</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utilize a dividend yield of zero, as we do not currently issue dividends, nor do we expect to do so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ind w:left="980"/>
        <w:spacing w:after="0"/>
        <w:rPr>
          <w:sz w:val="20"/>
          <w:szCs w:val="20"/>
          <w:color w:val="auto"/>
        </w:rPr>
      </w:pPr>
      <w:r>
        <w:rPr>
          <w:rFonts w:ascii="Arial" w:cs="Arial" w:eastAsia="Arial" w:hAnsi="Arial"/>
          <w:sz w:val="18"/>
          <w:szCs w:val="18"/>
          <w:color w:val="auto"/>
        </w:rPr>
        <w:t>The following assumptions were used to calculate the fair value of stock options granted to employees: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4"/>
              </w:rPr>
              <w:t>Year Ended December 31,</w:t>
            </w:r>
          </w:p>
        </w:tc>
        <w:tc>
          <w:tcPr>
            <w:tcW w:w="1640" w:type="dxa"/>
            <w:vAlign w:val="bottom"/>
            <w:tcBorders>
              <w:bottom w:val="single" w:sz="8" w:color="auto"/>
            </w:tcBorders>
          </w:tcPr>
          <w:p>
            <w:pPr>
              <w:spacing w:after="0"/>
              <w:rPr>
                <w:sz w:val="16"/>
                <w:szCs w:val="16"/>
                <w:color w:val="auto"/>
              </w:rPr>
            </w:pPr>
          </w:p>
        </w:tc>
      </w:tr>
      <w:tr>
        <w:trPr>
          <w:trHeight w:val="189"/>
        </w:trPr>
        <w:tc>
          <w:tcPr>
            <w:tcW w:w="6200" w:type="dxa"/>
            <w:vAlign w:val="bottom"/>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4"/>
              </w:rPr>
              <w:t xml:space="preserve">2021 </w:t>
            </w:r>
            <w:r>
              <w:rPr>
                <w:rFonts w:ascii="Arial" w:cs="Arial" w:eastAsia="Arial" w:hAnsi="Arial"/>
                <w:sz w:val="18"/>
                <w:szCs w:val="18"/>
                <w:b w:val="1"/>
                <w:bCs w:val="1"/>
                <w:color w:val="auto"/>
                <w:w w:val="84"/>
                <w:vertAlign w:val="superscript"/>
              </w:rPr>
              <w:t>(1)</w:t>
            </w:r>
          </w:p>
        </w:tc>
        <w:tc>
          <w:tcPr>
            <w:tcW w:w="176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23"/>
        </w:trPr>
        <w:tc>
          <w:tcPr>
            <w:tcW w:w="6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 - 39.5%</w:t>
            </w:r>
          </w:p>
        </w:tc>
      </w:tr>
      <w:tr>
        <w:trPr>
          <w:trHeight w:val="22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5.2 - 6.3</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 - 2.6%</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There were no stock options granted during the year ended December 31, 2021.</w:t>
      </w:r>
    </w:p>
    <w:p>
      <w:pPr>
        <w:spacing w:after="0" w:line="209"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 or 10 years.</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65"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In accounting for the issuance of the 2025 Notes, the 2025 Notes were separated into liability and equity components through December 31, 2020.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9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accounting for the debt issuance costs of $17.3 million related to the 2025 Notes, we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On January 1, 2021, we adopted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231F20"/>
        </w:rPr>
        <w:t>When we acquire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us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Our estimates of fair value are based upon assumptions believed to be reasonable, but which are inherently uncertain and unpredictable and, as a result, actual results may differ from estimates. During the measurement period, we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See Note 2, in our Notes to Consolidated Financial Statements included in “Part II, Item 8. Financial Statements and Supplementary Data” of this Annual Report on Form 10-K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As of December 31, 2021, we had $241.6 million in cash equivalents, and $1,283.5 million in marketable securities, which consisted of commercial debt, certificates of deposit, U.S. government treasury and agency securities, Non-U.S. government securities, and commercial paper. In addition, we had $3.5 million of restricted cash due to the outstanding letters of credit established in connection with lease agreements for our facilities.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As of December 31, 2021, a hypothetical 10% relative change in interest rates would not have a material impact on our consolidated financial statements.</w:t>
      </w:r>
    </w:p>
    <w:p>
      <w:pPr>
        <w:spacing w:after="0" w:line="16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 Additionally, we carry the 2025 Notes at face value less unamortized discount and unamortized issuance costs on our balance sheet, and we present the fair value for required disclosure purposes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6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0200" w:type="dxa"/>
            <w:vAlign w:val="bottom"/>
            <w:gridSpan w:val="9"/>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1000" w:type="dxa"/>
            <w:vAlign w:val="bottom"/>
          </w:tcPr>
          <w:p>
            <w:pPr>
              <w:jc w:val="center"/>
              <w:spacing w:after="0" w:line="196" w:lineRule="exact"/>
              <w:rPr>
                <w:rFonts w:ascii="Arial" w:cs="Arial" w:eastAsia="Arial" w:hAnsi="Arial"/>
                <w:sz w:val="18"/>
                <w:szCs w:val="18"/>
                <w:color w:val="auto"/>
                <w:w w:val="89"/>
              </w:rPr>
            </w:pPr>
            <w:hyperlink w:anchor="page56">
              <w:r>
                <w:rPr>
                  <w:rFonts w:ascii="Arial" w:cs="Arial" w:eastAsia="Arial" w:hAnsi="Arial"/>
                  <w:sz w:val="18"/>
                  <w:szCs w:val="18"/>
                  <w:color w:val="auto"/>
                  <w:w w:val="89"/>
                </w:rPr>
                <w:t>55</w:t>
              </w:r>
            </w:hyperlink>
          </w:p>
        </w:tc>
      </w:tr>
      <w:tr>
        <w:trPr>
          <w:trHeight w:val="20"/>
        </w:trPr>
        <w:tc>
          <w:tcPr>
            <w:tcW w:w="6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46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58">
              <w:r>
                <w:rPr>
                  <w:rFonts w:ascii="Arial" w:cs="Arial" w:eastAsia="Arial" w:hAnsi="Arial"/>
                  <w:sz w:val="18"/>
                  <w:szCs w:val="18"/>
                  <w:color w:val="0000FF"/>
                  <w:w w:val="88"/>
                </w:rPr>
                <w:t xml:space="preserve">Consolidated Balance Sheets as of December 31, </w:t>
              </w:r>
            </w:hyperlink>
            <w:r>
              <w:rPr>
                <w:rFonts w:ascii="Arial" w:cs="Arial" w:eastAsia="Arial" w:hAnsi="Arial"/>
                <w:sz w:val="18"/>
                <w:szCs w:val="18"/>
                <w:color w:val="0000FF"/>
                <w:w w:val="88"/>
              </w:rPr>
              <w:t xml:space="preserve">2021 </w:t>
            </w:r>
            <w:hyperlink w:anchor="page58">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2020</w:t>
            </w:r>
          </w:p>
        </w:tc>
        <w:tc>
          <w:tcPr>
            <w:tcW w:w="5540" w:type="dxa"/>
            <w:vAlign w:val="bottom"/>
            <w:gridSpan w:val="5"/>
          </w:tcPr>
          <w:p>
            <w:pPr>
              <w:spacing w:after="0"/>
              <w:rPr>
                <w:sz w:val="21"/>
                <w:szCs w:val="21"/>
                <w:color w:val="auto"/>
              </w:rPr>
            </w:pPr>
          </w:p>
        </w:tc>
        <w:tc>
          <w:tcPr>
            <w:tcW w:w="1000" w:type="dxa"/>
            <w:vAlign w:val="bottom"/>
          </w:tcPr>
          <w:p>
            <w:pPr>
              <w:jc w:val="center"/>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57</w:t>
              </w:r>
            </w:hyperlink>
          </w:p>
        </w:tc>
      </w:tr>
      <w:tr>
        <w:trPr>
          <w:trHeight w:val="250"/>
        </w:trPr>
        <w:tc>
          <w:tcPr>
            <w:tcW w:w="68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 xml:space="preserve">Consolidated Statements of Operations for the years ended December 31, </w:t>
              </w:r>
            </w:hyperlink>
            <w:r>
              <w:rPr>
                <w:rFonts w:ascii="Arial" w:cs="Arial" w:eastAsia="Arial" w:hAnsi="Arial"/>
                <w:sz w:val="18"/>
                <w:szCs w:val="18"/>
                <w:color w:val="0000FF"/>
                <w:w w:val="89"/>
              </w:rPr>
              <w:t xml:space="preserve">2021, 2020 </w:t>
            </w:r>
            <w:hyperlink w:anchor="page59">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3340" w:type="dxa"/>
            <w:vAlign w:val="bottom"/>
            <w:gridSpan w:val="4"/>
          </w:tcPr>
          <w:p>
            <w:pPr>
              <w:spacing w:after="0"/>
              <w:rPr>
                <w:sz w:val="21"/>
                <w:szCs w:val="21"/>
                <w:color w:val="auto"/>
              </w:rPr>
            </w:pPr>
          </w:p>
        </w:tc>
        <w:tc>
          <w:tcPr>
            <w:tcW w:w="1000" w:type="dxa"/>
            <w:vAlign w:val="bottom"/>
          </w:tcPr>
          <w:p>
            <w:pPr>
              <w:jc w:val="center"/>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58</w:t>
              </w:r>
            </w:hyperlink>
          </w:p>
        </w:tc>
      </w:tr>
      <w:tr>
        <w:trPr>
          <w:trHeight w:val="250"/>
        </w:trPr>
        <w:tc>
          <w:tcPr>
            <w:tcW w:w="10200" w:type="dxa"/>
            <w:vAlign w:val="bottom"/>
            <w:gridSpan w:val="9"/>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 xml:space="preserve">Consolidated Statements of Comprehensive Loss for the years ended December 31, </w:t>
              </w:r>
            </w:hyperlink>
            <w:hyperlink w:anchor="page59">
              <w:r>
                <w:rPr>
                  <w:rFonts w:ascii="Arial" w:cs="Arial" w:eastAsia="Arial" w:hAnsi="Arial"/>
                  <w:sz w:val="18"/>
                  <w:szCs w:val="18"/>
                  <w:color w:val="0000FF"/>
                </w:rPr>
                <w:t xml:space="preserve">2021, 2020 and </w:t>
              </w:r>
            </w:hyperlink>
            <w:r>
              <w:rPr>
                <w:rFonts w:ascii="Arial" w:cs="Arial" w:eastAsia="Arial" w:hAnsi="Arial"/>
                <w:sz w:val="18"/>
                <w:szCs w:val="18"/>
                <w:color w:val="0000FF"/>
              </w:rPr>
              <w:t>2019</w:t>
            </w:r>
          </w:p>
        </w:tc>
        <w:tc>
          <w:tcPr>
            <w:tcW w:w="1000" w:type="dxa"/>
            <w:vAlign w:val="bottom"/>
          </w:tcPr>
          <w:p>
            <w:pPr>
              <w:jc w:val="center"/>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20"/>
        </w:trPr>
        <w:tc>
          <w:tcPr>
            <w:tcW w:w="6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99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 xml:space="preserve">Consolidated Statements of Convertible Preferred Stock and Stockholders’ Equity (Deficit) for the years ended December 31, </w:t>
              </w:r>
            </w:hyperlink>
            <w:r>
              <w:rPr>
                <w:rFonts w:ascii="Arial" w:cs="Arial" w:eastAsia="Arial" w:hAnsi="Arial"/>
                <w:sz w:val="18"/>
                <w:szCs w:val="18"/>
                <w:color w:val="0000FF"/>
                <w:w w:val="90"/>
              </w:rPr>
              <w:t>2021, 2020</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68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61">
              <w:r>
                <w:rPr>
                  <w:rFonts w:ascii="Arial" w:cs="Arial" w:eastAsia="Arial" w:hAnsi="Arial"/>
                  <w:sz w:val="18"/>
                  <w:szCs w:val="18"/>
                  <w:color w:val="0000FF"/>
                  <w:w w:val="87"/>
                </w:rPr>
                <w:t>and 2019</w:t>
              </w:r>
            </w:hyperlink>
          </w:p>
        </w:tc>
        <w:tc>
          <w:tcPr>
            <w:tcW w:w="9520" w:type="dxa"/>
            <w:vAlign w:val="bottom"/>
            <w:gridSpan w:val="8"/>
          </w:tcPr>
          <w:p>
            <w:pPr>
              <w:spacing w:after="0"/>
              <w:rPr>
                <w:sz w:val="17"/>
                <w:szCs w:val="17"/>
                <w:color w:val="auto"/>
              </w:rPr>
            </w:pPr>
          </w:p>
        </w:tc>
        <w:tc>
          <w:tcPr>
            <w:tcW w:w="1000" w:type="dxa"/>
            <w:vAlign w:val="bottom"/>
          </w:tcPr>
          <w:p>
            <w:pPr>
              <w:jc w:val="center"/>
              <w:spacing w:after="0" w:line="196" w:lineRule="exact"/>
              <w:rPr>
                <w:rFonts w:ascii="Arial" w:cs="Arial" w:eastAsia="Arial" w:hAnsi="Arial"/>
                <w:sz w:val="18"/>
                <w:szCs w:val="18"/>
                <w:color w:val="auto"/>
                <w:w w:val="89"/>
              </w:rPr>
            </w:pPr>
            <w:hyperlink w:anchor="page61">
              <w:r>
                <w:rPr>
                  <w:rFonts w:ascii="Arial" w:cs="Arial" w:eastAsia="Arial" w:hAnsi="Arial"/>
                  <w:sz w:val="18"/>
                  <w:szCs w:val="18"/>
                  <w:color w:val="auto"/>
                  <w:w w:val="89"/>
                </w:rPr>
                <w:t>60</w:t>
              </w:r>
            </w:hyperlink>
          </w:p>
        </w:tc>
      </w:tr>
      <w:tr>
        <w:trPr>
          <w:trHeight w:val="250"/>
        </w:trPr>
        <w:tc>
          <w:tcPr>
            <w:tcW w:w="69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 xml:space="preserve">Consolidated Statements of Cash Flows for the years ended December 31, </w:t>
              </w:r>
            </w:hyperlink>
            <w:r>
              <w:rPr>
                <w:rFonts w:ascii="Arial" w:cs="Arial" w:eastAsia="Arial" w:hAnsi="Arial"/>
                <w:sz w:val="18"/>
                <w:szCs w:val="18"/>
                <w:color w:val="0000FF"/>
                <w:w w:val="89"/>
              </w:rPr>
              <w:t xml:space="preserve">2021, 2020 </w:t>
            </w:r>
            <w:hyperlink w:anchor="page62">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3280" w:type="dxa"/>
            <w:vAlign w:val="bottom"/>
            <w:gridSpan w:val="3"/>
          </w:tcPr>
          <w:p>
            <w:pPr>
              <w:spacing w:after="0"/>
              <w:rPr>
                <w:sz w:val="21"/>
                <w:szCs w:val="21"/>
                <w:color w:val="auto"/>
              </w:rPr>
            </w:pPr>
          </w:p>
        </w:tc>
        <w:tc>
          <w:tcPr>
            <w:tcW w:w="100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r>
      <w:tr>
        <w:trPr>
          <w:trHeight w:val="250"/>
        </w:trPr>
        <w:tc>
          <w:tcPr>
            <w:tcW w:w="31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Notes to Consolidated Financial Statements</w:t>
              </w:r>
            </w:hyperlink>
          </w:p>
        </w:tc>
        <w:tc>
          <w:tcPr>
            <w:tcW w:w="7040" w:type="dxa"/>
            <w:vAlign w:val="bottom"/>
            <w:gridSpan w:val="7"/>
          </w:tcPr>
          <w:p>
            <w:pPr>
              <w:spacing w:after="0"/>
              <w:rPr>
                <w:sz w:val="21"/>
                <w:szCs w:val="21"/>
                <w:color w:val="auto"/>
              </w:rPr>
            </w:pPr>
          </w:p>
        </w:tc>
        <w:tc>
          <w:tcPr>
            <w:tcW w:w="1000" w:type="dxa"/>
            <w:vAlign w:val="bottom"/>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6" w:name="page57"/>
    <w:bookmarkEnd w:id="5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Datadog, Inc. and its subsidiaries (the "Company") as of December 31, 2021 and 2020, the related consolidated statements of operations, comprehensive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2022,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As discussed in Note 2 to the financial statements, effective January 1, 2021, the company has adopted the FASB Accounting Standards Update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using the modified retrospective approach.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it relates.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Identification of Performance Obligations – Refer to Note 2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2 to the financial statements, the Company generates revenue from the sale of subscription services contracts to customers using its cloud-based platform. Subscription services contracts with certain of the Company’s customers may include non-standard terms and conditions and promises to transfer multiple services.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7" w:name="page58"/>
    <w:bookmarkEnd w:id="57"/>
    <w:p>
      <w:pPr>
        <w:jc w:val="both"/>
        <w:spacing w:after="0" w:line="286" w:lineRule="auto"/>
        <w:rPr>
          <w:sz w:val="20"/>
          <w:szCs w:val="20"/>
          <w:color w:val="auto"/>
        </w:rPr>
      </w:pPr>
      <w:r>
        <w:rPr>
          <w:rFonts w:ascii="Arial" w:cs="Arial" w:eastAsia="Arial" w:hAnsi="Arial"/>
          <w:sz w:val="17"/>
          <w:szCs w:val="17"/>
          <w:color w:val="auto"/>
        </w:rPr>
        <w:t>Contracts with customers that contain non-standard terms and conditions and promises to transfer multiple services require significant judgment by management to identify the distinct performance obligations in the arrangement. Distinct performance obligations will be accounted for as separate performance obligations, while non-distinct services are combined with others to form a single performance obligation.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complexity of the Company’s subscription services contracts with certain customers, coupled with management’s judgments involved in identifying distinct performance obligations and non-standard terms and conditions, auditing the Company’s subscription services contracts with certain customers required a high degree of auditor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subscription contracts with certain customers included, among others:</w:t>
      </w:r>
    </w:p>
    <w:p>
      <w:pPr>
        <w:spacing w:after="0" w:line="117" w:lineRule="exact"/>
        <w:rPr>
          <w:sz w:val="20"/>
          <w:szCs w:val="20"/>
          <w:color w:val="auto"/>
        </w:rPr>
      </w:pPr>
    </w:p>
    <w:p>
      <w:pPr>
        <w:jc w:val="both"/>
        <w:ind w:left="500" w:hanging="492"/>
        <w:spacing w:after="0" w:line="263" w:lineRule="auto"/>
        <w:tabs>
          <w:tab w:leader="none" w:pos="4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management’s controls over revenue recognition. This includes management’s controls over the identification of performance obligations and non-standard terms and conditions in subscription contracts, as well as the allocation of revenue to each performance obligation.</w:t>
      </w:r>
    </w:p>
    <w:p>
      <w:pPr>
        <w:spacing w:after="0" w:line="75" w:lineRule="exact"/>
        <w:rPr>
          <w:rFonts w:ascii="Arial" w:cs="Arial" w:eastAsia="Arial" w:hAnsi="Arial"/>
          <w:sz w:val="18"/>
          <w:szCs w:val="18"/>
          <w:color w:val="auto"/>
        </w:rPr>
      </w:pPr>
    </w:p>
    <w:p>
      <w:pPr>
        <w:ind w:left="500" w:right="20" w:hanging="492"/>
        <w:spacing w:after="0" w:line="277" w:lineRule="auto"/>
        <w:tabs>
          <w:tab w:leader="none" w:pos="4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evaluated a sample of subscription contracts with customers to determine if all the promises referred to in the contract were properly identified by management and accounted for as distinct performance obligations by performing the following:</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Obtained and read the subscription contract and independently assessed the terms of the contract to identify all promises and non-standard terms and conditions.</w:t>
      </w:r>
    </w:p>
    <w:p>
      <w:pPr>
        <w:spacing w:after="0" w:line="62" w:lineRule="exact"/>
        <w:rPr>
          <w:rFonts w:ascii="Arial" w:cs="Arial" w:eastAsia="Arial" w:hAnsi="Arial"/>
          <w:sz w:val="18"/>
          <w:szCs w:val="18"/>
          <w:color w:val="auto"/>
        </w:rPr>
      </w:pPr>
    </w:p>
    <w:p>
      <w:pPr>
        <w:ind w:left="1140" w:right="20" w:hanging="484"/>
        <w:spacing w:after="0" w:line="277" w:lineRule="auto"/>
        <w:tabs>
          <w:tab w:leader="none" w:pos="11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For each promise identified, we evaluated whether such promise represented a distinct “performance obligation”, as prescribed by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evaluated the completeness and accuracy of the performance obligations by comparing those identified by us to those identified by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26"/>
        </w:trPr>
        <w:tc>
          <w:tcPr>
            <w:tcW w:w="82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270,973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224,927</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1,283,473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1,292,532</w:t>
            </w:r>
          </w:p>
        </w:tc>
      </w:tr>
      <w:tr>
        <w:trPr>
          <w:trHeight w:val="216"/>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receivable, net of allowance for credit losses of $2,997 and $2,468 as of December 31, 2021 and 2020,</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26"/>
        </w:trPr>
        <w:tc>
          <w:tcPr>
            <w:tcW w:w="82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respectively</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268,824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163,359</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Deferred contract costs, current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13,638</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24,443</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23,624</w:t>
            </w:r>
          </w:p>
        </w:tc>
      </w:tr>
      <w:tr>
        <w:trPr>
          <w:trHeight w:val="227"/>
        </w:trPr>
        <w:tc>
          <w:tcPr>
            <w:tcW w:w="82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1,870,948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1,718,080</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75,152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47,197</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57,829</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292,176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17,609</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2,069</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Deferred contract costs, non-current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26,750</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3,784</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19,907</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16,967</w:t>
            </w:r>
          </w:p>
        </w:tc>
      </w:tr>
      <w:tr>
        <w:trPr>
          <w:trHeight w:val="230"/>
        </w:trPr>
        <w:tc>
          <w:tcPr>
            <w:tcW w:w="82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2,380,794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1,890,285</w:t>
            </w: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25,270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21,342</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55,351</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20,157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16,326</w:t>
            </w:r>
          </w:p>
        </w:tc>
      </w:tr>
      <w:tr>
        <w:trPr>
          <w:trHeight w:val="236"/>
        </w:trPr>
        <w:tc>
          <w:tcPr>
            <w:tcW w:w="824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Deferred revenue, current</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371,985</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204,825</w:t>
            </w:r>
          </w:p>
        </w:tc>
      </w:tr>
      <w:tr>
        <w:trPr>
          <w:trHeight w:val="243"/>
        </w:trPr>
        <w:tc>
          <w:tcPr>
            <w:tcW w:w="82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528,696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297,844</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51,433</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Convertible senior notes, net</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735,482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575,864</w:t>
            </w:r>
          </w:p>
        </w:tc>
      </w:tr>
      <w:tr>
        <w:trPr>
          <w:trHeight w:val="233"/>
        </w:trPr>
        <w:tc>
          <w:tcPr>
            <w:tcW w:w="8240" w:type="dxa"/>
            <w:vAlign w:val="bottom"/>
          </w:tcPr>
          <w:p>
            <w:pPr>
              <w:ind w:left="180"/>
              <w:spacing w:after="0"/>
              <w:rPr>
                <w:sz w:val="20"/>
                <w:szCs w:val="20"/>
                <w:color w:val="auto"/>
              </w:rPr>
            </w:pPr>
            <w:r>
              <w:rPr>
                <w:rFonts w:ascii="Arial" w:cs="Arial" w:eastAsia="Arial" w:hAnsi="Arial"/>
                <w:sz w:val="16"/>
                <w:szCs w:val="16"/>
                <w:color w:val="auto"/>
              </w:rPr>
              <w:t>Deferred revenue, non-current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3,450</w:t>
            </w:r>
          </w:p>
        </w:tc>
      </w:tr>
      <w:tr>
        <w:trPr>
          <w:trHeight w:val="253"/>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9,411</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4,262</w:t>
            </w:r>
          </w:p>
        </w:tc>
      </w:tr>
      <w:tr>
        <w:trPr>
          <w:trHeight w:val="227"/>
        </w:trPr>
        <w:tc>
          <w:tcPr>
            <w:tcW w:w="824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1,339,591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932,853</w:t>
            </w:r>
          </w:p>
        </w:tc>
      </w:tr>
      <w:tr>
        <w:trPr>
          <w:trHeight w:val="253"/>
        </w:trPr>
        <w:tc>
          <w:tcPr>
            <w:tcW w:w="8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8240" w:type="dxa"/>
            <w:vAlign w:val="bottom"/>
            <w:shd w:val="clear" w:color="auto" w:fill="CFF0FC"/>
          </w:tcPr>
          <w:p>
            <w:pPr>
              <w:ind w:left="20"/>
              <w:spacing w:after="0"/>
              <w:rPr>
                <w:sz w:val="20"/>
                <w:szCs w:val="20"/>
                <w:color w:val="auto"/>
              </w:rPr>
            </w:pPr>
            <w:r>
              <w:rPr>
                <w:rFonts w:ascii="Arial" w:cs="Arial" w:eastAsia="Arial" w:hAnsi="Arial"/>
                <w:sz w:val="16"/>
                <w:szCs w:val="16"/>
                <w:color w:val="auto"/>
                <w:w w:val="92"/>
              </w:rPr>
              <w:t>Class A common stock, $0.00001 par value per share; 2,000,000,000 shares authorized as of December 31, 2021 and 2020;</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26"/>
        </w:trPr>
        <w:tc>
          <w:tcPr>
            <w:tcW w:w="8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263,339,585 and 218,510,509 shares issued and outstanding as of December 31, 2021 and 2020, respectively</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w w:val="94"/>
              </w:rPr>
              <w:t>Class B common stock, $0.00001 par value per share; 310,000,000 shares authorized as of December 31, 2021 and 2020;</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6"/>
                <w:szCs w:val="16"/>
                <w:color w:val="auto"/>
              </w:rPr>
              <w:t>50,025,852 and 87,369,554 shares issued and outstanding as of December 31, 2021 and 2020, respectively</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3"/>
        </w:trPr>
        <w:tc>
          <w:tcPr>
            <w:tcW w:w="8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1,197,136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1,103,305</w:t>
            </w:r>
          </w:p>
        </w:tc>
      </w:tr>
      <w:tr>
        <w:trPr>
          <w:trHeight w:val="233"/>
        </w:trPr>
        <w:tc>
          <w:tcPr>
            <w:tcW w:w="8240" w:type="dxa"/>
            <w:vAlign w:val="bottom"/>
          </w:tcPr>
          <w:p>
            <w:pPr>
              <w:ind w:left="2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2,287</w:t>
            </w:r>
          </w:p>
        </w:tc>
      </w:tr>
      <w:tr>
        <w:trPr>
          <w:trHeight w:val="253"/>
        </w:trPr>
        <w:tc>
          <w:tcPr>
            <w:tcW w:w="8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(152,106)</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(148,163)</w:t>
            </w:r>
          </w:p>
        </w:tc>
      </w:tr>
      <w:tr>
        <w:trPr>
          <w:trHeight w:val="230"/>
        </w:trPr>
        <w:tc>
          <w:tcPr>
            <w:tcW w:w="8240" w:type="dxa"/>
            <w:vAlign w:val="bottom"/>
            <w:tcBorders>
              <w:bottom w:val="single" w:sz="8" w:color="CFF0FC"/>
            </w:tcBorders>
          </w:tcPr>
          <w:p>
            <w:pPr>
              <w:ind w:left="3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1,041,203</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957,432</w:t>
            </w:r>
          </w:p>
        </w:tc>
      </w:tr>
      <w:tr>
        <w:trPr>
          <w:trHeight w:val="26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2,380,794</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1,890,285</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7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1,028,784</w:t>
            </w:r>
          </w:p>
        </w:tc>
        <w:tc>
          <w:tcPr>
            <w:tcW w:w="44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603,466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362,780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88,949</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794,539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473,269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273,831</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419,769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210,626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111,425</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94,429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62,756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35,889</w:t>
            </w:r>
          </w:p>
        </w:tc>
        <w:tc>
          <w:tcPr>
            <w:tcW w:w="0" w:type="dxa"/>
            <w:vAlign w:val="bottom"/>
          </w:tcPr>
          <w:p>
            <w:pPr>
              <w:spacing w:after="0"/>
              <w:rPr>
                <w:sz w:val="1"/>
                <w:szCs w:val="1"/>
                <w:color w:val="auto"/>
              </w:rPr>
            </w:pP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487,042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293,971</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(30,434)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Interest income and other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63"/>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(20,745)</w:t>
            </w:r>
          </w:p>
        </w:tc>
        <w:tc>
          <w:tcPr>
            <w:tcW w:w="44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(16,710)</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used in calculating basic and diluted net loss per share:</w:t>
            </w:r>
          </w:p>
        </w:tc>
        <w:tc>
          <w:tcPr>
            <w:tcW w:w="3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309,048</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300,350</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139,873</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6"/>
        </w:trPr>
        <w:tc>
          <w:tcPr>
            <w:tcW w:w="67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(20,745)</w:t>
            </w:r>
          </w:p>
        </w:tc>
        <w:tc>
          <w:tcPr>
            <w:tcW w:w="44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(16,710)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Unrealized (loss) gain on available-for-sale marketable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7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w:t>
            </w:r>
          </w:p>
        </w:tc>
      </w:tr>
      <w:tr>
        <w:trPr>
          <w:trHeight w:val="26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(16,608)</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540" w:type="dxa"/>
            <w:vAlign w:val="bottom"/>
            <w:gridSpan w:val="4"/>
            <w:vMerge w:val="restart"/>
          </w:tcPr>
          <w:p>
            <w:pPr>
              <w:jc w:val="right"/>
              <w:ind w:right="437"/>
              <w:spacing w:after="0"/>
              <w:rPr>
                <w:sz w:val="20"/>
                <w:szCs w:val="20"/>
                <w:color w:val="auto"/>
              </w:rPr>
            </w:pPr>
            <w:r>
              <w:rPr>
                <w:rFonts w:ascii="Arial" w:cs="Arial" w:eastAsia="Arial" w:hAnsi="Arial"/>
                <w:sz w:val="11"/>
                <w:szCs w:val="11"/>
                <w:b w:val="1"/>
                <w:bCs w:val="1"/>
                <w:color w:val="auto"/>
              </w:rPr>
              <w:t>Convertible</w:t>
            </w:r>
          </w:p>
        </w:tc>
        <w:tc>
          <w:tcPr>
            <w:tcW w:w="80" w:type="dxa"/>
            <w:vAlign w:val="bottom"/>
          </w:tcPr>
          <w:p>
            <w:pPr>
              <w:spacing w:after="0"/>
              <w:rPr>
                <w:sz w:val="10"/>
                <w:szCs w:val="10"/>
                <w:color w:val="auto"/>
              </w:rPr>
            </w:pPr>
          </w:p>
        </w:tc>
        <w:tc>
          <w:tcPr>
            <w:tcW w:w="1540" w:type="dxa"/>
            <w:vAlign w:val="bottom"/>
            <w:gridSpan w:val="4"/>
            <w:vMerge w:val="restart"/>
          </w:tcPr>
          <w:p>
            <w:pPr>
              <w:jc w:val="right"/>
              <w:ind w:right="237"/>
              <w:spacing w:after="0"/>
              <w:rPr>
                <w:sz w:val="20"/>
                <w:szCs w:val="20"/>
                <w:color w:val="auto"/>
              </w:rPr>
            </w:pPr>
            <w:r>
              <w:rPr>
                <w:rFonts w:ascii="Arial" w:cs="Arial" w:eastAsia="Arial" w:hAnsi="Arial"/>
                <w:sz w:val="11"/>
                <w:szCs w:val="11"/>
                <w:b w:val="1"/>
                <w:bCs w:val="1"/>
                <w:color w:val="auto"/>
              </w:rPr>
              <w:t>Class A and Class B</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ind w:right="5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Additional</w:t>
            </w:r>
          </w:p>
        </w:tc>
        <w:tc>
          <w:tcPr>
            <w:tcW w:w="160" w:type="dxa"/>
            <w:vAlign w:val="bottom"/>
          </w:tcPr>
          <w:p>
            <w:pPr>
              <w:spacing w:after="0"/>
              <w:rPr>
                <w:sz w:val="3"/>
                <w:szCs w:val="3"/>
                <w:color w:val="auto"/>
              </w:rPr>
            </w:pPr>
          </w:p>
        </w:tc>
        <w:tc>
          <w:tcPr>
            <w:tcW w:w="600" w:type="dxa"/>
            <w:vAlign w:val="bottom"/>
            <w:vMerge w:val="restart"/>
          </w:tcPr>
          <w:p>
            <w:pPr>
              <w:jc w:val="center"/>
              <w:ind w:right="97"/>
              <w:spacing w:after="0" w:line="108"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restart"/>
          </w:tcPr>
          <w:p>
            <w:pPr>
              <w:jc w:val="center"/>
              <w:spacing w:after="0" w:line="108"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1540" w:type="dxa"/>
            <w:vAlign w:val="bottom"/>
            <w:gridSpan w:val="4"/>
            <w:vMerge w:val="restart"/>
          </w:tcPr>
          <w:p>
            <w:pPr>
              <w:jc w:val="right"/>
              <w:ind w:right="337"/>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tcPr>
          <w:p>
            <w:pPr>
              <w:spacing w:after="0"/>
              <w:rPr>
                <w:sz w:val="5"/>
                <w:szCs w:val="5"/>
                <w:color w:val="auto"/>
              </w:rPr>
            </w:pPr>
          </w:p>
        </w:tc>
        <w:tc>
          <w:tcPr>
            <w:tcW w:w="1540" w:type="dxa"/>
            <w:vAlign w:val="bottom"/>
            <w:gridSpan w:val="4"/>
            <w:vMerge w:val="restart"/>
          </w:tcPr>
          <w:p>
            <w:pPr>
              <w:jc w:val="right"/>
              <w:ind w:right="357"/>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5"/>
                <w:szCs w:val="5"/>
                <w:color w:val="auto"/>
              </w:rPr>
            </w:pPr>
          </w:p>
        </w:tc>
        <w:tc>
          <w:tcPr>
            <w:tcW w:w="1520" w:type="dxa"/>
            <w:vAlign w:val="bottom"/>
            <w:gridSpan w:val="4"/>
            <w:vMerge w:val="restart"/>
          </w:tcPr>
          <w:p>
            <w:pPr>
              <w:ind w:left="40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304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center"/>
              <w:ind w:right="180"/>
              <w:spacing w:after="0" w:line="88"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2"/>
            <w:vMerge w:val="restart"/>
          </w:tcPr>
          <w:p>
            <w:pPr>
              <w:ind w:left="2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80" w:type="dxa"/>
            <w:vAlign w:val="bottom"/>
          </w:tcPr>
          <w:p>
            <w:pPr>
              <w:spacing w:after="0"/>
              <w:rPr>
                <w:sz w:val="6"/>
                <w:szCs w:val="6"/>
                <w:color w:val="auto"/>
              </w:rPr>
            </w:pPr>
          </w:p>
        </w:tc>
        <w:tc>
          <w:tcPr>
            <w:tcW w:w="740" w:type="dxa"/>
            <w:vAlign w:val="bottom"/>
            <w:gridSpan w:val="2"/>
            <w:vMerge w:val="restart"/>
          </w:tcPr>
          <w:p>
            <w:pPr>
              <w:jc w:val="right"/>
              <w:spacing w:after="0" w:line="88"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jc w:val="center"/>
              <w:ind w:right="78"/>
              <w:spacing w:after="0" w:line="88"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74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17"/>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1"/>
                <w:szCs w:val="11"/>
                <w:color w:val="auto"/>
              </w:rPr>
            </w:pPr>
          </w:p>
        </w:tc>
        <w:tc>
          <w:tcPr>
            <w:tcW w:w="740" w:type="dxa"/>
            <w:vAlign w:val="bottom"/>
          </w:tcPr>
          <w:p>
            <w:pPr>
              <w:jc w:val="right"/>
              <w:ind w:right="158"/>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17"/>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1"/>
                <w:szCs w:val="11"/>
                <w:color w:val="auto"/>
              </w:rPr>
            </w:pPr>
          </w:p>
        </w:tc>
        <w:tc>
          <w:tcPr>
            <w:tcW w:w="720" w:type="dxa"/>
            <w:vAlign w:val="bottom"/>
          </w:tcPr>
          <w:p>
            <w:pPr>
              <w:jc w:val="right"/>
              <w:ind w:right="138"/>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5"/>
              </w:rPr>
              <w:t>Income (Loss)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57"/>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78"/>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304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FF0FC"/>
          </w:tcPr>
          <w:p>
            <w:pPr>
              <w:ind w:left="20"/>
              <w:spacing w:after="0" w:line="141" w:lineRule="exact"/>
              <w:rPr>
                <w:sz w:val="20"/>
                <w:szCs w:val="20"/>
                <w:color w:val="auto"/>
              </w:rPr>
            </w:pPr>
            <w:r>
              <w:rPr>
                <w:rFonts w:ascii="Arial" w:cs="Arial" w:eastAsia="Arial" w:hAnsi="Arial"/>
                <w:sz w:val="13"/>
                <w:szCs w:val="13"/>
                <w:color w:val="auto"/>
              </w:rPr>
              <w:t>BALANCE—December 31, 2018</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179,814,912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140,805</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78,180,606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30,834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(106,906)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(76,041)</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w w:val="90"/>
              </w:rPr>
              <w:t>Issuance of common stock upon exercise of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429,430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10,117,557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7,173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7,173</w:t>
            </w: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restricted shares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244,445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1,883</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19,235</w:t>
            </w:r>
          </w:p>
        </w:tc>
        <w:tc>
          <w:tcPr>
            <w:tcW w:w="0" w:type="dxa"/>
            <w:vAlign w:val="bottom"/>
          </w:tcPr>
          <w:p>
            <w:pPr>
              <w:spacing w:after="0"/>
              <w:rPr>
                <w:sz w:val="1"/>
                <w:szCs w:val="1"/>
                <w:color w:val="auto"/>
              </w:rPr>
            </w:pPr>
          </w:p>
        </w:tc>
      </w:tr>
      <w:tr>
        <w:trPr>
          <w:trHeight w:val="122"/>
        </w:trPr>
        <w:tc>
          <w:tcPr>
            <w:tcW w:w="3040" w:type="dxa"/>
            <w:vAlign w:val="bottom"/>
          </w:tcPr>
          <w:p>
            <w:pPr>
              <w:ind w:left="20"/>
              <w:spacing w:after="0" w:line="122" w:lineRule="exact"/>
              <w:rPr>
                <w:sz w:val="20"/>
                <w:szCs w:val="20"/>
                <w:color w:val="auto"/>
              </w:rPr>
            </w:pPr>
            <w:r>
              <w:rPr>
                <w:rFonts w:ascii="Arial" w:cs="Arial" w:eastAsia="Arial" w:hAnsi="Arial"/>
                <w:sz w:val="13"/>
                <w:szCs w:val="13"/>
                <w:color w:val="auto"/>
                <w:w w:val="98"/>
              </w:rPr>
              <w:t>Conversion of convertible preferred stock to common</w:t>
            </w:r>
          </w:p>
        </w:tc>
        <w:tc>
          <w:tcPr>
            <w:tcW w:w="740" w:type="dxa"/>
            <w:vAlign w:val="bottom"/>
            <w:vMerge w:val="restart"/>
          </w:tcPr>
          <w:p>
            <w:pPr>
              <w:ind w:left="220"/>
              <w:spacing w:after="0"/>
              <w:rPr>
                <w:sz w:val="20"/>
                <w:szCs w:val="20"/>
                <w:color w:val="auto"/>
              </w:rPr>
            </w:pPr>
            <w:r>
              <w:rPr>
                <w:rFonts w:ascii="Arial" w:cs="Arial" w:eastAsia="Arial" w:hAnsi="Arial"/>
                <w:sz w:val="13"/>
                <w:szCs w:val="13"/>
                <w:color w:val="auto"/>
                <w:w w:val="89"/>
              </w:rPr>
              <w:t>(803,481)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803,481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8"/>
        </w:trPr>
        <w:tc>
          <w:tcPr>
            <w:tcW w:w="3040" w:type="dxa"/>
            <w:vAlign w:val="bottom"/>
          </w:tcPr>
          <w:p>
            <w:pPr>
              <w:ind w:left="100"/>
              <w:spacing w:after="0"/>
              <w:rPr>
                <w:sz w:val="20"/>
                <w:szCs w:val="20"/>
                <w:color w:val="auto"/>
              </w:rPr>
            </w:pPr>
            <w:r>
              <w:rPr>
                <w:rFonts w:ascii="Arial" w:cs="Arial" w:eastAsia="Arial" w:hAnsi="Arial"/>
                <w:sz w:val="13"/>
                <w:szCs w:val="13"/>
                <w:color w:val="auto"/>
              </w:rPr>
              <w:t>stock in connection with third-party tender offer</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Reclassification of common stock to class A and class B</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89,101,644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(89,101,644)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w:t>
            </w: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40" w:type="dxa"/>
            <w:vAlign w:val="bottom"/>
          </w:tcPr>
          <w:p>
            <w:pPr>
              <w:ind w:left="20"/>
              <w:spacing w:after="0" w:line="122" w:lineRule="exact"/>
              <w:rPr>
                <w:sz w:val="20"/>
                <w:szCs w:val="20"/>
                <w:color w:val="auto"/>
              </w:rPr>
            </w:pPr>
            <w:r>
              <w:rPr>
                <w:rFonts w:ascii="Arial" w:cs="Arial" w:eastAsia="Arial" w:hAnsi="Arial"/>
                <w:sz w:val="13"/>
                <w:szCs w:val="13"/>
                <w:color w:val="auto"/>
              </w:rPr>
              <w:t>Conversion of convertible preferred stock to class B</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86"/>
              </w:rPr>
              <w:t>(179,011,431)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(140,752)</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179,011,431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140,750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140,752</w:t>
            </w:r>
          </w:p>
        </w:tc>
        <w:tc>
          <w:tcPr>
            <w:tcW w:w="0" w:type="dxa"/>
            <w:vAlign w:val="bottom"/>
          </w:tcPr>
          <w:p>
            <w:pPr>
              <w:spacing w:after="0"/>
              <w:rPr>
                <w:sz w:val="1"/>
                <w:szCs w:val="1"/>
                <w:color w:val="auto"/>
              </w:rPr>
            </w:pPr>
          </w:p>
        </w:tc>
      </w:tr>
      <w:tr>
        <w:trPr>
          <w:trHeight w:val="168"/>
        </w:trPr>
        <w:tc>
          <w:tcPr>
            <w:tcW w:w="3040" w:type="dxa"/>
            <w:vAlign w:val="bottom"/>
          </w:tcPr>
          <w:p>
            <w:pPr>
              <w:ind w:left="100"/>
              <w:spacing w:after="0"/>
              <w:rPr>
                <w:sz w:val="20"/>
                <w:szCs w:val="20"/>
                <w:color w:val="auto"/>
              </w:rPr>
            </w:pPr>
            <w:r>
              <w:rPr>
                <w:rFonts w:ascii="Arial" w:cs="Arial" w:eastAsia="Arial" w:hAnsi="Arial"/>
                <w:sz w:val="13"/>
                <w:szCs w:val="13"/>
                <w:color w:val="auto"/>
                <w:w w:val="94"/>
              </w:rPr>
              <w:t>common stock in connection with initial public offering</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w w:val="97"/>
              </w:rPr>
              <w:t>Issuance of class A common stock in connection with</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40" w:type="dxa"/>
            <w:vAlign w:val="bottom"/>
            <w:shd w:val="clear" w:color="auto" w:fill="CFF0FC"/>
          </w:tcPr>
          <w:p>
            <w:pPr>
              <w:ind w:left="100"/>
              <w:spacing w:after="0" w:line="122" w:lineRule="exact"/>
              <w:rPr>
                <w:sz w:val="20"/>
                <w:szCs w:val="20"/>
                <w:color w:val="auto"/>
              </w:rPr>
            </w:pPr>
            <w:r>
              <w:rPr>
                <w:rFonts w:ascii="Arial" w:cs="Arial" w:eastAsia="Arial" w:hAnsi="Arial"/>
                <w:sz w:val="13"/>
                <w:szCs w:val="13"/>
                <w:color w:val="auto"/>
                <w:w w:val="93"/>
              </w:rPr>
              <w:t>initial public offering, net of underwriting discounts and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27,600,000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705,893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705,894</w:t>
            </w: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issuance costs</w:t>
            </w: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(16,710)</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CFF0FC"/>
            </w:tcBorders>
          </w:tcPr>
          <w:p>
            <w:pPr>
              <w:ind w:left="20"/>
              <w:spacing w:after="0"/>
              <w:rPr>
                <w:sz w:val="20"/>
                <w:szCs w:val="20"/>
                <w:color w:val="auto"/>
              </w:rPr>
            </w:pPr>
            <w:r>
              <w:rPr>
                <w:rFonts w:ascii="Arial" w:cs="Arial" w:eastAsia="Arial" w:hAnsi="Arial"/>
                <w:sz w:val="13"/>
                <w:szCs w:val="13"/>
                <w:color w:val="auto"/>
              </w:rPr>
              <w:t>BALANCE—December 31, 2019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1"/>
              </w:rPr>
              <w:t>296,386,950</w:t>
            </w: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FF0FC"/>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905,821</w:t>
            </w:r>
          </w:p>
        </w:tc>
        <w:tc>
          <w:tcPr>
            <w:tcW w:w="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(123,616)</w:t>
            </w:r>
          </w:p>
        </w:tc>
        <w:tc>
          <w:tcPr>
            <w:tcW w:w="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782,341</w:t>
            </w: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0"/>
              </w:rPr>
              <w:t>Issuance of common stock upon exercise 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8,753,274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16,009</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16,009</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170,892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Issuance of restricted shares of common stock</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120,992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5,169</w:t>
            </w:r>
          </w:p>
        </w:tc>
        <w:tc>
          <w:tcPr>
            <w:tcW w:w="0" w:type="dxa"/>
            <w:vAlign w:val="bottom"/>
          </w:tcPr>
          <w:p>
            <w:pPr>
              <w:spacing w:after="0"/>
              <w:rPr>
                <w:sz w:val="1"/>
                <w:szCs w:val="1"/>
                <w:color w:val="auto"/>
              </w:rPr>
            </w:pPr>
          </w:p>
        </w:tc>
      </w:tr>
      <w:tr>
        <w:trPr>
          <w:trHeight w:val="129"/>
        </w:trPr>
        <w:tc>
          <w:tcPr>
            <w:tcW w:w="30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w w:val="96"/>
              </w:rPr>
              <w:t>Issuance of common stock under the Employee Stock</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447,955</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13,906</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13,906</w:t>
            </w: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Purchase Plan, net of shares withheld for taxes</w:t>
            </w:r>
          </w:p>
        </w:tc>
        <w:tc>
          <w:tcPr>
            <w:tcW w:w="7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77,778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77,778</w:t>
            </w: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Equity component of 2025 Convertible Senior Notes, net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173,070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173,070</w:t>
            </w:r>
          </w:p>
        </w:tc>
        <w:tc>
          <w:tcPr>
            <w:tcW w:w="0" w:type="dxa"/>
            <w:vAlign w:val="bottom"/>
          </w:tcPr>
          <w:p>
            <w:pPr>
              <w:spacing w:after="0"/>
              <w:rPr>
                <w:sz w:val="1"/>
                <w:szCs w:val="1"/>
                <w:color w:val="auto"/>
              </w:rPr>
            </w:pPr>
          </w:p>
        </w:tc>
      </w:tr>
      <w:tr>
        <w:trPr>
          <w:trHeight w:val="122"/>
        </w:trPr>
        <w:tc>
          <w:tcPr>
            <w:tcW w:w="3040" w:type="dxa"/>
            <w:vAlign w:val="bottom"/>
          </w:tcPr>
          <w:p>
            <w:pPr>
              <w:ind w:left="20"/>
              <w:spacing w:after="0" w:line="122" w:lineRule="exact"/>
              <w:rPr>
                <w:sz w:val="20"/>
                <w:szCs w:val="20"/>
                <w:color w:val="auto"/>
              </w:rPr>
            </w:pPr>
            <w:r>
              <w:rPr>
                <w:rFonts w:ascii="Arial" w:cs="Arial" w:eastAsia="Arial" w:hAnsi="Arial"/>
                <w:sz w:val="13"/>
                <w:szCs w:val="13"/>
                <w:color w:val="auto"/>
                <w:w w:val="96"/>
              </w:rPr>
              <w:t>Purchases of capped calls related to 2025 Convertible</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(89,625)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(89,625)</w:t>
            </w:r>
          </w:p>
        </w:tc>
        <w:tc>
          <w:tcPr>
            <w:tcW w:w="0" w:type="dxa"/>
            <w:vAlign w:val="bottom"/>
          </w:tcPr>
          <w:p>
            <w:pPr>
              <w:spacing w:after="0"/>
              <w:rPr>
                <w:sz w:val="1"/>
                <w:szCs w:val="1"/>
                <w:color w:val="auto"/>
              </w:rPr>
            </w:pPr>
          </w:p>
        </w:tc>
      </w:tr>
      <w:tr>
        <w:trPr>
          <w:trHeight w:val="168"/>
        </w:trPr>
        <w:tc>
          <w:tcPr>
            <w:tcW w:w="3040" w:type="dxa"/>
            <w:vAlign w:val="bottom"/>
          </w:tcPr>
          <w:p>
            <w:pPr>
              <w:ind w:left="100"/>
              <w:spacing w:after="0"/>
              <w:rPr>
                <w:sz w:val="20"/>
                <w:szCs w:val="20"/>
                <w:color w:val="auto"/>
              </w:rPr>
            </w:pPr>
            <w:r>
              <w:rPr>
                <w:rFonts w:ascii="Arial" w:cs="Arial" w:eastAsia="Arial" w:hAnsi="Arial"/>
                <w:sz w:val="13"/>
                <w:szCs w:val="13"/>
                <w:color w:val="auto"/>
              </w:rPr>
              <w:t>Senior Notes</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Change in accumulated other comprehensive income</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2,154</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(24,547)</w:t>
            </w:r>
          </w:p>
        </w:tc>
        <w:tc>
          <w:tcPr>
            <w:tcW w:w="0" w:type="dxa"/>
            <w:vAlign w:val="bottom"/>
          </w:tcPr>
          <w:p>
            <w:pPr>
              <w:spacing w:after="0"/>
              <w:rPr>
                <w:sz w:val="1"/>
                <w:szCs w:val="1"/>
                <w:color w:val="auto"/>
              </w:rPr>
            </w:pPr>
          </w:p>
        </w:tc>
      </w:tr>
      <w:tr>
        <w:trPr>
          <w:trHeight w:val="176"/>
        </w:trPr>
        <w:tc>
          <w:tcPr>
            <w:tcW w:w="3040" w:type="dxa"/>
            <w:vAlign w:val="bottom"/>
            <w:tcBorders>
              <w:top w:val="single" w:sz="8" w:color="CFF0FC"/>
            </w:tcBorders>
            <w:shd w:val="clear" w:color="auto" w:fill="CFF0FC"/>
          </w:tcPr>
          <w:p>
            <w:pPr>
              <w:ind w:left="20"/>
              <w:spacing w:after="0" w:line="147" w:lineRule="exact"/>
              <w:rPr>
                <w:sz w:val="20"/>
                <w:szCs w:val="20"/>
                <w:color w:val="auto"/>
              </w:rPr>
            </w:pPr>
            <w:r>
              <w:rPr>
                <w:rFonts w:ascii="Arial" w:cs="Arial" w:eastAsia="Arial" w:hAnsi="Arial"/>
                <w:sz w:val="13"/>
                <w:szCs w:val="13"/>
                <w:color w:val="auto"/>
              </w:rPr>
              <w:t>BALANCE—December 31, 2020</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1"/>
              </w:rPr>
              <w:t>305,880,063</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1,103,305</w:t>
            </w: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2,287</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(148,163)</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957,432</w:t>
            </w:r>
          </w:p>
        </w:tc>
        <w:tc>
          <w:tcPr>
            <w:tcW w:w="0" w:type="dxa"/>
            <w:vAlign w:val="bottom"/>
          </w:tcPr>
          <w:p>
            <w:pPr>
              <w:spacing w:after="0"/>
              <w:rPr>
                <w:sz w:val="1"/>
                <w:szCs w:val="1"/>
                <w:color w:val="auto"/>
              </w:rPr>
            </w:pPr>
          </w:p>
        </w:tc>
      </w:tr>
      <w:tr>
        <w:trPr>
          <w:trHeight w:val="169"/>
        </w:trPr>
        <w:tc>
          <w:tcPr>
            <w:tcW w:w="30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Effect of adoption of ASU 2020-06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(173,070)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(156,268)</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BALANCE—January 1, 2021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305,880,063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930,235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(131,361)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801,164</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w w:val="90"/>
              </w:rPr>
              <w:t>Issuance of common stock upon exercise of 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5,109,688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14,941</w:t>
            </w: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w:t>
            </w:r>
          </w:p>
        </w:tc>
        <w:tc>
          <w:tcPr>
            <w:tcW w:w="80" w:type="dxa"/>
            <w:vAlign w:val="bottom"/>
            <w:shd w:val="clear" w:color="auto" w:fill="CFF0FC"/>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1,483,639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0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Issuance of restricted shares of common stock from</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600,176</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57,720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57,720</w:t>
            </w: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acquisitions</w:t>
            </w:r>
          </w:p>
        </w:tc>
        <w:tc>
          <w:tcPr>
            <w:tcW w:w="7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040" w:type="dxa"/>
            <w:vAlign w:val="bottom"/>
          </w:tcPr>
          <w:p>
            <w:pPr>
              <w:ind w:left="20"/>
              <w:spacing w:after="0" w:line="122" w:lineRule="exact"/>
              <w:rPr>
                <w:sz w:val="20"/>
                <w:szCs w:val="20"/>
                <w:color w:val="auto"/>
              </w:rPr>
            </w:pPr>
            <w:r>
              <w:rPr>
                <w:rFonts w:ascii="Arial" w:cs="Arial" w:eastAsia="Arial" w:hAnsi="Arial"/>
                <w:sz w:val="13"/>
                <w:szCs w:val="13"/>
                <w:color w:val="auto"/>
                <w:w w:val="96"/>
              </w:rPr>
              <w:t>Issuance of common stock under the Employee Stock</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291,871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20,278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20,278</w:t>
            </w:r>
          </w:p>
        </w:tc>
        <w:tc>
          <w:tcPr>
            <w:tcW w:w="0" w:type="dxa"/>
            <w:vAlign w:val="bottom"/>
          </w:tcPr>
          <w:p>
            <w:pPr>
              <w:spacing w:after="0"/>
              <w:rPr>
                <w:sz w:val="1"/>
                <w:szCs w:val="1"/>
                <w:color w:val="auto"/>
              </w:rPr>
            </w:pPr>
          </w:p>
        </w:tc>
      </w:tr>
      <w:tr>
        <w:trPr>
          <w:trHeight w:val="168"/>
        </w:trPr>
        <w:tc>
          <w:tcPr>
            <w:tcW w:w="3040" w:type="dxa"/>
            <w:vAlign w:val="bottom"/>
          </w:tcPr>
          <w:p>
            <w:pPr>
              <w:ind w:left="100"/>
              <w:spacing w:after="0"/>
              <w:rPr>
                <w:sz w:val="20"/>
                <w:szCs w:val="20"/>
                <w:color w:val="auto"/>
              </w:rPr>
            </w:pPr>
            <w:r>
              <w:rPr>
                <w:rFonts w:ascii="Arial" w:cs="Arial" w:eastAsia="Arial" w:hAnsi="Arial"/>
                <w:sz w:val="13"/>
                <w:szCs w:val="13"/>
                <w:color w:val="auto"/>
              </w:rPr>
              <w:t>Purchase Plan</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173,397</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173,397</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w w:val="97"/>
              </w:rPr>
              <w:t>Change in accumulated other comprehensive income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(6,117)</w:t>
            </w:r>
          </w:p>
        </w:tc>
        <w:tc>
          <w:tcPr>
            <w:tcW w:w="0" w:type="dxa"/>
            <w:vAlign w:val="bottom"/>
          </w:tcPr>
          <w:p>
            <w:pPr>
              <w:spacing w:after="0"/>
              <w:rPr>
                <w:sz w:val="1"/>
                <w:szCs w:val="1"/>
                <w:color w:val="auto"/>
              </w:rPr>
            </w:pPr>
          </w:p>
        </w:tc>
      </w:tr>
      <w:tr>
        <w:trPr>
          <w:trHeight w:val="18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(20,745)</w:t>
            </w:r>
          </w:p>
        </w:tc>
        <w:tc>
          <w:tcPr>
            <w:tcW w:w="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(20,745)</w:t>
            </w:r>
          </w:p>
        </w:tc>
        <w:tc>
          <w:tcPr>
            <w:tcW w:w="0" w:type="dxa"/>
            <w:vAlign w:val="bottom"/>
          </w:tcPr>
          <w:p>
            <w:pPr>
              <w:spacing w:after="0"/>
              <w:rPr>
                <w:sz w:val="1"/>
                <w:szCs w:val="1"/>
                <w:color w:val="auto"/>
              </w:rPr>
            </w:pPr>
          </w:p>
        </w:tc>
      </w:tr>
      <w:tr>
        <w:trPr>
          <w:trHeight w:val="163"/>
        </w:trPr>
        <w:tc>
          <w:tcPr>
            <w:tcW w:w="3040" w:type="dxa"/>
            <w:vAlign w:val="bottom"/>
          </w:tcPr>
          <w:p>
            <w:pPr>
              <w:ind w:left="20"/>
              <w:spacing w:after="0" w:line="141" w:lineRule="exact"/>
              <w:rPr>
                <w:sz w:val="20"/>
                <w:szCs w:val="20"/>
                <w:color w:val="auto"/>
              </w:rPr>
            </w:pPr>
            <w:r>
              <w:rPr>
                <w:rFonts w:ascii="Arial" w:cs="Arial" w:eastAsia="Arial" w:hAnsi="Arial"/>
                <w:sz w:val="13"/>
                <w:szCs w:val="13"/>
                <w:color w:val="auto"/>
              </w:rPr>
              <w:t>BALANCE—December 31,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313,365,437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1,197,136</w:t>
            </w:r>
          </w:p>
        </w:tc>
        <w:tc>
          <w:tcPr>
            <w:tcW w:w="8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(152,106)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1,041,203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07" w:right="47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3"/>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0"/>
        </w:trPr>
        <w:tc>
          <w:tcPr>
            <w:tcW w:w="67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2019</w:t>
            </w:r>
          </w:p>
        </w:tc>
      </w:tr>
      <w:tr>
        <w:trPr>
          <w:trHeight w:val="161"/>
        </w:trPr>
        <w:tc>
          <w:tcPr>
            <w:tcW w:w="6700" w:type="dxa"/>
            <w:vAlign w:val="bottom"/>
            <w:shd w:val="clear" w:color="auto" w:fill="CFF0FC"/>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68"/>
        </w:trPr>
        <w:tc>
          <w:tcPr>
            <w:tcW w:w="6700" w:type="dxa"/>
            <w:vAlign w:val="bottom"/>
          </w:tcPr>
          <w:p>
            <w:pPr>
              <w:ind w:left="180"/>
              <w:spacing w:after="0"/>
              <w:rPr>
                <w:sz w:val="20"/>
                <w:szCs w:val="20"/>
                <w:color w:val="auto"/>
              </w:rPr>
            </w:pPr>
            <w:r>
              <w:rPr>
                <w:rFonts w:ascii="Arial" w:cs="Arial" w:eastAsia="Arial" w:hAnsi="Arial"/>
                <w:sz w:val="13"/>
                <w:szCs w:val="13"/>
                <w:color w:val="auto"/>
              </w:rPr>
              <w:t>Net loss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(20,745)</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(24,547)</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(16,710)</w:t>
            </w:r>
          </w:p>
        </w:tc>
      </w:tr>
      <w:tr>
        <w:trPr>
          <w:trHeight w:val="183"/>
        </w:trPr>
        <w:tc>
          <w:tcPr>
            <w:tcW w:w="67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68"/>
        </w:trPr>
        <w:tc>
          <w:tcPr>
            <w:tcW w:w="6700" w:type="dxa"/>
            <w:vAlign w:val="bottom"/>
          </w:tcPr>
          <w:p>
            <w:pPr>
              <w:ind w:left="52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22,938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12,370</w:t>
            </w:r>
          </w:p>
        </w:tc>
      </w:tr>
      <w:tr>
        <w:trPr>
          <w:trHeight w:val="183"/>
        </w:trPr>
        <w:tc>
          <w:tcPr>
            <w:tcW w:w="6700" w:type="dxa"/>
            <w:vAlign w:val="bottom"/>
            <w:shd w:val="clear" w:color="auto" w:fill="CFF0FC"/>
          </w:tcPr>
          <w:p>
            <w:pPr>
              <w:ind w:left="520"/>
              <w:spacing w:after="0"/>
              <w:rPr>
                <w:sz w:val="20"/>
                <w:szCs w:val="20"/>
                <w:color w:val="auto"/>
              </w:rPr>
            </w:pPr>
            <w:r>
              <w:rPr>
                <w:rFonts w:ascii="Arial" w:cs="Arial" w:eastAsia="Arial" w:hAnsi="Arial"/>
                <w:sz w:val="13"/>
                <w:szCs w:val="13"/>
                <w:color w:val="auto"/>
              </w:rPr>
              <w:t>Amortization of discounts or premiums on marketable securities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16,236</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9,753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r>
      <w:tr>
        <w:trPr>
          <w:trHeight w:val="168"/>
        </w:trPr>
        <w:tc>
          <w:tcPr>
            <w:tcW w:w="6700" w:type="dxa"/>
            <w:vAlign w:val="bottom"/>
          </w:tcPr>
          <w:p>
            <w:pPr>
              <w:ind w:left="520"/>
              <w:spacing w:after="0"/>
              <w:rPr>
                <w:sz w:val="20"/>
                <w:szCs w:val="20"/>
                <w:color w:val="auto"/>
              </w:rPr>
            </w:pPr>
            <w:r>
              <w:rPr>
                <w:rFonts w:ascii="Arial" w:cs="Arial" w:eastAsia="Arial" w:hAnsi="Arial"/>
                <w:sz w:val="13"/>
                <w:szCs w:val="13"/>
                <w:color w:val="auto"/>
              </w:rPr>
              <w:t>Amortization of debt discount and issuance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18,727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00" w:type="dxa"/>
            <w:vAlign w:val="bottom"/>
            <w:shd w:val="clear" w:color="auto" w:fill="CFF0FC"/>
          </w:tcPr>
          <w:p>
            <w:pPr>
              <w:ind w:left="520"/>
              <w:spacing w:after="0"/>
              <w:rPr>
                <w:sz w:val="20"/>
                <w:szCs w:val="20"/>
                <w:color w:val="auto"/>
              </w:rPr>
            </w:pPr>
            <w:r>
              <w:rPr>
                <w:rFonts w:ascii="Arial" w:cs="Arial" w:eastAsia="Arial" w:hAnsi="Arial"/>
                <w:sz w:val="13"/>
                <w:szCs w:val="13"/>
                <w:color w:val="auto"/>
              </w:rPr>
              <w:t>Amortization of deferred contract costs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17,866</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10,447</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5,400</w:t>
            </w:r>
          </w:p>
        </w:tc>
      </w:tr>
      <w:tr>
        <w:trPr>
          <w:trHeight w:val="168"/>
        </w:trPr>
        <w:tc>
          <w:tcPr>
            <w:tcW w:w="6700" w:type="dxa"/>
            <w:vAlign w:val="bottom"/>
          </w:tcPr>
          <w:p>
            <w:pPr>
              <w:ind w:left="520"/>
              <w:spacing w:after="0"/>
              <w:rPr>
                <w:sz w:val="20"/>
                <w:szCs w:val="20"/>
                <w:color w:val="auto"/>
              </w:rPr>
            </w:pPr>
            <w:r>
              <w:rPr>
                <w:rFonts w:ascii="Arial" w:cs="Arial" w:eastAsia="Arial" w:hAnsi="Arial"/>
                <w:sz w:val="13"/>
                <w:szCs w:val="13"/>
                <w:color w:val="auto"/>
              </w:rPr>
              <w:t>Stock-based compensation, net of amounts capitalized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163,737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74,374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19,034</w:t>
            </w:r>
          </w:p>
        </w:tc>
      </w:tr>
      <w:tr>
        <w:trPr>
          <w:trHeight w:val="183"/>
        </w:trPr>
        <w:tc>
          <w:tcPr>
            <w:tcW w:w="6700" w:type="dxa"/>
            <w:vAlign w:val="bottom"/>
            <w:shd w:val="clear" w:color="auto" w:fill="CFF0FC"/>
          </w:tcPr>
          <w:p>
            <w:pPr>
              <w:ind w:left="520"/>
              <w:spacing w:after="0"/>
              <w:rPr>
                <w:sz w:val="20"/>
                <w:szCs w:val="20"/>
                <w:color w:val="auto"/>
              </w:rPr>
            </w:pPr>
            <w:r>
              <w:rPr>
                <w:rFonts w:ascii="Arial" w:cs="Arial" w:eastAsia="Arial" w:hAnsi="Arial"/>
                <w:sz w:val="13"/>
                <w:szCs w:val="13"/>
                <w:color w:val="auto"/>
              </w:rPr>
              <w:t>Non-cash lease expense</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17,201</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14,060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11,763</w:t>
            </w:r>
          </w:p>
        </w:tc>
      </w:tr>
      <w:tr>
        <w:trPr>
          <w:trHeight w:val="168"/>
        </w:trPr>
        <w:tc>
          <w:tcPr>
            <w:tcW w:w="6700" w:type="dxa"/>
            <w:vAlign w:val="bottom"/>
          </w:tcPr>
          <w:p>
            <w:pPr>
              <w:ind w:left="520"/>
              <w:spacing w:after="0"/>
              <w:rPr>
                <w:sz w:val="20"/>
                <w:szCs w:val="20"/>
                <w:color w:val="auto"/>
              </w:rPr>
            </w:pPr>
            <w:r>
              <w:rPr>
                <w:rFonts w:ascii="Arial" w:cs="Arial" w:eastAsia="Arial" w:hAnsi="Arial"/>
                <w:sz w:val="13"/>
                <w:szCs w:val="13"/>
                <w:color w:val="auto"/>
              </w:rPr>
              <w:t>Allowance for credit losses on accounts receivable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1,195</w:t>
            </w:r>
          </w:p>
        </w:tc>
      </w:tr>
      <w:tr>
        <w:trPr>
          <w:trHeight w:val="183"/>
        </w:trPr>
        <w:tc>
          <w:tcPr>
            <w:tcW w:w="6700" w:type="dxa"/>
            <w:vAlign w:val="bottom"/>
            <w:shd w:val="clear" w:color="auto" w:fill="CFF0FC"/>
          </w:tcPr>
          <w:p>
            <w:pPr>
              <w:ind w:left="520"/>
              <w:spacing w:after="0"/>
              <w:rPr>
                <w:sz w:val="20"/>
                <w:szCs w:val="20"/>
                <w:color w:val="auto"/>
              </w:rPr>
            </w:pPr>
            <w:r>
              <w:rPr>
                <w:rFonts w:ascii="Arial" w:cs="Arial" w:eastAsia="Arial" w:hAnsi="Arial"/>
                <w:sz w:val="13"/>
                <w:szCs w:val="13"/>
                <w:color w:val="auto"/>
              </w:rPr>
              <w:t>Loss on disposal of property and equipment</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708</w:t>
            </w:r>
          </w:p>
        </w:tc>
      </w:tr>
      <w:tr>
        <w:trPr>
          <w:trHeight w:val="168"/>
        </w:trPr>
        <w:tc>
          <w:tcPr>
            <w:tcW w:w="6700" w:type="dxa"/>
            <w:vAlign w:val="bottom"/>
          </w:tcPr>
          <w:p>
            <w:pPr>
              <w:ind w:left="52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00" w:type="dxa"/>
            <w:vAlign w:val="bottom"/>
            <w:shd w:val="clear" w:color="auto" w:fill="CFF0FC"/>
          </w:tcPr>
          <w:p>
            <w:pPr>
              <w:ind w:left="840"/>
              <w:spacing w:after="0"/>
              <w:rPr>
                <w:sz w:val="20"/>
                <w:szCs w:val="20"/>
                <w:color w:val="auto"/>
              </w:rPr>
            </w:pPr>
            <w:r>
              <w:rPr>
                <w:rFonts w:ascii="Arial" w:cs="Arial" w:eastAsia="Arial" w:hAnsi="Arial"/>
                <w:sz w:val="13"/>
                <w:szCs w:val="13"/>
                <w:color w:val="auto"/>
              </w:rPr>
              <w:t>Accounts receivable, net</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(107,112)</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(64,248)</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(47,510)</w:t>
            </w:r>
          </w:p>
        </w:tc>
      </w:tr>
      <w:tr>
        <w:trPr>
          <w:trHeight w:val="168"/>
        </w:trPr>
        <w:tc>
          <w:tcPr>
            <w:tcW w:w="6700" w:type="dxa"/>
            <w:vAlign w:val="bottom"/>
          </w:tcPr>
          <w:p>
            <w:pPr>
              <w:ind w:left="840"/>
              <w:spacing w:after="0"/>
              <w:rPr>
                <w:sz w:val="20"/>
                <w:szCs w:val="20"/>
                <w:color w:val="auto"/>
              </w:rPr>
            </w:pPr>
            <w:r>
              <w:rPr>
                <w:rFonts w:ascii="Arial" w:cs="Arial" w:eastAsia="Arial" w:hAnsi="Arial"/>
                <w:sz w:val="13"/>
                <w:szCs w:val="13"/>
                <w:color w:val="auto"/>
              </w:rPr>
              <w:t>Deferred contract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(42,775)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(25,080)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(20,146)</w:t>
            </w:r>
          </w:p>
        </w:tc>
      </w:tr>
      <w:tr>
        <w:trPr>
          <w:trHeight w:val="183"/>
        </w:trPr>
        <w:tc>
          <w:tcPr>
            <w:tcW w:w="6700" w:type="dxa"/>
            <w:vAlign w:val="bottom"/>
            <w:shd w:val="clear" w:color="auto" w:fill="CFF0FC"/>
          </w:tcPr>
          <w:p>
            <w:pPr>
              <w:ind w:left="84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(4,403)</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(10,046)</w:t>
            </w:r>
          </w:p>
        </w:tc>
      </w:tr>
      <w:tr>
        <w:trPr>
          <w:trHeight w:val="168"/>
        </w:trPr>
        <w:tc>
          <w:tcPr>
            <w:tcW w:w="6700" w:type="dxa"/>
            <w:vAlign w:val="bottom"/>
          </w:tcPr>
          <w:p>
            <w:pPr>
              <w:ind w:left="840"/>
              <w:spacing w:after="0"/>
              <w:rPr>
                <w:sz w:val="20"/>
                <w:szCs w:val="20"/>
                <w:color w:val="auto"/>
              </w:rPr>
            </w:pPr>
            <w:r>
              <w:rPr>
                <w:rFonts w:ascii="Arial" w:cs="Arial" w:eastAsia="Arial" w:hAnsi="Arial"/>
                <w:sz w:val="13"/>
                <w:szCs w:val="13"/>
                <w:color w:val="auto"/>
              </w:rPr>
              <w:t>Other assets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(8,486)</w:t>
            </w:r>
          </w:p>
        </w:tc>
      </w:tr>
      <w:tr>
        <w:trPr>
          <w:trHeight w:val="183"/>
        </w:trPr>
        <w:tc>
          <w:tcPr>
            <w:tcW w:w="6700" w:type="dxa"/>
            <w:vAlign w:val="bottom"/>
            <w:shd w:val="clear" w:color="auto" w:fill="CFF0FC"/>
          </w:tcPr>
          <w:p>
            <w:pPr>
              <w:ind w:left="84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3,078</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6,539</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2,484</w:t>
            </w:r>
          </w:p>
        </w:tc>
      </w:tr>
      <w:tr>
        <w:trPr>
          <w:trHeight w:val="168"/>
        </w:trPr>
        <w:tc>
          <w:tcPr>
            <w:tcW w:w="6700" w:type="dxa"/>
            <w:vAlign w:val="bottom"/>
          </w:tcPr>
          <w:p>
            <w:pPr>
              <w:ind w:left="840"/>
              <w:spacing w:after="0"/>
              <w:rPr>
                <w:sz w:val="20"/>
                <w:szCs w:val="20"/>
                <w:color w:val="auto"/>
              </w:rPr>
            </w:pPr>
            <w:r>
              <w:rPr>
                <w:rFonts w:ascii="Arial" w:cs="Arial" w:eastAsia="Arial" w:hAnsi="Arial"/>
                <w:sz w:val="13"/>
                <w:szCs w:val="13"/>
                <w:color w:val="auto"/>
              </w:rPr>
              <w:t>Accrued expenses and other liabilities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37,270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6,376</w:t>
            </w:r>
          </w:p>
        </w:tc>
      </w:tr>
      <w:tr>
        <w:trPr>
          <w:trHeight w:val="183"/>
        </w:trPr>
        <w:tc>
          <w:tcPr>
            <w:tcW w:w="6700" w:type="dxa"/>
            <w:vAlign w:val="bottom"/>
            <w:shd w:val="clear" w:color="auto" w:fill="CFF0FC"/>
          </w:tcPr>
          <w:p>
            <w:pPr>
              <w:ind w:left="840"/>
              <w:spacing w:after="0"/>
              <w:rPr>
                <w:sz w:val="20"/>
                <w:szCs w:val="20"/>
                <w:color w:val="auto"/>
              </w:rPr>
            </w:pPr>
            <w:r>
              <w:rPr>
                <w:rFonts w:ascii="Arial" w:cs="Arial" w:eastAsia="Arial" w:hAnsi="Arial"/>
                <w:sz w:val="13"/>
                <w:szCs w:val="13"/>
                <w:color w:val="auto"/>
              </w:rPr>
              <w:t>Deferred revenue</w:t>
            </w: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176,281</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69,788</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67,790</w:t>
            </w:r>
          </w:p>
        </w:tc>
      </w:tr>
      <w:tr>
        <w:trPr>
          <w:trHeight w:val="163"/>
        </w:trPr>
        <w:tc>
          <w:tcPr>
            <w:tcW w:w="6700" w:type="dxa"/>
            <w:vAlign w:val="bottom"/>
            <w:tcBorders>
              <w:bottom w:val="single" w:sz="8" w:color="CCEEFF"/>
            </w:tcBorders>
          </w:tcPr>
          <w:p>
            <w:pPr>
              <w:ind w:left="100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286,545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109,091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24,234</w:t>
            </w:r>
          </w:p>
        </w:tc>
      </w:tr>
      <w:tr>
        <w:trPr>
          <w:trHeight w:val="81"/>
        </w:trPr>
        <w:tc>
          <w:tcPr>
            <w:tcW w:w="67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68"/>
        </w:trPr>
        <w:tc>
          <w:tcPr>
            <w:tcW w:w="670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Purchases of marketable securities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(1,125,519)</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(1,794,562)</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(176,639)</w:t>
            </w:r>
          </w:p>
        </w:tc>
      </w:tr>
      <w:tr>
        <w:trPr>
          <w:trHeight w:val="168"/>
        </w:trPr>
        <w:tc>
          <w:tcPr>
            <w:tcW w:w="6700" w:type="dxa"/>
            <w:vAlign w:val="bottom"/>
          </w:tcPr>
          <w:p>
            <w:pPr>
              <w:ind w:left="300"/>
              <w:spacing w:after="0"/>
              <w:rPr>
                <w:sz w:val="20"/>
                <w:szCs w:val="20"/>
                <w:color w:val="auto"/>
              </w:rPr>
            </w:pPr>
            <w:r>
              <w:rPr>
                <w:rFonts w:ascii="Arial" w:cs="Arial" w:eastAsia="Arial" w:hAnsi="Arial"/>
                <w:sz w:val="13"/>
                <w:szCs w:val="13"/>
                <w:color w:val="auto"/>
              </w:rPr>
              <w:t>Maturities of marketable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1,046,560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506,554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Proceeds from sale of marketable securities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67,749</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163,630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700" w:type="dxa"/>
            <w:vAlign w:val="bottom"/>
          </w:tcPr>
          <w:p>
            <w:pPr>
              <w:ind w:left="300"/>
              <w:spacing w:after="0"/>
              <w:rPr>
                <w:sz w:val="20"/>
                <w:szCs w:val="20"/>
                <w:color w:val="auto"/>
              </w:rPr>
            </w:pPr>
            <w:r>
              <w:rPr>
                <w:rFonts w:ascii="Arial" w:cs="Arial" w:eastAsia="Arial" w:hAnsi="Arial"/>
                <w:sz w:val="13"/>
                <w:szCs w:val="13"/>
                <w:color w:val="auto"/>
              </w:rPr>
              <w:t>Purchases of property and equipment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(13,315)</w:t>
            </w:r>
          </w:p>
        </w:tc>
      </w:tr>
      <w:tr>
        <w:trPr>
          <w:trHeight w:val="183"/>
        </w:trPr>
        <w:tc>
          <w:tcPr>
            <w:tcW w:w="6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Capitalized software development costs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(26,069)</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(20,468)</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(10,128)</w:t>
            </w:r>
          </w:p>
        </w:tc>
      </w:tr>
      <w:tr>
        <w:trPr>
          <w:trHeight w:val="169"/>
        </w:trPr>
        <w:tc>
          <w:tcPr>
            <w:tcW w:w="6700" w:type="dxa"/>
            <w:vAlign w:val="bottom"/>
            <w:tcBorders>
              <w:bottom w:val="single" w:sz="8" w:color="CFF0FC"/>
            </w:tcBorders>
          </w:tcPr>
          <w:p>
            <w:pPr>
              <w:ind w:left="300"/>
              <w:spacing w:after="0"/>
              <w:rPr>
                <w:sz w:val="20"/>
                <w:szCs w:val="20"/>
                <w:color w:val="auto"/>
              </w:rPr>
            </w:pPr>
            <w:r>
              <w:rPr>
                <w:rFonts w:ascii="Arial" w:cs="Arial" w:eastAsia="Arial" w:hAnsi="Arial"/>
                <w:sz w:val="13"/>
                <w:szCs w:val="13"/>
                <w:color w:val="auto"/>
              </w:rPr>
              <w:t>Cash paid for acquisition of businesses; net of cash acquired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(226,505)</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(2,363)</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w:t>
            </w:r>
          </w:p>
        </w:tc>
      </w:tr>
      <w:tr>
        <w:trPr>
          <w:trHeight w:val="169"/>
        </w:trPr>
        <w:tc>
          <w:tcPr>
            <w:tcW w:w="6700" w:type="dxa"/>
            <w:vAlign w:val="bottom"/>
            <w:shd w:val="clear" w:color="auto" w:fill="CFF0FC"/>
          </w:tcPr>
          <w:p>
            <w:pPr>
              <w:ind w:left="1000"/>
              <w:spacing w:after="0" w:line="147" w:lineRule="exact"/>
              <w:rPr>
                <w:sz w:val="20"/>
                <w:szCs w:val="20"/>
                <w:color w:val="auto"/>
              </w:rPr>
            </w:pPr>
            <w:r>
              <w:rPr>
                <w:rFonts w:ascii="Arial" w:cs="Arial" w:eastAsia="Arial" w:hAnsi="Arial"/>
                <w:sz w:val="13"/>
                <w:szCs w:val="13"/>
                <w:color w:val="auto"/>
              </w:rPr>
              <w:t>Net cash used in investing activities</w:t>
            </w: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(273,740)</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(1,152,624)</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(202,220)</w:t>
            </w:r>
          </w:p>
        </w:tc>
      </w:tr>
      <w:tr>
        <w:trPr>
          <w:trHeight w:val="81"/>
        </w:trPr>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FINANCING ACTIVITIES: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14,907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7,899</w:t>
            </w:r>
          </w:p>
        </w:tc>
      </w:tr>
      <w:tr>
        <w:trPr>
          <w:trHeight w:val="183"/>
        </w:trPr>
        <w:tc>
          <w:tcPr>
            <w:tcW w:w="6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Proceeds from initial public offering, net of underwriting discounts and commissions and other offering costs</w:t>
            </w: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706,317</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20,278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15,170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Proceeds from issuance of convertible senior notes, net of issuance costs</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730,207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Purchase of capped call related to convertible senior notes</w:t>
            </w: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(89,625)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6700" w:type="dxa"/>
            <w:vAlign w:val="bottom"/>
            <w:tcBorders>
              <w:bottom w:val="single" w:sz="8" w:color="CCEEFF"/>
            </w:tcBorders>
          </w:tcPr>
          <w:p>
            <w:pPr>
              <w:ind w:left="112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34,940</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670,276</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714,216</w:t>
            </w:r>
          </w:p>
        </w:tc>
      </w:tr>
      <w:tr>
        <w:trPr>
          <w:trHeight w:val="81"/>
        </w:trPr>
        <w:tc>
          <w:tcPr>
            <w:tcW w:w="67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68"/>
        </w:trPr>
        <w:tc>
          <w:tcPr>
            <w:tcW w:w="6700" w:type="dxa"/>
            <w:vAlign w:val="bottom"/>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02"/>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68"/>
        </w:trPr>
        <w:tc>
          <w:tcPr>
            <w:tcW w:w="6700" w:type="dxa"/>
            <w:vAlign w:val="bottom"/>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45,752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(372,478)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536,209</w:t>
            </w:r>
          </w:p>
        </w:tc>
      </w:tr>
      <w:tr>
        <w:trPr>
          <w:trHeight w:val="183"/>
        </w:trPr>
        <w:tc>
          <w:tcPr>
            <w:tcW w:w="6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228,711</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601,189</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64,980</w:t>
            </w:r>
          </w:p>
        </w:tc>
      </w:tr>
      <w:tr>
        <w:trPr>
          <w:trHeight w:val="163"/>
        </w:trPr>
        <w:tc>
          <w:tcPr>
            <w:tcW w:w="6700" w:type="dxa"/>
            <w:vAlign w:val="bottom"/>
          </w:tcPr>
          <w:p>
            <w:pPr>
              <w:ind w:left="20"/>
              <w:spacing w:after="0" w:line="141" w:lineRule="exact"/>
              <w:rPr>
                <w:sz w:val="20"/>
                <w:szCs w:val="20"/>
                <w:color w:val="auto"/>
              </w:rPr>
            </w:pPr>
            <w:r>
              <w:rPr>
                <w:rFonts w:ascii="Arial" w:cs="Arial" w:eastAsia="Arial" w:hAnsi="Arial"/>
                <w:sz w:val="13"/>
                <w:szCs w:val="13"/>
                <w:color w:val="auto"/>
              </w:rPr>
              <w:t>CASH, CASH EQUIVALENTS AND RESTRICTED CASH —End of period</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274,463</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228,711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601,189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8"/>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168"/>
        </w:trPr>
        <w:tc>
          <w:tcPr>
            <w:tcW w:w="6700" w:type="dxa"/>
            <w:vAlign w:val="bottom"/>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income taxes</w:t>
            </w: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1,486</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w:t>
            </w:r>
          </w:p>
        </w:tc>
      </w:tr>
      <w:tr>
        <w:trPr>
          <w:trHeight w:val="94"/>
        </w:trPr>
        <w:tc>
          <w:tcPr>
            <w:tcW w:w="6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6"/>
        </w:trPr>
        <w:tc>
          <w:tcPr>
            <w:tcW w:w="6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DISCLOSURE OF NON-CASH INVESTING AND FINANCING ACTIVITIES:</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Accrued property and equipment purchases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1,746</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315</w:t>
            </w:r>
          </w:p>
        </w:tc>
      </w:tr>
      <w:tr>
        <w:trPr>
          <w:trHeight w:val="183"/>
        </w:trPr>
        <w:tc>
          <w:tcPr>
            <w:tcW w:w="6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3,404</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Vesting of early exercised options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1,883</w:t>
            </w:r>
          </w:p>
        </w:tc>
      </w:tr>
      <w:tr>
        <w:trPr>
          <w:trHeight w:val="183"/>
        </w:trPr>
        <w:tc>
          <w:tcPr>
            <w:tcW w:w="6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Costs related to initial public offering included in accounts payable and accrued liabilities</w:t>
            </w: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57,720</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5,169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Acquisition holdback</w:t>
            </w: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bl>
    <w:p>
      <w:pPr>
        <w:spacing w:after="0" w:line="94" w:lineRule="exact"/>
        <w:rPr>
          <w:sz w:val="20"/>
          <w:szCs w:val="20"/>
          <w:color w:val="auto"/>
        </w:rPr>
      </w:pPr>
    </w:p>
    <w:p>
      <w:pPr>
        <w:ind w:left="100" w:right="140" w:hanging="80"/>
        <w:spacing w:after="0" w:line="226" w:lineRule="auto"/>
        <w:rPr>
          <w:sz w:val="20"/>
          <w:szCs w:val="20"/>
          <w:color w:val="auto"/>
        </w:rPr>
      </w:pPr>
      <w:r>
        <w:rPr>
          <w:rFonts w:ascii="Arial" w:cs="Arial" w:eastAsia="Arial" w:hAnsi="Arial"/>
          <w:sz w:val="13"/>
          <w:szCs w:val="13"/>
          <w:color w:val="auto"/>
        </w:rPr>
        <w:t>RECONCILIATION OF CASH, CASH EQUIVALENTS AND RESTRICTED CASH WITHIN THE CONSOLIDATED BALANCE SHEETS TO THE AMOUNTS SHOW IN THE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1517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Cash and cash equivalents</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270,973</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224,927</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597,297</w:t>
            </w:r>
          </w:p>
        </w:tc>
      </w:tr>
      <w:tr>
        <w:trPr>
          <w:trHeight w:val="184"/>
        </w:trPr>
        <w:tc>
          <w:tcPr>
            <w:tcW w:w="6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Restricted cash – Including amounts in prepaid expense and other current assets and other assets</w:t>
            </w:r>
          </w:p>
        </w:tc>
        <w:tc>
          <w:tcPr>
            <w:tcW w:w="5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3,490</w:t>
            </w:r>
          </w:p>
        </w:tc>
        <w:tc>
          <w:tcPr>
            <w:tcW w:w="100" w:type="dxa"/>
            <w:vAlign w:val="bottom"/>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3,784</w:t>
            </w:r>
          </w:p>
        </w:tc>
        <w:tc>
          <w:tcPr>
            <w:tcW w:w="100" w:type="dxa"/>
            <w:vAlign w:val="bottom"/>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3,892</w:t>
            </w:r>
          </w:p>
        </w:tc>
      </w:tr>
      <w:tr>
        <w:trPr>
          <w:trHeight w:val="163"/>
        </w:trPr>
        <w:tc>
          <w:tcPr>
            <w:tcW w:w="6700" w:type="dxa"/>
            <w:vAlign w:val="bottom"/>
          </w:tcPr>
          <w:p>
            <w:pPr>
              <w:ind w:left="360"/>
              <w:spacing w:after="0" w:line="141" w:lineRule="exact"/>
              <w:rPr>
                <w:sz w:val="20"/>
                <w:szCs w:val="20"/>
                <w:color w:val="auto"/>
              </w:rPr>
            </w:pPr>
            <w:r>
              <w:rPr>
                <w:rFonts w:ascii="Arial" w:cs="Arial" w:eastAsia="Arial" w:hAnsi="Arial"/>
                <w:sz w:val="13"/>
                <w:szCs w:val="13"/>
                <w:color w:val="auto"/>
              </w:rPr>
              <w:t>Total cash, cash equivalents and restricted cash</w:t>
            </w: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274,463</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228,711</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601,189</w:t>
            </w:r>
          </w:p>
        </w:tc>
      </w:tr>
      <w:tr>
        <w:trPr>
          <w:trHeight w:val="27"/>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231F20"/>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The accompanying consolidated financial statements have been prepared in accordance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The consolidated financial statements include the accounts of Datadog, Inc. and its wholly 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231F20"/>
        </w:rPr>
        <w:t>On September 23, 2019, the Company completed its initial public offering (“IPO”), in which the Company issued and sold 24,000,000 shares of its Class A common stock at a public offering price of $27.00 per share, which resulted in net proceeds of $615.6 million after deducting underwriting discounts and commissions. On September 25, 2019, the underwriters exercised their option to purchase an additional 3,600,000 shares of Class A common stock at $27.00 per share, resulting in additional proceeds of $92.3 million, net of underwriters’ discounts and commissions. Immediately prior to the closing of the IPO, all shares of common stock then outstanding were reclassified as Class B common stock and all shares of the convertible preferred stock then outstanding automatically converted into 179,011,431 shares of Class B common stock.</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231F20"/>
        </w:rPr>
        <w:t>The Company incurred $2.0 million of net offering costs in connection with the IPO which were recorded as an offset against IPO proceeds.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Split and Authorized Shares</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On September 6, 2019, the Board and stockholders approved an amended and restated certificate of incorporation of the Company effecting a 3-for-1 stock split of the Company’s issued and outstanding shares of common stock and convertible preferred stock, and an increase to the authorized shares of the Company’s common stock and convertible preferred stock to 380,000,000 shares and 179,814,912 shares, respectively. The split was effected on September 6, 2019 and without any change in the par value per share.</w:t>
      </w:r>
    </w:p>
    <w:p>
      <w:pPr>
        <w:spacing w:after="0" w:line="18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All information related to the Company’s common stock, convertible preferred stock and stock awards has been retroactively adjusted to give effect to 3-for-1 stock split on September 6, 2019.</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On September 23, 2019, an amended and restated certificate of incorporation of the Company was filed immediately prior to the closing of the IPO authorizing an aggregate of 2,330,000,000 shares of capital stock of the Company, including 2,000,000,000 shares of Class A common stock, 310,000,000 shares of Class B common stock and 20,000,000 shares of preferred stock.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231F20"/>
        </w:rPr>
        <w:t>Segment Information</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231F20"/>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231F20"/>
        </w:rPr>
        <w:t xml:space="preserve">The preparation of consolidated financial statements in conformity with GAAP requires management to make estimates and assumptions that affect the amounts reported in the consolidated financial statements and accompanying notes. Such estimates include the fair value of marketable securities, </w:t>
      </w:r>
      <w:r>
        <w:rPr>
          <w:rFonts w:ascii="Arial" w:cs="Arial" w:eastAsia="Arial" w:hAnsi="Arial"/>
          <w:sz w:val="17"/>
          <w:szCs w:val="17"/>
          <w:color w:val="000000"/>
        </w:rPr>
        <w:t>the allowance for credit losses</w:t>
      </w:r>
      <w:r>
        <w:rPr>
          <w:rFonts w:ascii="Arial" w:cs="Arial" w:eastAsia="Arial" w:hAnsi="Arial"/>
          <w:sz w:val="17"/>
          <w:szCs w:val="17"/>
          <w:color w:val="231F20"/>
        </w:rPr>
        <w:t>, the fair value of acquired assets and assumed liabilities from business combinations, useful lives of property, equipment,</w:t>
      </w:r>
      <w:r>
        <w:rPr>
          <w:rFonts w:ascii="Arial" w:cs="Arial" w:eastAsia="Arial" w:hAnsi="Arial"/>
          <w:sz w:val="17"/>
          <w:szCs w:val="17"/>
          <w:color w:val="000000"/>
        </w:rPr>
        <w:t xml:space="preserve"> </w:t>
      </w:r>
      <w:r>
        <w:rPr>
          <w:rFonts w:ascii="Arial" w:cs="Arial" w:eastAsia="Arial" w:hAnsi="Arial"/>
          <w:sz w:val="17"/>
          <w:szCs w:val="17"/>
          <w:color w:val="231F20"/>
        </w:rPr>
        <w:t xml:space="preserve">software, and finite lived intangibles, stock-based compensation, </w:t>
      </w:r>
      <w:r>
        <w:rPr>
          <w:rFonts w:ascii="Arial" w:cs="Arial" w:eastAsia="Arial" w:hAnsi="Arial"/>
          <w:sz w:val="17"/>
          <w:szCs w:val="17"/>
          <w:color w:val="000000"/>
        </w:rPr>
        <w:t>stock-based compensation including the determination of the fair value of the Company’s</w:t>
      </w:r>
      <w:r>
        <w:rPr>
          <w:rFonts w:ascii="Arial" w:cs="Arial" w:eastAsia="Arial" w:hAnsi="Arial"/>
          <w:sz w:val="17"/>
          <w:szCs w:val="17"/>
          <w:color w:val="231F20"/>
        </w:rPr>
        <w:t xml:space="preserve"> </w:t>
      </w:r>
      <w:r>
        <w:rPr>
          <w:rFonts w:ascii="Arial" w:cs="Arial" w:eastAsia="Arial" w:hAnsi="Arial"/>
          <w:sz w:val="17"/>
          <w:szCs w:val="17"/>
          <w:color w:val="000000"/>
        </w:rPr>
        <w:t xml:space="preserve">stock prior to its IPO, </w:t>
      </w:r>
      <w:r>
        <w:rPr>
          <w:rFonts w:ascii="Arial" w:cs="Arial" w:eastAsia="Arial" w:hAnsi="Arial"/>
          <w:sz w:val="17"/>
          <w:szCs w:val="17"/>
          <w:color w:val="231F20"/>
        </w:rPr>
        <w:t>fair value of common stock and redeemable convertible preferred stock prior to the IPO, valuation of long-lived assets and their</w:t>
      </w:r>
      <w:r>
        <w:rPr>
          <w:rFonts w:ascii="Arial" w:cs="Arial" w:eastAsia="Arial" w:hAnsi="Arial"/>
          <w:sz w:val="17"/>
          <w:szCs w:val="17"/>
          <w:color w:val="000000"/>
        </w:rPr>
        <w:t xml:space="preserve"> </w:t>
      </w:r>
      <w:r>
        <w:rPr>
          <w:rFonts w:ascii="Arial" w:cs="Arial" w:eastAsia="Arial" w:hAnsi="Arial"/>
          <w:sz w:val="17"/>
          <w:szCs w:val="17"/>
          <w:color w:val="231F20"/>
        </w:rPr>
        <w:t xml:space="preserve">recoverability, including goodwill, the incremental borrowing rate for operating leases, estimated expected period of benefit period for deferred contract costs, </w:t>
      </w:r>
      <w:r>
        <w:rPr>
          <w:rFonts w:ascii="Arial" w:cs="Arial" w:eastAsia="Arial" w:hAnsi="Arial"/>
          <w:sz w:val="17"/>
          <w:szCs w:val="17"/>
          <w:color w:val="000000"/>
        </w:rPr>
        <w:t>fair value of the liability component of the convertible debt,</w:t>
      </w:r>
      <w:r>
        <w:rPr>
          <w:rFonts w:ascii="Arial" w:cs="Arial" w:eastAsia="Arial" w:hAnsi="Arial"/>
          <w:sz w:val="17"/>
          <w:szCs w:val="17"/>
          <w:color w:val="231F20"/>
        </w:rPr>
        <w:t xml:space="preserve">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Translation</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income as a separate component of stockholders’ equity.</w:t>
      </w:r>
    </w:p>
    <w:p>
      <w:pPr>
        <w:spacing w:after="0" w:line="18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Transaction gains and losses that arise from exchange rate fluctuations on transactions denominated in a currency other than the functional currency are included in other income (loss), net in the accompanying consolidated statements of operations when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231F20"/>
        </w:rPr>
        <w:t>The Company generates revenue from the sale of subscriptions to customers using its cloud-based platform. The terms of the Company’s subscription agreements are primarily monthly, annual or multi-year.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or multi-year subscription in advance,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The Company accounts for revenue contracts with customers through the following steps:</w:t>
      </w:r>
    </w:p>
    <w:p>
      <w:pPr>
        <w:spacing w:after="0" w:line="117" w:lineRule="exact"/>
        <w:rPr>
          <w:sz w:val="20"/>
          <w:szCs w:val="20"/>
          <w:color w:val="auto"/>
        </w:rPr>
      </w:pPr>
    </w:p>
    <w:p>
      <w:pPr>
        <w:ind w:left="1460" w:hanging="480"/>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identify the performance obligations in the contract;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determine the transaction price;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recognize revenue when or as the Company satisfies a performance obligation.</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231F20"/>
        </w:rPr>
        <w:t>The Company’s revenue arrangements may include infrastructure monitoring, application performance monitoring, log management, synthetics monitoring, security monitoring, continuous profiling, serverless monitoring, network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231F20"/>
        </w:rPr>
        <w:t>monitoring, real user monitoring and incident management as well as secondary services including custom metrics in dashboard monitoring, docker container monitoring, and indexed spans. The Company has identified each service as a separate performance obligation.</w:t>
      </w:r>
    </w:p>
    <w:p>
      <w:pPr>
        <w:spacing w:after="0" w:line="170"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231F20"/>
        </w:rPr>
        <w:t>The transaction price is based on the fixed price for the contracted level of service plus variable consideration for additional optional purchases. Billing periods correspond to the periods over which services are performed and there are no discounts given on the purchase of future services.</w:t>
      </w:r>
    </w:p>
    <w:p>
      <w:pPr>
        <w:spacing w:after="0" w:line="124"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The Company allocates revenue to each performance obligation based on its relative standalone selling price. The Company generally determines standalone selling prices based on a range of actual prices charged to customers.</w:t>
      </w:r>
    </w:p>
    <w:p>
      <w:pPr>
        <w:spacing w:after="0" w:line="170"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Revenue is recognized when control of these services is transferred to customers, in an amount that reflects the consideration the Company expects to be entitled to receive in exchange for those services. The Company determined an output method to be the most appropriate measure of progress because it most faithfully represents when the value of the services is simultaneously received and consumed by the customer, and control is transferred.</w:t>
      </w:r>
    </w:p>
    <w:p>
      <w:pPr>
        <w:spacing w:after="0" w:line="1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8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The Company applied the practical expedient in Topic 606 and did not evaluate contracts of one year or less for the existence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231F20"/>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Convertible Senior Notes</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In accounting for the issuance of the Company’s convertible senior notes (the “2025 Notes”), the 2025 Notes were separated into liability and equity components through December 31, 2020.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equity component was recorded in additional paid-in capital.</w:t>
      </w:r>
    </w:p>
    <w:p>
      <w:pPr>
        <w:spacing w:after="0" w:line="19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In accounting for the debt issuance costs related to the 2025 Notes, the Company allocated the total amount incurred to the liability and equity components of the 2025 Notes in the same proportion as the allocation of the proceeds. Issuance costs attributable to the liability component are being amortized to interest expense over the contractual terms of the 2025 Notes. The issuance costs attributable to the equity component were netted against the equity component in additional paid-in capital.</w:t>
      </w:r>
    </w:p>
    <w:p>
      <w:pPr>
        <w:spacing w:after="0" w:line="187"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 xml:space="preserve">On January 1, 2021 the Company adopted ASU No. 2020-06, </w:t>
      </w:r>
      <w:r>
        <w:rPr>
          <w:rFonts w:ascii="Arial" w:cs="Arial" w:eastAsia="Arial" w:hAnsi="Arial"/>
          <w:sz w:val="17"/>
          <w:szCs w:val="17"/>
          <w:i w:val="1"/>
          <w:iCs w:val="1"/>
          <w:color w:val="auto"/>
        </w:rPr>
        <w:t>Accounting for Convertible Instruments and Contracts in an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As a result of the adoption, the debt conversion option of $177.2 million and debt issuance costs of $4.1 million previously attributable to the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231F20"/>
        </w:rPr>
        <w:t>Cost of Revenue</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Costs</w:t>
      </w:r>
    </w:p>
    <w:p>
      <w:pPr>
        <w:spacing w:after="0" w:line="225"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231F20"/>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 Costs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Sales and marketing costs consist primarily of personnel costs for the Company’s sales and marketing organization, including stock-based compensation and commissions, costs of general marketing and promotional activities, including the free tier and introductory trials of the Company’s products, travel-related expenses and allocated overhead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Advertising Costs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Advertising costs are expensed as incurred and were approximately $20.8 million, $21.6 million and $9.5 million for the years ended December 31, 2021, 2020 and 2019, respectively, and are included in sales and marketing expense in the accompanying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8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231F20"/>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25"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231F20"/>
        </w:rPr>
        <w:t>The Company recognizes and measures compensation expense for all stock-based payment awards granted to employees, directors, and nonemployees, including stock options, restricted stock units (“RSUs”), and the employee stock purchase plan (the “ESPP”) based on the fair value of the awards on the date of grant. The fair value of each stock option granted is estimated using the Black-Scholes option pricing model.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is recognized on a straight-line basis over the requisite service period and account for forfeitures as they occur.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7" w:name="page68"/>
    <w:bookmarkEnd w:id="67"/>
    <w:p>
      <w:pPr>
        <w:jc w:val="both"/>
        <w:ind w:firstLine="972"/>
        <w:spacing w:after="0" w:line="342" w:lineRule="auto"/>
        <w:rPr>
          <w:sz w:val="20"/>
          <w:szCs w:val="20"/>
          <w:color w:val="auto"/>
        </w:rPr>
      </w:pPr>
      <w:r>
        <w:rPr>
          <w:rFonts w:ascii="Arial" w:cs="Arial" w:eastAsia="Arial" w:hAnsi="Arial"/>
          <w:sz w:val="16"/>
          <w:szCs w:val="16"/>
          <w:color w:val="231F20"/>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and Cash Equivalents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231F20"/>
        </w:rPr>
        <w:t>The Company considers all highly liquid investments with an original maturity of three months or less when purchased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Cash equivalents consist of funds deposited into money market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Marketable Securities</w:t>
      </w:r>
    </w:p>
    <w:p>
      <w:pPr>
        <w:spacing w:after="0" w:line="225"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231F20"/>
        </w:rPr>
        <w:t>The Company’s marketable securities consist of commercial debt securities, U.S. government treasury securities, Non-U.S. government securities, and commercial paper.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the Company classifies its marketable securities within current assets on the consolidated balance sheet.</w:t>
      </w:r>
    </w:p>
    <w:p>
      <w:pPr>
        <w:spacing w:after="0" w:line="176"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Available-for-sale securities are recorded at fair value each reporting period. Premiums and discounts are amortized or accreted over the life of the related available-for-sale security as an adjustment to yield using the effective interest method. Interest income is recognized when earned. Unrealized gains and losses on these marketable securities are presented net of tax and reported as a separate component of accumulated other comprehensive income until realized. Realized gains and losses are determined based on the specific identification method and are reported in Interest income and other income, net in the consolidated statements of operations.</w:t>
      </w:r>
    </w:p>
    <w:p>
      <w:pPr>
        <w:spacing w:after="0" w:line="18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The Company periodically evaluates its marketable securities to assess whether an investment’s fair value is less than its amortized cost basis and if the decline in the fair value is attributable to a credit loss. Declines in fair value judged to be related to credit loss are reported in Interest income and other income, net in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Cash</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Financial instruments that potentially subject the Company to credit risk primarily consist of cash and cash equivalents, marketable securities and accounts receivable. Cash deposits may, at times, exceed amounts insured by the Federal Deposit Insurance Corporation (“FDIC”) and the Securities Investor Protection Corporation (“SIPC”). The Company has not experienced any losses on its deposits of cash and cash equivalents to date. For accounts receivable, the Company is exposed to credit risk in the event of nonpayment by customers to the extent of the amounts recorded on the accompanying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Geographical Information - Long-Lived Assets</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As of December 31, 2021, and 2020, 76% and 68% of the Company’s long lived assets were located in the United States and 24% and 32% were located outside of the United States,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of Financial Instruments</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7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b w:val="1"/>
          <w:bCs w:val="1"/>
          <w:i w:val="1"/>
          <w:iCs w:val="1"/>
          <w:color w:val="231F20"/>
        </w:rPr>
        <w:t xml:space="preserve">Level 1 Inputs: </w:t>
      </w:r>
      <w:r>
        <w:rPr>
          <w:rFonts w:ascii="Arial" w:cs="Arial" w:eastAsia="Arial" w:hAnsi="Arial"/>
          <w:sz w:val="18"/>
          <w:szCs w:val="18"/>
          <w:color w:val="231F20"/>
        </w:rPr>
        <w:t>Unadjusted quoted prices in active markets for identical assets or liabilities accessible to the reporting entity at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measurement date.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8" w:name="page69"/>
    <w:bookmarkEnd w:id="68"/>
    <w:p>
      <w:pPr>
        <w:jc w:val="both"/>
        <w:ind w:firstLine="972"/>
        <w:spacing w:after="0" w:line="277" w:lineRule="auto"/>
        <w:rPr>
          <w:sz w:val="20"/>
          <w:szCs w:val="20"/>
          <w:color w:val="auto"/>
        </w:rPr>
      </w:pPr>
      <w:r>
        <w:rPr>
          <w:rFonts w:ascii="Arial" w:cs="Arial" w:eastAsia="Arial" w:hAnsi="Arial"/>
          <w:sz w:val="18"/>
          <w:szCs w:val="18"/>
          <w:b w:val="1"/>
          <w:bCs w:val="1"/>
          <w:i w:val="1"/>
          <w:iCs w:val="1"/>
          <w:color w:val="231F20"/>
        </w:rPr>
        <w:t xml:space="preserve">Level 2 Inputs: </w:t>
      </w:r>
      <w:r>
        <w:rPr>
          <w:rFonts w:ascii="Arial" w:cs="Arial" w:eastAsia="Arial" w:hAnsi="Arial"/>
          <w:sz w:val="18"/>
          <w:szCs w:val="18"/>
          <w:color w:val="231F20"/>
        </w:rPr>
        <w:t>Other than quoted prices included in Level 1 inputs that are observable for the asset or liability, either directly or indirectly,</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for substantially the full term of the asset or liability.</w:t>
      </w:r>
    </w:p>
    <w:p>
      <w:pPr>
        <w:spacing w:after="0" w:line="6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b w:val="1"/>
          <w:bCs w:val="1"/>
          <w:i w:val="1"/>
          <w:iCs w:val="1"/>
          <w:color w:val="231F20"/>
        </w:rPr>
        <w:t xml:space="preserve">Level 3 Inputs: </w:t>
      </w:r>
      <w:r>
        <w:rPr>
          <w:rFonts w:ascii="Arial" w:cs="Arial" w:eastAsia="Arial" w:hAnsi="Arial"/>
          <w:sz w:val="18"/>
          <w:szCs w:val="18"/>
          <w:color w:val="231F20"/>
        </w:rPr>
        <w:t>Unobservable inputs for the asset or liability used to measure fair value to the extent that observable inputs are not available,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thereby allowing for situations in which there is little, if any, market activity for the asset or liability at measurement date.</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The Company’s financial instruments consist of cash equivalents, marketable securities, accounts receivable, accounts payable and accrued expenses. Cash equivalents are stated at amortized cost, which approximates fair value at the balance sheet dates, due to the short period of time to maturity. Marketable securities are recorded at fair value. Accounts receivable, accounts payable, and accrued expenses are stated at their carrying value, which approximates fair value due to the short time to the expected receipt or payment date.</w:t>
      </w:r>
    </w:p>
    <w:p>
      <w:pPr>
        <w:spacing w:after="0" w:line="18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A financial instrument’s categorization within the valuation hierarchy is based upon the lowest level of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 and Allowance for Credit Losses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Accounts receivable includes billed and unbilled receivables.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credit losses by considering the age of each outstanding invoice and the collection history to determine the appropriate amount of allowance for credit losses. Accounts receivable deemed uncollectible are charged against the allowance for credit losses when identified.</w:t>
      </w:r>
    </w:p>
    <w:p>
      <w:pPr>
        <w:spacing w:after="0" w:line="18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substantially all of which is expected to be billed and collected within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 Use Software Development Costs</w:t>
      </w:r>
    </w:p>
    <w:p>
      <w:pPr>
        <w:spacing w:after="0" w:line="225"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231F20"/>
        </w:rPr>
        <w:t>The Company capitalizes qualifying internal use software development costs related to its cloud platform. The costs consist of personnel costs (including related benefits and stock-based compensation) that are incurred during the application development stage. Capitalization of costs begins when two criteria are met: (1)the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7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22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231F20"/>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 xml:space="preserve">Sales commissions earned by the Company’s sales force are considered incremental and recoverable costs of obtaining a contract with a customer. </w:t>
      </w:r>
      <w:r>
        <w:rPr>
          <w:rFonts w:ascii="Arial" w:cs="Arial" w:eastAsia="Arial" w:hAnsi="Arial"/>
          <w:sz w:val="16"/>
          <w:szCs w:val="16"/>
          <w:color w:val="231F20"/>
        </w:rPr>
        <w:t>There are no sales commissions earned on renewals</w:t>
      </w:r>
      <w:r>
        <w:rPr>
          <w:rFonts w:ascii="Arial" w:cs="Arial" w:eastAsia="Arial" w:hAnsi="Arial"/>
          <w:sz w:val="16"/>
          <w:szCs w:val="16"/>
          <w:color w:val="auto"/>
        </w:rPr>
        <w:t xml:space="preserve">. These costs are deferred and then amortized over a period of benefit which is determined to be four years. </w:t>
      </w:r>
      <w:r>
        <w:rPr>
          <w:rFonts w:ascii="Arial" w:cs="Arial" w:eastAsia="Arial" w:hAnsi="Arial"/>
          <w:sz w:val="16"/>
          <w:szCs w:val="16"/>
          <w:color w:val="231F20"/>
        </w:rPr>
        <w:t>The Company determined the period of benefit by taking into consideration the length of terms in its customer contracts, life of the</w:t>
      </w:r>
      <w:r>
        <w:rPr>
          <w:rFonts w:ascii="Arial" w:cs="Arial" w:eastAsia="Arial" w:hAnsi="Arial"/>
          <w:sz w:val="16"/>
          <w:szCs w:val="16"/>
          <w:color w:val="auto"/>
        </w:rPr>
        <w:t xml:space="preserve"> </w:t>
      </w:r>
      <w:r>
        <w:rPr>
          <w:rFonts w:ascii="Arial" w:cs="Arial" w:eastAsia="Arial" w:hAnsi="Arial"/>
          <w:sz w:val="16"/>
          <w:szCs w:val="16"/>
          <w:color w:val="231F20"/>
        </w:rPr>
        <w:t>technology and other factors</w:t>
      </w:r>
      <w:r>
        <w:rPr>
          <w:rFonts w:ascii="Arial" w:cs="Arial" w:eastAsia="Arial" w:hAnsi="Arial"/>
          <w:sz w:val="16"/>
          <w:szCs w:val="16"/>
          <w:color w:val="000000"/>
        </w:rPr>
        <w:t>. Amounts expected to be recognized within one year of the balance sheet date are recorded as deferred contract costs, current;</w:t>
      </w:r>
      <w:r>
        <w:rPr>
          <w:rFonts w:ascii="Arial" w:cs="Arial" w:eastAsia="Arial" w:hAnsi="Arial"/>
          <w:sz w:val="16"/>
          <w:szCs w:val="16"/>
          <w:color w:val="231F20"/>
        </w:rPr>
        <w:t xml:space="preserve"> </w:t>
      </w:r>
      <w:r>
        <w:rPr>
          <w:rFonts w:ascii="Arial" w:cs="Arial" w:eastAsia="Arial" w:hAnsi="Arial"/>
          <w:sz w:val="16"/>
          <w:szCs w:val="16"/>
          <w:color w:val="000000"/>
        </w:rPr>
        <w:t xml:space="preserve">the remaining portion is recorded as deferred contract costs, non-current, in the consolidated balance sheets. </w:t>
      </w:r>
      <w:r>
        <w:rPr>
          <w:rFonts w:ascii="Arial" w:cs="Arial" w:eastAsia="Arial" w:hAnsi="Arial"/>
          <w:sz w:val="16"/>
          <w:szCs w:val="16"/>
          <w:color w:val="231F20"/>
        </w:rPr>
        <w:t>Deferred contract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231F20"/>
        </w:rPr>
        <w:t>are periodically analyzed for impairment. Amortization expense is included in sales and marketing expenses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225"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231F20"/>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for Impairment of Long-Lived Assets (Including Goodwill and Intangibles)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231F20"/>
        </w:rPr>
        <w:t>Long-lived assets with finite lives include property and equipment, capitalized development software costs and acquired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Long-lived assets are amortized over their estimated useful lives which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and equipment</w:t>
            </w:r>
          </w:p>
        </w:tc>
        <w:tc>
          <w:tcPr>
            <w:tcW w:w="6620" w:type="dxa"/>
            <w:vAlign w:val="bottom"/>
            <w:shd w:val="clear" w:color="auto" w:fill="CFF0FC"/>
          </w:tcPr>
          <w:p>
            <w:pPr>
              <w:ind w:left="1700"/>
              <w:spacing w:after="0"/>
              <w:rPr>
                <w:sz w:val="20"/>
                <w:szCs w:val="20"/>
                <w:color w:val="auto"/>
              </w:rPr>
            </w:pPr>
            <w:r>
              <w:rPr>
                <w:rFonts w:ascii="Arial" w:cs="Arial" w:eastAsia="Arial" w:hAnsi="Arial"/>
                <w:sz w:val="18"/>
                <w:szCs w:val="18"/>
                <w:color w:val="auto"/>
              </w:rPr>
              <w:t>3 years</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620" w:type="dxa"/>
            <w:vAlign w:val="bottom"/>
          </w:tcPr>
          <w:p>
            <w:pPr>
              <w:ind w:left="1700"/>
              <w:spacing w:after="0"/>
              <w:rPr>
                <w:sz w:val="20"/>
                <w:szCs w:val="20"/>
                <w:color w:val="auto"/>
              </w:rPr>
            </w:pPr>
            <w:r>
              <w:rPr>
                <w:rFonts w:ascii="Arial" w:cs="Arial" w:eastAsia="Arial" w:hAnsi="Arial"/>
                <w:sz w:val="18"/>
                <w:szCs w:val="18"/>
                <w:color w:val="auto"/>
              </w:rPr>
              <w:t>5 years</w:t>
            </w:r>
          </w:p>
        </w:tc>
      </w:tr>
      <w:tr>
        <w:trPr>
          <w:trHeight w:val="22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6620" w:type="dxa"/>
            <w:vAlign w:val="bottom"/>
            <w:shd w:val="clear" w:color="auto" w:fill="CFF0FC"/>
          </w:tcPr>
          <w:p>
            <w:pPr>
              <w:ind w:left="1700"/>
              <w:spacing w:after="0"/>
              <w:rPr>
                <w:sz w:val="20"/>
                <w:szCs w:val="20"/>
                <w:color w:val="auto"/>
              </w:rPr>
            </w:pPr>
            <w:r>
              <w:rPr>
                <w:rFonts w:ascii="Arial" w:cs="Arial" w:eastAsia="Arial" w:hAnsi="Arial"/>
                <w:sz w:val="18"/>
                <w:szCs w:val="18"/>
                <w:color w:val="auto"/>
              </w:rPr>
              <w:t>Shorter of lease term or useful life of asset</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6620" w:type="dxa"/>
            <w:vAlign w:val="bottom"/>
          </w:tcPr>
          <w:p>
            <w:pPr>
              <w:ind w:left="1700"/>
              <w:spacing w:after="0"/>
              <w:rPr>
                <w:sz w:val="20"/>
                <w:szCs w:val="20"/>
                <w:color w:val="auto"/>
              </w:rPr>
            </w:pPr>
            <w:r>
              <w:rPr>
                <w:rFonts w:ascii="Arial" w:cs="Arial" w:eastAsia="Arial" w:hAnsi="Arial"/>
                <w:sz w:val="18"/>
                <w:szCs w:val="18"/>
                <w:color w:val="auto"/>
              </w:rPr>
              <w:t>2 years</w:t>
            </w:r>
          </w:p>
        </w:tc>
      </w:tr>
      <w:tr>
        <w:trPr>
          <w:trHeight w:val="23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6620" w:type="dxa"/>
            <w:vAlign w:val="bottom"/>
            <w:shd w:val="clear" w:color="auto" w:fill="CFF0FC"/>
          </w:tcPr>
          <w:p>
            <w:pPr>
              <w:ind w:left="1700"/>
              <w:spacing w:after="0"/>
              <w:rPr>
                <w:sz w:val="20"/>
                <w:szCs w:val="20"/>
                <w:color w:val="auto"/>
              </w:rPr>
            </w:pPr>
            <w:r>
              <w:rPr>
                <w:rFonts w:ascii="Arial" w:cs="Arial" w:eastAsia="Arial" w:hAnsi="Arial"/>
                <w:sz w:val="18"/>
                <w:szCs w:val="18"/>
                <w:color w:val="auto"/>
              </w:rPr>
              <w:t>3 years</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620" w:type="dxa"/>
            <w:vAlign w:val="bottom"/>
          </w:tcPr>
          <w:p>
            <w:pPr>
              <w:ind w:left="1700"/>
              <w:spacing w:after="0"/>
              <w:rPr>
                <w:sz w:val="20"/>
                <w:szCs w:val="20"/>
                <w:color w:val="auto"/>
              </w:rPr>
            </w:pPr>
            <w:r>
              <w:rPr>
                <w:rFonts w:ascii="Arial" w:cs="Arial" w:eastAsia="Arial" w:hAnsi="Arial"/>
                <w:sz w:val="18"/>
                <w:szCs w:val="18"/>
                <w:color w:val="auto"/>
              </w:rPr>
              <w:t>4 years</w:t>
            </w:r>
          </w:p>
        </w:tc>
      </w:tr>
    </w:tbl>
    <w:p>
      <w:pPr>
        <w:spacing w:after="0" w:line="28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231F20"/>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9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Goodwill is not amortized but rather tested for impairment at least annually on October 1,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2021, 2020 or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231F20"/>
        </w:rPr>
        <w:t>The Company determines if an arrangement is a lease at inception. Operating lease assets and liabilities are reflected within operating lease assets, operating lease liabilities, current, and operating lease liabilities, non-current, on the consolidated balance sheets. For short-term leases (an initial term of 12 months or less), an operating lease asset and corresponding lease liability are not recorded and the Company records rent expense in its consolidated statements of operations on a straight-line basis over the lease term. Operating lease assets represent the Company’s right to use an underlying asset for the lease term and lease liabilities represent the Company’s obligation to make lease payments arising from the lease. Operating lease assets and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The operating lease assets also include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separately.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231F20"/>
        </w:rPr>
        <w:t>Net Income (Loss) Per Share Attributable to Common Stockholders</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231F20"/>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the Company is in a net loss position, the net loss attributable to common stockholders was not allocated to the convertible preferred stock and unvested common stock under the two-class method as these securities do not have a contractual obligation to share in the Company’s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Pronouncements Recently Adopted</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Instruments—Credit Losses (Topic 326): Measurement of Credit Losses on Financial Instruments </w:t>
      </w:r>
      <w:r>
        <w:rPr>
          <w:rFonts w:ascii="Arial" w:cs="Arial" w:eastAsia="Arial" w:hAnsi="Arial"/>
          <w:sz w:val="17"/>
          <w:szCs w:val="17"/>
          <w:color w:val="auto"/>
        </w:rPr>
        <w:t>(“ASU No. 2016-13”), which requires an entity to utilize</w:t>
      </w:r>
      <w:r>
        <w:rPr>
          <w:rFonts w:ascii="Arial" w:cs="Arial" w:eastAsia="Arial" w:hAnsi="Arial"/>
          <w:sz w:val="17"/>
          <w:szCs w:val="17"/>
          <w:i w:val="1"/>
          <w:iCs w:val="1"/>
          <w:color w:val="auto"/>
        </w:rPr>
        <w:t xml:space="preserve"> </w:t>
      </w:r>
      <w:r>
        <w:rPr>
          <w:rFonts w:ascii="Arial" w:cs="Arial" w:eastAsia="Arial" w:hAnsi="Arial"/>
          <w:sz w:val="17"/>
          <w:szCs w:val="17"/>
          <w:color w:val="auto"/>
        </w:rPr>
        <w:t>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Additionally, ASU No. 2016-13 amends the current available-for-sale security impairment model for debt securities held for investment. The new model will require an estimate of expected credit losses when the fair value is below the amortized cost of the asset. The credit-related impairment (and subsequent recoveries) are recognized as an allowance on the balance sheet with a corresponding adjustment to the income statement. Non-credit related losses will continue to be recognized through Other Comprehensive Income (Loss) (“OCI”). This guidance also requires new disclosures for financial assets measured at amortized cost, loans and available-for-sale debt securities. Entities will apply the standard’s provisions as a cumulative-effect adjustment to retained earnings as of the beginning of the first reporting period in which the guidance is adopted. The Company adopted this ASU on January 1, 2020 and determined that ASU No. 2016-13 had no material impact on the Company’s consolidated financial statements.</w:t>
      </w:r>
    </w:p>
    <w:p>
      <w:pPr>
        <w:spacing w:after="0" w:line="179"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 That Is a Service Contract </w:t>
      </w:r>
      <w:r>
        <w:rPr>
          <w:rFonts w:ascii="Arial" w:cs="Arial" w:eastAsia="Arial" w:hAnsi="Arial"/>
          <w:sz w:val="16"/>
          <w:szCs w:val="16"/>
          <w:color w:val="auto"/>
        </w:rPr>
        <w:t>(“ASU No. 2018-15”), which aligns the accounting for implementation costs incurred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is a service contract with the accounting for implementation costs incurred to develop or obtain internal-use software under Accounting Standard Codification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in order to determine which costs to capitalize and recognize as an asset and which costs to expense. The Company adopted ASU No. 2018-15 on January 1, 2020 and applied it prospectively to implementation costs incurred after the date of adoption. The Company’s adoption of ASU No. 2018-15 had no material impact on the Company's consolidated financial statements.</w:t>
      </w:r>
    </w:p>
    <w:p>
      <w:pPr>
        <w:spacing w:after="0" w:line="16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No. 2019-12”), which aims to reduce complexity in accounting standards by improving certain areas of GAAP without compromising information provided to users of financial statements. ASU No. 2019-12 removes certain exceptions to the general principles in Topic 740 and clarifies and amends existing guidance to improve consistent application. It is effective for interim and annual periods beginning after December 15, 2020, with early adoption permitted. The Company early adopted ASU No. 2019-12 during the quarter ended September 30, 2020 with no material impact on the Company’s consolidated financial statements.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(“ASU No. 2020-06”), which simplifies the accounting for certain financial instruments with characteristics of liabilities and equity, including convertible instruments and contracts in an entity's own equity. Among other changes, ASU No. 2020-06 removes from GAAP the liability and equity separation model for convertible instruments with a cash conversion feature, and as a result, after adoption, entities will no longer separately present in equity an embedded conversion feature for such convertible debt instruments. Similarly, the debt discount, that is equal to the carrying value of the embedded conversion feature upon issuance,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Additionally, ASU No. 2020-06 requires the application of the if-converted method to calculate the impact of convertible instruments on diluted earnings per share and include the effect of share settlement for instruments that may be settled in cash or shares, except for certain liability-classified share-based payment awards. ASU No. 2020-06 is effective for fiscal years beginning after December 15, 2021, with early adoption permitted for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fiscal years beginning after December 15, 2020 and can be adopted on either a fully retrospective or modified retrospective basis. The Company early adopted ASU No. 2020-06 on January 1, 2021, using the modified retrospective basis. Adoption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Pronouncements Not Yet Adopted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231F20"/>
        </w:rPr>
        <w:t xml:space="preserve">In October 2021, the FASB issued ASU No. 2021-08, </w:t>
      </w:r>
      <w:r>
        <w:rPr>
          <w:rFonts w:ascii="Arial" w:cs="Arial" w:eastAsia="Arial" w:hAnsi="Arial"/>
          <w:sz w:val="16"/>
          <w:szCs w:val="16"/>
          <w:i w:val="1"/>
          <w:iCs w:val="1"/>
          <w:color w:val="231F20"/>
        </w:rPr>
        <w:t>Business Combinations (Topic 805): Accounting for Contract Assets and Contract</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Liabilities from Contracts with Customers </w:t>
      </w:r>
      <w:r>
        <w:rPr>
          <w:rFonts w:ascii="Arial" w:cs="Arial" w:eastAsia="Arial" w:hAnsi="Arial"/>
          <w:sz w:val="16"/>
          <w:szCs w:val="16"/>
          <w:color w:val="231F20"/>
        </w:rPr>
        <w:t>("ASU No. 2021-08"), which intends to improve the accounting for acquired revenue contracts with customers</w:t>
      </w:r>
      <w:r>
        <w:rPr>
          <w:rFonts w:ascii="Arial" w:cs="Arial" w:eastAsia="Arial" w:hAnsi="Arial"/>
          <w:sz w:val="16"/>
          <w:szCs w:val="16"/>
          <w:i w:val="1"/>
          <w:iCs w:val="1"/>
          <w:color w:val="231F20"/>
        </w:rPr>
        <w:t xml:space="preserve"> </w:t>
      </w:r>
      <w:r>
        <w:rPr>
          <w:rFonts w:ascii="Arial" w:cs="Arial" w:eastAsia="Arial" w:hAnsi="Arial"/>
          <w:sz w:val="16"/>
          <w:szCs w:val="16"/>
          <w:color w:val="231F20"/>
        </w:rPr>
        <w:t>in a business combination by addressing diversity in practice and inconsistency related to recognition of an acquired contract liability and payment terms and their effect on subsequent revenue recognized by the acquirer. The amendments in this ASU are effective for public business entities for fiscal years beginning after December 15, 2022, and interim periods within those fiscal years, and should be applied prospectively to business combinations occurring on or after the effective date of the amendments.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is currently evaluating the impact of the adoption of this standard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Marketable Securities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consolidated balance sheet as of December 31, 2021 and December 31,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3"/>
                <w:szCs w:val="13"/>
                <w:color w:val="auto"/>
              </w:rPr>
            </w:pPr>
          </w:p>
        </w:tc>
        <w:tc>
          <w:tcPr>
            <w:tcW w:w="114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Fair</w:t>
            </w:r>
          </w:p>
        </w:tc>
      </w:t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6"/>
        </w:trPr>
        <w:tc>
          <w:tcPr>
            <w:tcW w:w="51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debt securities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1,034,573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1,032,052</w:t>
            </w:r>
          </w:p>
        </w:tc>
        <w:tc>
          <w:tcPr>
            <w:tcW w:w="2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14,569</w:t>
            </w:r>
          </w:p>
        </w:tc>
        <w:tc>
          <w:tcPr>
            <w:tcW w:w="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treasury securities</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77,628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77,442</w:t>
            </w:r>
          </w:p>
        </w:tc>
        <w:tc>
          <w:tcPr>
            <w:tcW w:w="2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151,356</w:t>
            </w:r>
          </w:p>
        </w:tc>
        <w:tc>
          <w:tcPr>
            <w:tcW w:w="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20" w:type="dxa"/>
            <w:vAlign w:val="bottom"/>
          </w:tcPr>
          <w:p>
            <w:pPr>
              <w:spacing w:after="0"/>
              <w:rPr>
                <w:sz w:val="23"/>
                <w:szCs w:val="23"/>
                <w:color w:val="auto"/>
              </w:rPr>
            </w:pPr>
          </w:p>
        </w:tc>
      </w:tr>
      <w:tr>
        <w:trPr>
          <w:trHeight w:val="237"/>
        </w:trPr>
        <w:tc>
          <w:tcPr>
            <w:tcW w:w="51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1,286,225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1,283,473</w:t>
            </w:r>
          </w:p>
        </w:tc>
        <w:tc>
          <w:tcPr>
            <w:tcW w:w="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3"/>
                <w:szCs w:val="13"/>
                <w:color w:val="auto"/>
              </w:rPr>
            </w:pPr>
          </w:p>
        </w:tc>
        <w:tc>
          <w:tcPr>
            <w:tcW w:w="114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Fair</w:t>
            </w:r>
          </w:p>
        </w:tc>
      </w:t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5"/>
        </w:trPr>
        <w:tc>
          <w:tcPr>
            <w:tcW w:w="51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debt securities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926,836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927,850</w:t>
            </w:r>
          </w:p>
        </w:tc>
        <w:tc>
          <w:tcPr>
            <w:tcW w:w="20" w:type="dxa"/>
            <w:vAlign w:val="bottom"/>
          </w:tcPr>
          <w:p>
            <w:pPr>
              <w:spacing w:after="0"/>
              <w:rPr>
                <w:sz w:val="21"/>
                <w:szCs w:val="21"/>
                <w:color w:val="auto"/>
              </w:rPr>
            </w:pPr>
          </w:p>
        </w:tc>
      </w:tr>
      <w:tr>
        <w:trPr>
          <w:trHeight w:val="270"/>
        </w:trPr>
        <w:tc>
          <w:tcPr>
            <w:tcW w:w="51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47,256</w:t>
            </w:r>
          </w:p>
        </w:tc>
        <w:tc>
          <w:tcPr>
            <w:tcW w:w="20" w:type="dxa"/>
            <w:vAlign w:val="bottom"/>
          </w:tcPr>
          <w:p>
            <w:pPr>
              <w:spacing w:after="0"/>
              <w:rPr>
                <w:sz w:val="23"/>
                <w:szCs w:val="23"/>
                <w:color w:val="auto"/>
              </w:rPr>
            </w:pPr>
          </w:p>
        </w:tc>
      </w:tr>
      <w:tr>
        <w:trPr>
          <w:trHeight w:val="250"/>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government treasury securities</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108,092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108,294</w:t>
            </w:r>
          </w:p>
        </w:tc>
        <w:tc>
          <w:tcPr>
            <w:tcW w:w="2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209,132</w:t>
            </w:r>
          </w:p>
        </w:tc>
        <w:tc>
          <w:tcPr>
            <w:tcW w:w="20" w:type="dxa"/>
            <w:vAlign w:val="bottom"/>
          </w:tcPr>
          <w:p>
            <w:pPr>
              <w:spacing w:after="0"/>
              <w:rPr>
                <w:sz w:val="21"/>
                <w:szCs w:val="21"/>
                <w:color w:val="auto"/>
              </w:rPr>
            </w:pPr>
          </w:p>
        </w:tc>
      </w:tr>
      <w:tr>
        <w:trPr>
          <w:trHeight w:val="27"/>
        </w:trPr>
        <w:tc>
          <w:tcPr>
            <w:tcW w:w="51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1,291,253</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1,292,532</w:t>
            </w:r>
          </w:p>
        </w:tc>
        <w:tc>
          <w:tcPr>
            <w:tcW w:w="20" w:type="dxa"/>
            <w:vAlign w:val="bottom"/>
          </w:tcPr>
          <w:p>
            <w:pPr>
              <w:spacing w:after="0"/>
              <w:rPr>
                <w:sz w:val="20"/>
                <w:szCs w:val="20"/>
                <w:color w:val="auto"/>
              </w:rPr>
            </w:pPr>
          </w:p>
        </w:tc>
      </w:tr>
      <w:tr>
        <w:trPr>
          <w:trHeight w:val="47"/>
        </w:trPr>
        <w:tc>
          <w:tcPr>
            <w:tcW w:w="5160" w:type="dxa"/>
            <w:vAlign w:val="bottom"/>
            <w:tcBorders>
              <w:bottom w:val="single" w:sz="8" w:color="CFF0FC"/>
            </w:tcBorders>
            <w:shd w:val="clear" w:color="auto" w:fill="CFF0FC"/>
          </w:tcPr>
          <w:p>
            <w:pPr>
              <w:spacing w:after="0"/>
              <w:rPr>
                <w:sz w:val="4"/>
                <w:szCs w:val="4"/>
                <w:color w:val="auto"/>
              </w:rPr>
            </w:pPr>
          </w:p>
        </w:tc>
        <w:tc>
          <w:tcPr>
            <w:tcW w:w="1440" w:type="dxa"/>
            <w:vAlign w:val="bottom"/>
            <w:tcBorders>
              <w:bottom w:val="single" w:sz="8" w:color="auto"/>
            </w:tcBorders>
            <w:gridSpan w:val="2"/>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440" w:type="dxa"/>
            <w:vAlign w:val="bottom"/>
            <w:tcBorders>
              <w:bottom w:val="single" w:sz="8" w:color="auto"/>
            </w:tcBorders>
            <w:gridSpan w:val="2"/>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440" w:type="dxa"/>
            <w:vAlign w:val="bottom"/>
            <w:tcBorders>
              <w:bottom w:val="single" w:sz="8" w:color="auto"/>
            </w:tcBorders>
            <w:gridSpan w:val="2"/>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1440" w:type="dxa"/>
            <w:vAlign w:val="bottom"/>
            <w:tcBorders>
              <w:bottom w:val="single" w:sz="8" w:color="auto"/>
            </w:tcBorders>
            <w:gridSpan w:val="2"/>
            <w:shd w:val="clear" w:color="auto" w:fill="CFF0FC"/>
          </w:tcPr>
          <w:p>
            <w:pPr>
              <w:spacing w:after="0"/>
              <w:rPr>
                <w:sz w:val="4"/>
                <w:szCs w:val="4"/>
                <w:color w:val="auto"/>
              </w:rPr>
            </w:pPr>
          </w:p>
        </w:tc>
        <w:tc>
          <w:tcPr>
            <w:tcW w:w="20" w:type="dxa"/>
            <w:vAlign w:val="bottom"/>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6"/>
        </w:trPr>
        <w:tc>
          <w:tcPr>
            <w:tcW w:w="11240" w:type="dxa"/>
            <w:vAlign w:val="bottom"/>
            <w:gridSpan w:val="13"/>
          </w:tcPr>
          <w:p>
            <w:pPr>
              <w:ind w:left="980"/>
              <w:spacing w:after="0"/>
              <w:rPr>
                <w:sz w:val="20"/>
                <w:szCs w:val="20"/>
                <w:color w:val="auto"/>
              </w:rPr>
            </w:pPr>
            <w:r>
              <w:rPr>
                <w:rFonts w:ascii="Arial" w:cs="Arial" w:eastAsia="Arial" w:hAnsi="Arial"/>
                <w:sz w:val="18"/>
                <w:szCs w:val="18"/>
                <w:color w:val="auto"/>
                <w:w w:val="93"/>
              </w:rPr>
              <w:t>As of December 31, 2021, the fair values of available-for-sale marketable securities, by remaining contractual maturity, were as follows (in</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1"/>
        </w:trPr>
        <w:tc>
          <w:tcPr>
            <w:tcW w:w="5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783,342</w:t>
            </w:r>
          </w:p>
        </w:tc>
        <w:tc>
          <w:tcPr>
            <w:tcW w:w="2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Due in one year through five years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500,131</w:t>
            </w:r>
          </w:p>
        </w:tc>
        <w:tc>
          <w:tcPr>
            <w:tcW w:w="20" w:type="dxa"/>
            <w:vAlign w:val="bottom"/>
          </w:tcPr>
          <w:p>
            <w:pPr>
              <w:spacing w:after="0"/>
              <w:rPr>
                <w:sz w:val="21"/>
                <w:szCs w:val="21"/>
                <w:color w:val="auto"/>
              </w:rPr>
            </w:pPr>
          </w:p>
        </w:tc>
      </w:tr>
      <w:tr>
        <w:trPr>
          <w:trHeight w:val="27"/>
        </w:trPr>
        <w:tc>
          <w:tcPr>
            <w:tcW w:w="516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18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5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1,283,473</w:t>
            </w:r>
          </w:p>
        </w:tc>
        <w:tc>
          <w:tcPr>
            <w:tcW w:w="20" w:type="dxa"/>
            <w:vAlign w:val="bottom"/>
          </w:tcPr>
          <w:p>
            <w:pPr>
              <w:spacing w:after="0"/>
              <w:rPr>
                <w:sz w:val="24"/>
                <w:szCs w:val="24"/>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 and losses on marketable securities are presented net of tax.</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231F20"/>
        </w:rPr>
        <w:t>4. Fair Value Measurements</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December 31, 2021 and 2020, and indicate the fair value hierarchy of the valuation inputs utilized to determine such fair value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Fair Value Measurement as of December 31, 2021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6"/>
        </w:trPr>
        <w:tc>
          <w:tcPr>
            <w:tcW w:w="51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241,571</w:t>
            </w:r>
          </w:p>
        </w:tc>
        <w:tc>
          <w:tcPr>
            <w:tcW w:w="4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241,571</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1,032,052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1,032,052</w:t>
            </w:r>
          </w:p>
        </w:tc>
      </w:tr>
      <w:tr>
        <w:trPr>
          <w:trHeight w:val="280"/>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14,569</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14,569</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77,442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77,442</w:t>
            </w:r>
          </w:p>
        </w:tc>
      </w:tr>
      <w:tr>
        <w:trPr>
          <w:trHeight w:val="280"/>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151,356</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151,356</w:t>
            </w:r>
          </w:p>
        </w:tc>
      </w:tr>
      <w:tr>
        <w:trPr>
          <w:trHeight w:val="27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Non-U.S. government securities</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r>
      <w:tr>
        <w:trPr>
          <w:trHeight w:val="283"/>
        </w:trPr>
        <w:tc>
          <w:tcPr>
            <w:tcW w:w="5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241,571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1,283,473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1,525,044</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3"/>
        </w:trPr>
        <w:tc>
          <w:tcPr>
            <w:tcW w:w="5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Fair Value Measurement as of December 31, 2020</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6"/>
        </w:trPr>
        <w:tc>
          <w:tcPr>
            <w:tcW w:w="51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181,743</w:t>
            </w:r>
          </w:p>
        </w:tc>
        <w:tc>
          <w:tcPr>
            <w:tcW w:w="4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181,743</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25,195</w:t>
            </w:r>
          </w:p>
        </w:tc>
      </w:tr>
      <w:tr>
        <w:trPr>
          <w:trHeight w:val="260"/>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927,850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927,850</w:t>
            </w:r>
          </w:p>
        </w:tc>
      </w:tr>
      <w:tr>
        <w:trPr>
          <w:trHeight w:val="280"/>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47,256</w:t>
            </w: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47,256</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108,294</w:t>
            </w:r>
          </w:p>
        </w:tc>
      </w:tr>
      <w:tr>
        <w:trPr>
          <w:trHeight w:val="273"/>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209,132</w:t>
            </w:r>
          </w:p>
        </w:tc>
        <w:tc>
          <w:tcPr>
            <w:tcW w:w="12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209,132</w:t>
            </w:r>
          </w:p>
        </w:tc>
      </w:tr>
      <w:tr>
        <w:trPr>
          <w:trHeight w:val="270"/>
        </w:trPr>
        <w:tc>
          <w:tcPr>
            <w:tcW w:w="518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181,743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1,317,727</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1,499,470</w:t>
            </w: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972"/>
        <w:spacing w:after="0" w:line="301" w:lineRule="auto"/>
        <w:rPr>
          <w:sz w:val="20"/>
          <w:szCs w:val="20"/>
          <w:color w:val="auto"/>
        </w:rPr>
      </w:pPr>
      <w:r>
        <w:rPr>
          <w:rFonts w:ascii="Arial" w:cs="Arial" w:eastAsia="Arial" w:hAnsi="Arial"/>
          <w:sz w:val="16"/>
          <w:szCs w:val="16"/>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U.S. government treasury securities, and Non-U.S. government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5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9,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consolidated financial statements for further details.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231F20"/>
        </w:rPr>
        <w:t>5. Prepaid Expenses and Other Current Assets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Prepaid expenses and other current assets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2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prepaid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Hosting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24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23,624</w:t>
            </w: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98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2"/>
                <w:szCs w:val="22"/>
                <w:color w:val="auto"/>
              </w:rPr>
            </w:pPr>
          </w:p>
        </w:tc>
        <w:tc>
          <w:tcPr>
            <w:tcW w:w="12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48,502</w:t>
            </w:r>
          </w:p>
        </w:tc>
        <w:tc>
          <w:tcPr>
            <w:tcW w:w="0" w:type="dxa"/>
            <w:vAlign w:val="bottom"/>
          </w:tcPr>
          <w:p>
            <w:pPr>
              <w:spacing w:after="0"/>
              <w:rPr>
                <w:sz w:val="1"/>
                <w:szCs w:val="1"/>
                <w:color w:val="auto"/>
              </w:rPr>
            </w:pPr>
          </w:p>
        </w:tc>
      </w:tr>
      <w:tr>
        <w:trPr>
          <w:trHeight w:val="223"/>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47,197</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—Internal Use Software Development Costs, the Company capitalizes costs related to the development of computer software for internal use and is included in capitalized software development costs within property and equipment, net.</w:t>
      </w:r>
    </w:p>
    <w:p>
      <w:pPr>
        <w:spacing w:after="0" w:line="184"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Depreciation and amortization expense was approximately $18.5 million, $14.5 million, and $11.6 million for the years ended December 31, 2021,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Acquisition,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25"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231F20"/>
        </w:rPr>
        <w:t>During the quarter ended December 31, 2021, the Company entered into two Purchase Agreements, both of which were accounted for as business combinations in accordance with ASC 805, Business Combinations. The Company does not consider these acquisitions to be material, individually or in aggregate. The total purchase price was allocated to intangible assets in the amount of $4.3 million and goodwill in the amount of $36.6 million based on the respective estimated fair values. The resulting goodwill from both Agreements is not deductible for income tax purposes. Pro forma results of operations from these acquisitions have not been presented because they were not material to the consolidated results of operations.</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In April 2021, the Company entered into a Stock Purchase Agreement whereby the Company acquired all of the issued and outstanding shares of a SaaS based security platform company. The consideration was approximately $219.4 million, comprising cash and Class A common stock. The acquisition was accounted for as a business combination in accordance with ASC 805, Business Combinations, and accordingly, the total fair value of the purchase consideration was allocated to the tangible and intangible assets acquired and liabilities assumed based on their estimated fair values on the acquisition date. The total preliminary purchase price allocated to intangible assets and goodwill was $12.0 million and $204.3 million, respectively. The resulting goodwill is not deductible for income tax purposes. Intangible assets consisted of developed technology in the amount of $8.7 million and customer relationships in the amount of $3.3 million. The useful life for developed technology and customer relationships are three and four years, respectively. Additionally, there was a one-time severance charge of $1.3 million recorded on the acquisition date.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jc w:val="both"/>
        <w:ind w:firstLine="972"/>
        <w:spacing w:after="0" w:line="257" w:lineRule="auto"/>
        <w:rPr>
          <w:sz w:val="20"/>
          <w:szCs w:val="20"/>
          <w:color w:val="auto"/>
        </w:rPr>
      </w:pPr>
      <w:r>
        <w:rPr>
          <w:rFonts w:ascii="Arial" w:cs="Arial" w:eastAsia="Arial" w:hAnsi="Arial"/>
          <w:sz w:val="18"/>
          <w:szCs w:val="18"/>
          <w:color w:val="231F20"/>
        </w:rPr>
        <w:t>The purchase price allocation is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Goodwill resulted primarily from the expectation of enhancing the Company's current application security tools. Pro forma results of operations for this acquisition have not been presented because they were not material to the consolidated results of operations.</w:t>
      </w:r>
    </w:p>
    <w:p>
      <w:pPr>
        <w:spacing w:after="0" w:line="18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231F20"/>
        </w:rPr>
        <w:t>In February 2021, the Company entered into a Stock Purchase Agreement whereby the Company acquired all of the issued and outstanding shares of an observability data pipeline tool company with the purchase price paid in cash and Class A common stock. The acquisition was accounted for as a business combination in accordance with ASC 805, Business Combinations. The purchase price was allocated to intangible assets in the amount of $1.7 million and goodwill in the amount of $34.3 million based on the respective estimated fair values. Goodwill resulted primarily from the expectation of enhancing the Company's current observability tools. The resulting goodwill is not deductible for income tax purposes. Pro forma results of operations for this acquisition have not been presented because they were not material to the consolidated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2020 Acquisition</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 xml:space="preserve">During the year ended December 31, 2020, the Company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231F20"/>
        </w:rPr>
        <w:t>Business Combinations</w:t>
      </w:r>
      <w:r>
        <w:rPr>
          <w:rFonts w:ascii="Arial" w:cs="Arial" w:eastAsia="Arial" w:hAnsi="Arial"/>
          <w:sz w:val="18"/>
          <w:szCs w:val="18"/>
          <w:color w:val="231F20"/>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2019 Acquisition</w:t>
      </w:r>
    </w:p>
    <w:p>
      <w:pPr>
        <w:spacing w:after="0" w:line="225"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231F20"/>
        </w:rPr>
        <w:t xml:space="preserve">On November 6, 2019, the Company entered into a Stock Purchase Agreement whereby the Company acquired all of the issued and outstanding shares of a target company for $2.2 million in cash consideration. The acquisition was accounted for as a business combination in accordance with ASC 805, </w:t>
      </w:r>
      <w:r>
        <w:rPr>
          <w:rFonts w:ascii="Arial" w:cs="Arial" w:eastAsia="Arial" w:hAnsi="Arial"/>
          <w:sz w:val="17"/>
          <w:szCs w:val="17"/>
          <w:i w:val="1"/>
          <w:iCs w:val="1"/>
          <w:color w:val="231F20"/>
        </w:rPr>
        <w:t>Business Combinations</w:t>
      </w:r>
      <w:r>
        <w:rPr>
          <w:rFonts w:ascii="Arial" w:cs="Arial" w:eastAsia="Arial" w:hAnsi="Arial"/>
          <w:sz w:val="17"/>
          <w:szCs w:val="17"/>
          <w:color w:val="231F20"/>
        </w:rPr>
        <w:t>. Goodwill resulted primarily from the expectation of integrating and enhancing the Company's current data streaming platform. The preliminary allocation of the purchase price was based on available information and assumptions at the time of the initial valuation and may be subject to change within the measurement period. The results of the operations have been included in the Company’s consolidated statements of operations since the acquisition date and were not material. Pro forma results of operations for this acquisition have not been presented because it was also not material to the consolidated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Intangibles,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201"/>
              <w:spacing w:after="0" w:line="135"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01"/>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160" w:type="dxa"/>
            <w:vAlign w:val="bottom"/>
          </w:tcPr>
          <w:p>
            <w:pPr>
              <w:jc w:val="center"/>
              <w:ind w:right="20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1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17,186</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13,004</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ind w:left="90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20,486</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15,704</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201"/>
              <w:spacing w:after="0" w:line="135"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01"/>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160" w:type="dxa"/>
            <w:vAlign w:val="bottom"/>
          </w:tcPr>
          <w:p>
            <w:pPr>
              <w:jc w:val="center"/>
              <w:ind w:right="20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49"/>
        </w:trPr>
        <w:tc>
          <w:tcPr>
            <w:tcW w:w="5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3,331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Intangible amortization expense was approximately $4.4 million, $0.9 million and $0.8 million for the years ended December 31, 2021, 2020 and 2019, respectively. Amortization of developed technology and customer relationships are included in cost of revenue on the Company’s consolidated statement of operations and comprehensive loss.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9260" w:type="dxa"/>
            <w:vAlign w:val="bottom"/>
            <w:gridSpan w:val="2"/>
          </w:tcPr>
          <w:p>
            <w:pPr>
              <w:jc w:val="right"/>
              <w:ind w:right="1310"/>
              <w:spacing w:after="0"/>
              <w:rPr>
                <w:sz w:val="20"/>
                <w:szCs w:val="20"/>
                <w:color w:val="auto"/>
              </w:rPr>
            </w:pPr>
            <w:r>
              <w:rPr>
                <w:rFonts w:ascii="Arial" w:cs="Arial" w:eastAsia="Arial" w:hAnsi="Arial"/>
                <w:sz w:val="18"/>
                <w:szCs w:val="18"/>
                <w:color w:val="231F20"/>
                <w:w w:val="92"/>
              </w:rPr>
              <w:t>As of December 31, 2021, future amortization expense by year is expected to be as follows (in thousands):</w:t>
            </w:r>
          </w:p>
        </w:tc>
        <w:tc>
          <w:tcPr>
            <w:tcW w:w="1160" w:type="dxa"/>
            <w:vAlign w:val="bottom"/>
          </w:tcPr>
          <w:p>
            <w:pPr>
              <w:spacing w:after="0"/>
              <w:rPr>
                <w:sz w:val="20"/>
                <w:szCs w:val="20"/>
                <w:color w:val="auto"/>
              </w:rPr>
            </w:pPr>
          </w:p>
        </w:tc>
      </w:tr>
      <w:tr>
        <w:trPr>
          <w:trHeight w:val="305"/>
        </w:trPr>
        <w:tc>
          <w:tcPr>
            <w:tcW w:w="800" w:type="dxa"/>
            <w:vAlign w:val="bottom"/>
            <w:tcBorders>
              <w:bottom w:val="single" w:sz="8" w:color="CFF0FC"/>
            </w:tcBorders>
          </w:tcPr>
          <w:p>
            <w:pPr>
              <w:spacing w:after="0"/>
              <w:rPr>
                <w:sz w:val="24"/>
                <w:szCs w:val="24"/>
                <w:color w:val="auto"/>
              </w:rPr>
            </w:pPr>
          </w:p>
        </w:tc>
        <w:tc>
          <w:tcPr>
            <w:tcW w:w="89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Amount</w:t>
            </w:r>
          </w:p>
        </w:tc>
      </w:tr>
      <w:tr>
        <w:trPr>
          <w:trHeight w:val="229"/>
        </w:trPr>
        <w:tc>
          <w:tcPr>
            <w:tcW w:w="8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89"/>
              </w:rPr>
              <w:t>2022</w:t>
            </w:r>
          </w:p>
        </w:tc>
        <w:tc>
          <w:tcPr>
            <w:tcW w:w="89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w:t>
            </w:r>
          </w:p>
        </w:tc>
      </w:tr>
      <w:tr>
        <w:trPr>
          <w:trHeight w:val="230"/>
        </w:trPr>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2023</w:t>
            </w:r>
          </w:p>
        </w:tc>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5,985</w:t>
            </w:r>
          </w:p>
        </w:tc>
      </w:tr>
      <w:tr>
        <w:trPr>
          <w:trHeight w:val="229"/>
        </w:trPr>
        <w:tc>
          <w:tcPr>
            <w:tcW w:w="8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89"/>
              </w:rPr>
              <w:t>2024</w:t>
            </w:r>
          </w:p>
        </w:tc>
        <w:tc>
          <w:tcPr>
            <w:tcW w:w="8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w:t>
            </w:r>
          </w:p>
        </w:tc>
      </w:tr>
      <w:tr>
        <w:trPr>
          <w:trHeight w:val="229"/>
        </w:trPr>
        <w:tc>
          <w:tcPr>
            <w:tcW w:w="800" w:type="dxa"/>
            <w:vAlign w:val="bottom"/>
            <w:tcBorders>
              <w:bottom w:val="single" w:sz="8" w:color="CFF0FC"/>
            </w:tcBorders>
          </w:tcPr>
          <w:p>
            <w:pPr>
              <w:jc w:val="right"/>
              <w:ind w:right="330"/>
              <w:spacing w:after="0"/>
              <w:rPr>
                <w:sz w:val="20"/>
                <w:szCs w:val="20"/>
                <w:color w:val="auto"/>
              </w:rPr>
            </w:pPr>
            <w:r>
              <w:rPr>
                <w:rFonts w:ascii="Arial" w:cs="Arial" w:eastAsia="Arial" w:hAnsi="Arial"/>
                <w:sz w:val="18"/>
                <w:szCs w:val="18"/>
                <w:color w:val="auto"/>
                <w:w w:val="89"/>
              </w:rPr>
              <w:t>2025</w:t>
            </w:r>
          </w:p>
        </w:tc>
        <w:tc>
          <w:tcPr>
            <w:tcW w:w="8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48"/>
        </w:trPr>
        <w:tc>
          <w:tcPr>
            <w:tcW w:w="8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Total</w:t>
            </w:r>
          </w:p>
        </w:tc>
        <w:tc>
          <w:tcPr>
            <w:tcW w:w="89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15,704</w:t>
            </w:r>
          </w:p>
        </w:tc>
      </w:tr>
      <w:tr>
        <w:trPr>
          <w:trHeight w:val="20"/>
        </w:trPr>
        <w:tc>
          <w:tcPr>
            <w:tcW w:w="800" w:type="dxa"/>
            <w:vAlign w:val="bottom"/>
            <w:tcBorders>
              <w:top w:val="single" w:sz="8" w:color="CFF0FC"/>
            </w:tcBorders>
          </w:tcPr>
          <w:p>
            <w:pPr>
              <w:spacing w:after="0" w:line="20" w:lineRule="exact"/>
              <w:rPr>
                <w:sz w:val="1"/>
                <w:szCs w:val="1"/>
                <w:color w:val="auto"/>
              </w:rPr>
            </w:pPr>
          </w:p>
        </w:tc>
        <w:tc>
          <w:tcPr>
            <w:tcW w:w="8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The changes in the carrying amount of goodwill were as follows (in thousands):</w:t>
      </w:r>
    </w:p>
    <w:p>
      <w:pPr>
        <w:spacing w:after="0" w:line="136"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Amount</w:t>
      </w:r>
    </w:p>
    <w:p>
      <w:pPr>
        <w:sectPr>
          <w:pgSz w:w="11900" w:h="16838" w:orient="portrait"/>
          <w:cols w:equalWidth="0" w:num="1">
            <w:col w:w="11240"/>
          </w:cols>
          <w:pgMar w:left="320" w:top="111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 adjustments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Accrued Expenses and Other Current Liabilities</w:t>
      </w:r>
    </w:p>
    <w:p>
      <w:pPr>
        <w:spacing w:after="0" w:line="229"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231F20"/>
        </w:rPr>
        <w:t>Accrued expenses and 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100" w:hanging="840"/>
        <w:spacing w:after="0"/>
        <w:tabs>
          <w:tab w:leader="none" w:pos="2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17,609</w:t>
      </w:r>
    </w:p>
    <w:p>
      <w:pPr>
        <w:spacing w:after="0" w:line="34" w:lineRule="exact"/>
        <w:rPr>
          <w:rFonts w:ascii="Arial" w:cs="Arial" w:eastAsia="Arial" w:hAnsi="Arial"/>
          <w:sz w:val="17"/>
          <w:szCs w:val="17"/>
          <w:color w:val="auto"/>
        </w:rPr>
      </w:pPr>
    </w:p>
    <w:p>
      <w:pPr>
        <w:ind w:left="2020"/>
        <w:spacing w:after="0"/>
        <w:rPr>
          <w:rFonts w:ascii="Arial" w:cs="Arial" w:eastAsia="Arial" w:hAnsi="Arial"/>
          <w:sz w:val="17"/>
          <w:szCs w:val="17"/>
          <w:color w:val="auto"/>
        </w:rPr>
      </w:pPr>
      <w:r>
        <w:rPr>
          <w:rFonts w:ascii="Arial" w:cs="Arial" w:eastAsia="Arial" w:hAnsi="Arial"/>
          <w:sz w:val="17"/>
          <w:szCs w:val="17"/>
          <w:color w:val="auto"/>
        </w:rPr>
        <w:t>275,229</w:t>
      </w:r>
    </w:p>
    <w:p>
      <w:pPr>
        <w:spacing w:after="0" w:line="34" w:lineRule="exact"/>
        <w:rPr>
          <w:rFonts w:ascii="Arial" w:cs="Arial" w:eastAsia="Arial" w:hAnsi="Arial"/>
          <w:sz w:val="17"/>
          <w:szCs w:val="17"/>
          <w:color w:val="auto"/>
        </w:rPr>
      </w:pPr>
    </w:p>
    <w:p>
      <w:pPr>
        <w:ind w:left="2260"/>
        <w:spacing w:after="0"/>
        <w:rPr>
          <w:rFonts w:ascii="Arial" w:cs="Arial" w:eastAsia="Arial" w:hAnsi="Arial"/>
          <w:sz w:val="17"/>
          <w:szCs w:val="17"/>
          <w:color w:val="auto"/>
        </w:rPr>
      </w:pPr>
      <w:r>
        <w:rPr>
          <w:rFonts w:ascii="Arial" w:cs="Arial" w:eastAsia="Arial" w:hAnsi="Arial"/>
          <w:sz w:val="16"/>
          <w:szCs w:val="16"/>
          <w:color w:val="auto"/>
        </w:rPr>
        <w:t>(662)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29210</wp:posOffset>
            </wp:positionV>
            <wp:extent cx="908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8" w:lineRule="exact"/>
        <w:rPr>
          <w:sz w:val="20"/>
          <w:szCs w:val="20"/>
          <w:color w:val="auto"/>
        </w:rPr>
      </w:pPr>
    </w:p>
    <w:p>
      <w:pPr>
        <w:ind w:left="2020" w:hanging="760"/>
        <w:spacing w:after="0"/>
        <w:tabs>
          <w:tab w:leader="none" w:pos="2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292,176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22225</wp:posOffset>
            </wp:positionV>
            <wp:extent cx="9086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47625</wp:posOffset>
            </wp:positionV>
            <wp:extent cx="9086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ind w:left="280"/>
        <w:spacing w:after="0"/>
        <w:tabs>
          <w:tab w:leader="none" w:pos="18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9" w:lineRule="exact"/>
        <w:rPr>
          <w:sz w:val="20"/>
          <w:szCs w:val="20"/>
          <w:color w:val="auto"/>
        </w:rPr>
      </w:pPr>
    </w:p>
    <w:p>
      <w:pPr>
        <w:sectPr>
          <w:pgSz w:w="11900" w:h="16838" w:orient="portrait"/>
          <w:cols w:equalWidth="0" w:num="2">
            <w:col w:w="7820" w:space="720"/>
            <w:col w:w="2700"/>
          </w:cols>
          <w:pgMar w:left="320" w:top="111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4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50,885</w:t>
            </w:r>
          </w:p>
        </w:tc>
        <w:tc>
          <w:tcPr>
            <w:tcW w:w="10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compensation and commissions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22,186</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tax liability and sales tax</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12,558</w:t>
            </w:r>
          </w:p>
        </w:tc>
      </w:tr>
      <w:tr>
        <w:trPr>
          <w:trHeight w:val="229"/>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Early exercise liability-stock options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111,284</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55,351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Convertible Senior Notes</w:t>
      </w:r>
    </w:p>
    <w:p>
      <w:pPr>
        <w:spacing w:after="0" w:line="229"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61"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1460" w:hanging="480"/>
        <w:spacing w:after="0" w:line="279" w:lineRule="auto"/>
        <w:tabs>
          <w:tab w:leader="none" w:pos="14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3" w:lineRule="exact"/>
        <w:rPr>
          <w:rFonts w:ascii="Arial" w:cs="Arial" w:eastAsia="Arial" w:hAnsi="Arial"/>
          <w:sz w:val="17"/>
          <w:szCs w:val="17"/>
          <w:color w:val="auto"/>
        </w:rPr>
      </w:pPr>
    </w:p>
    <w:p>
      <w:pPr>
        <w:jc w:val="both"/>
        <w:ind w:left="1460" w:hanging="480"/>
        <w:spacing w:after="0" w:line="286" w:lineRule="auto"/>
        <w:tabs>
          <w:tab w:leader="none" w:pos="14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1460" w:hanging="480"/>
        <w:spacing w:after="0" w:line="277" w:lineRule="auto"/>
        <w:tabs>
          <w:tab w:leader="none" w:pos="14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ectPr>
          <w:pgSz w:w="11900" w:h="16838" w:orient="portrait"/>
          <w:cols w:equalWidth="0" w:num="1">
            <w:col w:w="11240"/>
          </w:cols>
          <w:pgMar w:left="320" w:top="1111"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76" w:name="page77"/>
    <w:bookmarkEnd w:id="76"/>
    <w:p>
      <w:pPr>
        <w:ind w:left="1460" w:hanging="480"/>
        <w:spacing w:after="0"/>
        <w:tabs>
          <w:tab w:leader="none" w:pos="1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as set forth in the indenture governing the 2025 Notes (“the Indenture”).</w:t>
      </w:r>
    </w:p>
    <w:p>
      <w:pPr>
        <w:spacing w:after="0" w:line="237"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 It is the Company’s current intent to settle the principal amount of the 2025 Notes in cash.</w:t>
      </w:r>
    </w:p>
    <w:p>
      <w:pPr>
        <w:spacing w:after="0" w:line="172"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During the three months ended September 30 and December 31, 2021, the conditional conversion feature of the 2025 Notes was triggered as the last reported sale price of the Company’s Class A common stock for at least 20 trading days (whether or not consecutive) during a period of 30 consecutive trading days ending on, and including, the last trading day of the quarters ended September 30 and December 31, 2021 was greater than or equal to 130% of the conversion price on each applicable trading day. Therefore the 2025 Notes are convertible, in whole or in part, at the option of the holders between January 1, 2022 through March 31, 2022. Whether the 2025 Notes will be convertible following such period will depend on the continued satisfaction of this condition or another conversion condition in the future.</w:t>
      </w:r>
    </w:p>
    <w:p>
      <w:pPr>
        <w:spacing w:after="0" w:line="17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When a conversion notice is received, the Company has the option to pay or deliver cash, shares of the Company’s common stock, or a combination thereof. As of December 31, 2021, the Company has received an immaterial amount of conversion notices from the holders and the 2025 Notes were classified as long-term debt on the Company's consolidated balance sheet.</w:t>
      </w:r>
    </w:p>
    <w:p>
      <w:pPr>
        <w:spacing w:after="0" w:line="184"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7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6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On January 1, 2021 the Company adopted ASU No. 2020-06.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Principal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747,500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747,500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Unamortized debt discount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Unamortized debt issuance costs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carrying amount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575,864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tcPr>
          <w:p>
            <w:pPr>
              <w:ind w:left="140"/>
              <w:spacing w:after="0" w:line="203" w:lineRule="exact"/>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3"/>
                <w:szCs w:val="23"/>
                <w:color w:val="auto"/>
                <w:vertAlign w:val="superscript"/>
              </w:rPr>
              <w:t>(1)</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173,070</w:t>
            </w:r>
          </w:p>
        </w:tc>
        <w:tc>
          <w:tcPr>
            <w:tcW w:w="0" w:type="dxa"/>
            <w:vAlign w:val="bottom"/>
          </w:tcPr>
          <w:p>
            <w:pPr>
              <w:spacing w:after="0"/>
              <w:rPr>
                <w:sz w:val="1"/>
                <w:szCs w:val="1"/>
                <w:color w:val="auto"/>
              </w:rPr>
            </w:pPr>
          </w:p>
        </w:tc>
      </w:tr>
      <w:tr>
        <w:trPr>
          <w:trHeight w:val="21"/>
        </w:trPr>
        <w:tc>
          <w:tcPr>
            <w:tcW w:w="82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As noted above, December 31, 2020 amounts have not been adjusted due to the adoption of ASU 2020-06 under the modified retrospective method.</w:t>
      </w:r>
    </w:p>
    <w:p>
      <w:pPr>
        <w:spacing w:after="0" w:line="20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2021, the total estimated fair value of the 2025 Notes was approximately $1,511.5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interest expense related to the 2025 Notes for years ended December 31, 2021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7"/>
        </w:trPr>
        <w:tc>
          <w:tcPr>
            <w:tcW w:w="798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4"/>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Contractual interest expense</w:t>
            </w: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0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17,621</w:t>
            </w: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issuance costs</w:t>
            </w:r>
          </w:p>
        </w:tc>
        <w:tc>
          <w:tcPr>
            <w:tcW w:w="10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19,267</w:t>
            </w:r>
          </w:p>
        </w:tc>
      </w:tr>
      <w:tr>
        <w:trPr>
          <w:trHeight w:val="20"/>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Commitments and Contingencies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Company enters into non-cancelable purchase commitments and operating leases in the normal course of business. Non-cancelable purchase commitments for business operations and operating lease obligations total $688.4 million and $97.0 million, respectively, as of December 31, 2021, due primarily over the next five years. Purchase commitments for business operations are primarily related to cloud hosting and other software-based services.</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Company also issued long-term debt to finance the business. In June 2020, the Company issued $747.5 million aggregate principal amount of the 2025 Notes in a private placement to qualified institutional buyers pursuant to Rule 144A under the Securities Act. The total net proceeds from the sale of the 2025 Notes, after deducting the initial purchasers’ discounts and debt issuance costs, were approximately $730.2 million. The principal and future interest payments related to the 2025 Notes is $750.8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p>
      <w:pPr>
        <w:jc w:val="both"/>
        <w:ind w:firstLine="972"/>
        <w:spacing w:after="0" w:line="255" w:lineRule="auto"/>
        <w:rPr>
          <w:sz w:val="20"/>
          <w:szCs w:val="20"/>
          <w:color w:val="auto"/>
        </w:rPr>
      </w:pPr>
      <w:r>
        <w:rPr>
          <w:rFonts w:ascii="Arial" w:cs="Arial" w:eastAsia="Arial" w:hAnsi="Arial"/>
          <w:sz w:val="18"/>
          <w:szCs w:val="18"/>
          <w:b w:val="1"/>
          <w:bCs w:val="1"/>
          <w:i w:val="1"/>
          <w:iCs w:val="1"/>
          <w:color w:val="auto"/>
        </w:rPr>
        <w:t>Non-Income Tax Matters</w:t>
      </w:r>
      <w:r>
        <w:rPr>
          <w:rFonts w:ascii="Arial" w:cs="Arial" w:eastAsia="Arial" w:hAnsi="Arial"/>
          <w:sz w:val="18"/>
          <w:szCs w:val="18"/>
          <w:color w:val="auto"/>
        </w:rPr>
        <w:t>— In January 2015, the Company recorded a $5.0 million contingent Federal payroll tax liability in conjunction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common stock repurchase transactions, as part of a capital raise, with certain of its employees. The potential payroll tax treatment of these transactions was subject to uncertainty, and the contingent payroll tax liability was deemed probable and reasonably estimable. On April 15, 2019, the period of limitations for assessing the contingent Federal payroll tax liability expired and the Company was legally released from being the primary obligor. As a result, the Company recognized a $5.0 million benefit in the operating expenses section of the consolidated statement of operations during the year ended December 31, 2019.</w:t>
      </w:r>
    </w:p>
    <w:p>
      <w:pPr>
        <w:spacing w:after="0" w:line="192"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 xml:space="preserve">In January 2016, the Company recorded a $5.4 million contingent Federal payroll tax liability in conjunction with common stock repurchase transactions, as part of a capital raise, with </w:t>
      </w:r>
      <w:r>
        <w:rPr>
          <w:rFonts w:ascii="Arial" w:cs="Arial" w:eastAsia="Arial" w:hAnsi="Arial"/>
          <w:sz w:val="16"/>
          <w:szCs w:val="16"/>
          <w:color w:val="231F20"/>
        </w:rPr>
        <w:t>certain of its employees. The potential payroll tax treatment of these transactions was subject to uncertainty, and</w:t>
      </w:r>
      <w:r>
        <w:rPr>
          <w:rFonts w:ascii="Arial" w:cs="Arial" w:eastAsia="Arial" w:hAnsi="Arial"/>
          <w:sz w:val="16"/>
          <w:szCs w:val="16"/>
          <w:color w:val="auto"/>
        </w:rPr>
        <w:t xml:space="preserve"> </w:t>
      </w:r>
      <w:r>
        <w:rPr>
          <w:rFonts w:ascii="Arial" w:cs="Arial" w:eastAsia="Arial" w:hAnsi="Arial"/>
          <w:sz w:val="16"/>
          <w:szCs w:val="16"/>
          <w:color w:val="231F20"/>
        </w:rPr>
        <w:t>the contingent payroll tax liability was deemed probable and reasonably estimable. On April 15, 2020, the period of limitations for assessing the contingent Federal payroll tax liability expired and the Company was legally released from being the primary obligor. As a result, the Company recognized a $5.6 million benefit in the operating expenses section of the consolidated statement of operations during the year ended December 31, 2020.</w:t>
      </w:r>
    </w:p>
    <w:p>
      <w:pPr>
        <w:spacing w:after="0" w:line="161" w:lineRule="exact"/>
        <w:rPr>
          <w:sz w:val="20"/>
          <w:szCs w:val="20"/>
          <w:color w:val="auto"/>
        </w:rPr>
      </w:pPr>
    </w:p>
    <w:p>
      <w:pPr>
        <w:jc w:val="both"/>
        <w:ind w:right="20" w:firstLine="972"/>
        <w:spacing w:after="0" w:line="308" w:lineRule="auto"/>
        <w:rPr>
          <w:sz w:val="20"/>
          <w:szCs w:val="20"/>
          <w:color w:val="auto"/>
        </w:rPr>
      </w:pPr>
      <w:r>
        <w:rPr>
          <w:rFonts w:ascii="Arial" w:cs="Arial" w:eastAsia="Arial" w:hAnsi="Arial"/>
          <w:sz w:val="17"/>
          <w:szCs w:val="17"/>
          <w:b w:val="1"/>
          <w:bCs w:val="1"/>
          <w:i w:val="1"/>
          <w:iCs w:val="1"/>
          <w:color w:val="231F20"/>
        </w:rPr>
        <w:t>401(k) Plan</w:t>
      </w:r>
      <w:r>
        <w:rPr>
          <w:rFonts w:ascii="Arial" w:cs="Arial" w:eastAsia="Arial" w:hAnsi="Arial"/>
          <w:sz w:val="17"/>
          <w:szCs w:val="17"/>
          <w:color w:val="231F20"/>
        </w:rPr>
        <w:t>—The Company sponsors a 401(k) defined contribution plan covering all eligible US employees. Contributions to the 401(k) plan</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are discretionary. The Company did not make any matching contributions to the 401(k) plan for the years ended December 31, 2021 and 2020.</w:t>
      </w:r>
    </w:p>
    <w:p>
      <w:pPr>
        <w:spacing w:after="0" w:line="14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b w:val="1"/>
          <w:bCs w:val="1"/>
          <w:i w:val="1"/>
          <w:iCs w:val="1"/>
          <w:color w:val="231F20"/>
        </w:rPr>
        <w:t>Legal Matters</w:t>
      </w:r>
      <w:r>
        <w:rPr>
          <w:rFonts w:ascii="Arial" w:cs="Arial" w:eastAsia="Arial" w:hAnsi="Arial"/>
          <w:sz w:val="18"/>
          <w:szCs w:val="18"/>
          <w:color w:val="231F20"/>
        </w:rPr>
        <w:t>—The Company is involved from time to time in various claims and legal actions arising in the ordinary course of business.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While it 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i w:val="1"/>
          <w:iCs w:val="1"/>
          <w:color w:val="231F20"/>
        </w:rPr>
        <w:t>Indemnification</w:t>
      </w:r>
      <w:r>
        <w:rPr>
          <w:rFonts w:ascii="Arial" w:cs="Arial" w:eastAsia="Arial" w:hAnsi="Arial"/>
          <w:sz w:val="17"/>
          <w:szCs w:val="17"/>
          <w:color w:val="231F20"/>
        </w:rPr>
        <w:t>—The Company enters into indemnification provisions under some agreements with other parties in the ordinary course of</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Leases</w:t>
      </w:r>
    </w:p>
    <w:p>
      <w:pPr>
        <w:spacing w:after="0" w:line="229"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The Company has entered into various non-cancelable operating leases for its facilities expiring between fiscal 2022 and 2030. Certain lease agreements contain an option for the Company to renew a lease for a term of up to two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Rent expense for the years ended December 31, 2021, 2020 and 2019 was $23.8 million, $20.8 million, and $16.7 million, respectively.</w:t>
      </w:r>
    </w:p>
    <w:p>
      <w:pPr>
        <w:spacing w:after="0" w:line="23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During the years ended 2021, 2020 and 2019, the Company recorded $1.0 million, $1.0 million and $1.0 million, respectively, in sub-lease income which were recorded as a credit to rent expense.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The components of lease cost recognized within the Company’s consolidated statements of operations were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Year Ended December</w:t>
            </w:r>
          </w:p>
        </w:tc>
      </w:tr>
      <w:tr>
        <w:trPr>
          <w:trHeight w:val="188"/>
        </w:trPr>
        <w:tc>
          <w:tcPr>
            <w:tcW w:w="8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31, 2020</w:t>
            </w:r>
          </w:p>
        </w:tc>
      </w:tr>
      <w:tr>
        <w:trPr>
          <w:trHeight w:val="224"/>
        </w:trPr>
        <w:tc>
          <w:tcPr>
            <w:tcW w:w="8240" w:type="dxa"/>
            <w:vAlign w:val="bottom"/>
            <w:shd w:val="clear" w:color="auto" w:fill="CFF0FC"/>
          </w:tcPr>
          <w:p>
            <w:pPr>
              <w:ind w:left="20"/>
              <w:spacing w:after="0" w:line="22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3,717</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9" w:name="page80"/>
    <w:bookmarkEnd w:id="79"/>
    <w:p>
      <w:pPr>
        <w:ind w:left="340" w:hanging="332"/>
        <w:spacing w:after="0"/>
        <w:tabs>
          <w:tab w:leader="none" w:pos="34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non-cash lease expense of $17.2 million and $14.0 million for the years ended December 31, 2021 and 2020, respectively.</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Supplemental cash flow information and non-cash activity related to the Company’s operating leases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Year Ended December</w:t>
            </w:r>
          </w:p>
        </w:tc>
      </w:tr>
      <w:tr>
        <w:trPr>
          <w:trHeight w:val="188"/>
        </w:trPr>
        <w:tc>
          <w:tcPr>
            <w:tcW w:w="8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31, 2020</w:t>
            </w: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17,379</w:t>
            </w:r>
          </w:p>
        </w:tc>
      </w:tr>
      <w:tr>
        <w:trPr>
          <w:trHeight w:val="512"/>
        </w:trPr>
        <w:tc>
          <w:tcPr>
            <w:tcW w:w="9780" w:type="dxa"/>
            <w:vAlign w:val="bottom"/>
            <w:gridSpan w:val="4"/>
          </w:tcPr>
          <w:p>
            <w:pPr>
              <w:ind w:left="980"/>
              <w:spacing w:after="0"/>
              <w:rPr>
                <w:sz w:val="20"/>
                <w:szCs w:val="20"/>
                <w:color w:val="auto"/>
              </w:rPr>
            </w:pPr>
            <w:r>
              <w:rPr>
                <w:rFonts w:ascii="Arial" w:cs="Arial" w:eastAsia="Arial" w:hAnsi="Arial"/>
                <w:sz w:val="18"/>
                <w:szCs w:val="18"/>
                <w:color w:val="231F20"/>
              </w:rPr>
              <w:t>Maturities of lease liabilities by fiscal year for the Company’s operating leases are as follows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824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Amount</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19,127</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7,633</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15,528</w:t>
            </w: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(8,633)</w:t>
            </w:r>
          </w:p>
        </w:tc>
      </w:tr>
      <w:tr>
        <w:trPr>
          <w:trHeight w:val="254"/>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72,262</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2021, the Company has four additional operating leases that have not yet commenced, which are excluded from the table above. The operating leases will commence in fiscal year 2022 and total $16.1 million of undiscounted future payments with a weighted average lease term of 5.3 years.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Weighted average remaining lease term and discount rate for the Company’s operating leases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980" w:type="dxa"/>
            <w:vAlign w:val="bottom"/>
            <w:tcBorders>
              <w:bottom w:val="single" w:sz="8" w:color="CFF0FC"/>
            </w:tcBorders>
          </w:tcPr>
          <w:p>
            <w:pPr>
              <w:spacing w:after="0"/>
              <w:rPr>
                <w:sz w:val="16"/>
                <w:szCs w:val="16"/>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4.55 %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4.71 %</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Revenue by location is determined by the billing address of the customer. The following table sets forth revenue by geographic area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736,218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449,899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272,190</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292,566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90,590</w:t>
            </w:r>
          </w:p>
        </w:tc>
      </w:tr>
      <w:tr>
        <w:trPr>
          <w:trHeight w:val="248"/>
        </w:trPr>
        <w:tc>
          <w:tcPr>
            <w:tcW w:w="6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1,028,784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603,466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362,780</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firstLine="972"/>
        <w:spacing w:after="0" w:line="277" w:lineRule="auto"/>
        <w:rPr>
          <w:sz w:val="20"/>
          <w:szCs w:val="20"/>
          <w:color w:val="auto"/>
        </w:rPr>
      </w:pPr>
      <w:r>
        <w:rPr>
          <w:rFonts w:ascii="Arial" w:cs="Arial" w:eastAsia="Arial" w:hAnsi="Arial"/>
          <w:sz w:val="18"/>
          <w:szCs w:val="18"/>
          <w:color w:val="231F20"/>
        </w:rPr>
        <w:t>Other than the United States, no other individual country accounted for 10% or more of total revenue for the years ended December 31, 2021, 2020, or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231F20"/>
        </w:rPr>
        <w:t>As of December 31, 2021, and 2020, unbilled accounts receivable of approximately $44.2 million and $20.1 million, respectively, was included in accounts receivable on the Company’s consolidated balance sheets.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0" w:name="page81"/>
    <w:bookmarkEnd w:id="80"/>
    <w:p>
      <w:pPr>
        <w:jc w:val="both"/>
        <w:ind w:firstLine="972"/>
        <w:spacing w:after="0" w:line="277" w:lineRule="auto"/>
        <w:rPr>
          <w:sz w:val="20"/>
          <w:szCs w:val="20"/>
          <w:color w:val="auto"/>
        </w:rPr>
      </w:pPr>
      <w:r>
        <w:rPr>
          <w:rFonts w:ascii="Arial" w:cs="Arial" w:eastAsia="Arial" w:hAnsi="Arial"/>
          <w:sz w:val="18"/>
          <w:szCs w:val="18"/>
          <w:color w:val="231F20"/>
        </w:rPr>
        <w:t>During the years ended December 31, 2021 and 2020, the Company charged $1.7 million and $1.6 million, respectively, of accounts receivable deemed uncollectible against the allowance for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Revenue recognized during the years ended December 31, 2021, 2020 and 2019 which was included in the deferred revenue balances at the beginning of each respective period, was $206.6 million, $126.8 million, and $71.0 million.</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As of December 31, 2021, and 2020, the aggregate transaction price allocated to remaining performance obligations was $815.0 million and $434.1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Deferred contract costs on the Company’s consolidated balance sheets were $65.3 million and $40.4 million as of December 31, 2021 and 2020, respectively. Amortization expense was $17.9 million, $10.4 million and $5.4 million for the years ended December 31, 2021,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the sale or transfer to Class A common stock, subject to certain limited exceptions.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During the year ended December 31, 2021, 38,379,141 shares of Class B common stock were converted into Class A common stock.</w:t>
      </w:r>
    </w:p>
    <w:p>
      <w:pPr>
        <w:spacing w:after="0" w:line="23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2021, the Company had authorized 2,000,000,000 shares of Class A common stock and 310,000,000 shares of Class B common stock, each at a par value per share of $0.00001, of which 263,339,585 shares of Class A common stock and 50,025,852 shares of Class B common stock were issued and outstanding.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As of December 31, 2021 and 2020, the Company had reserved shares of common stock for future issuance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1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CFF0FC"/>
            </w:tcBorders>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8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Options and RSU's outstanding</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29,453,830</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32,235,043</w:t>
            </w: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Shares available for future option and RSU grants</w:t>
            </w:r>
          </w:p>
        </w:tc>
        <w:tc>
          <w:tcPr>
            <w:tcW w:w="1520" w:type="dxa"/>
            <w:vAlign w:val="bottom"/>
          </w:tcPr>
          <w:p>
            <w:pPr>
              <w:jc w:val="right"/>
              <w:spacing w:after="0"/>
              <w:rPr>
                <w:sz w:val="20"/>
                <w:szCs w:val="20"/>
                <w:color w:val="auto"/>
              </w:rPr>
            </w:pPr>
            <w:r>
              <w:rPr>
                <w:rFonts w:ascii="Arial" w:cs="Arial" w:eastAsia="Arial" w:hAnsi="Arial"/>
                <w:sz w:val="18"/>
                <w:szCs w:val="18"/>
                <w:color w:val="auto"/>
              </w:rPr>
              <w:t>54,279,321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42,797,432</w:t>
            </w:r>
          </w:p>
        </w:tc>
      </w:tr>
      <w:tr>
        <w:trPr>
          <w:trHeight w:val="229"/>
        </w:trPr>
        <w:tc>
          <w:tcPr>
            <w:tcW w:w="80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Shares subject to the employee stock purchase plan</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11,989,812</w:t>
            </w: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9,222,883</w:t>
            </w:r>
          </w:p>
        </w:tc>
      </w:tr>
      <w:tr>
        <w:trPr>
          <w:trHeight w:val="223"/>
        </w:trPr>
        <w:tc>
          <w:tcPr>
            <w:tcW w:w="80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95,722,963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84,255,358</w:t>
            </w: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6"/>
          <w:szCs w:val="16"/>
          <w:color w:val="auto"/>
        </w:rPr>
        <w:t>The Company has two equity incentive plans, the 2012 Equity Incentive Plan (the “2012 Plan”) and the 2019 Equity Incentive Plan (the “2019 Plan”). In connection with the IPO, the Company ceased granting awards under the 2012 Plan, and all shares that remained available for issuance</w:t>
      </w:r>
    </w:p>
    <w:p>
      <w:pPr>
        <w:jc w:val="both"/>
        <w:spacing w:after="0" w:line="296" w:lineRule="auto"/>
        <w:rPr>
          <w:sz w:val="20"/>
          <w:szCs w:val="20"/>
          <w:color w:val="auto"/>
        </w:rPr>
      </w:pPr>
      <w:r>
        <w:rPr>
          <w:rFonts w:ascii="Arial" w:cs="Arial" w:eastAsia="Arial" w:hAnsi="Arial"/>
          <w:sz w:val="16"/>
          <w:szCs w:val="16"/>
          <w:color w:val="auto"/>
        </w:rPr>
        <w:t xml:space="preserve">under the 2012 Plan at that time were transferred to the </w:t>
      </w:r>
      <w:r>
        <w:rPr>
          <w:rFonts w:ascii="Arial" w:cs="Arial" w:eastAsia="Arial" w:hAnsi="Arial"/>
          <w:sz w:val="16"/>
          <w:szCs w:val="16"/>
          <w:color w:val="231F20"/>
        </w:rPr>
        <w:t>2019 Plan</w:t>
      </w:r>
      <w:r>
        <w:rPr>
          <w:rFonts w:ascii="Arial" w:cs="Arial" w:eastAsia="Arial" w:hAnsi="Arial"/>
          <w:sz w:val="16"/>
          <w:szCs w:val="16"/>
          <w:color w:val="auto"/>
        </w:rPr>
        <w:t xml:space="preserve">. </w:t>
      </w:r>
      <w:r>
        <w:rPr>
          <w:rFonts w:ascii="Arial" w:cs="Arial" w:eastAsia="Arial" w:hAnsi="Arial"/>
          <w:sz w:val="16"/>
          <w:szCs w:val="16"/>
          <w:color w:val="231F20"/>
        </w:rPr>
        <w:t>Additionally, as of December 31, 2021, there were 21,340,890 shares of Class A</w:t>
      </w:r>
      <w:r>
        <w:rPr>
          <w:rFonts w:ascii="Arial" w:cs="Arial" w:eastAsia="Arial" w:hAnsi="Arial"/>
          <w:sz w:val="16"/>
          <w:szCs w:val="16"/>
          <w:color w:val="auto"/>
        </w:rPr>
        <w:t xml:space="preserve"> </w:t>
      </w:r>
      <w:r>
        <w:rPr>
          <w:rFonts w:ascii="Arial" w:cs="Arial" w:eastAsia="Arial" w:hAnsi="Arial"/>
          <w:sz w:val="16"/>
          <w:szCs w:val="16"/>
          <w:color w:val="231F20"/>
        </w:rPr>
        <w:t xml:space="preserve">common stock issuable upon conversion of Class B common stock underlying options outstanding under the 2012 Plan. </w:t>
      </w:r>
      <w:r>
        <w:rPr>
          <w:rFonts w:ascii="Arial" w:cs="Arial" w:eastAsia="Arial" w:hAnsi="Arial"/>
          <w:sz w:val="16"/>
          <w:szCs w:val="16"/>
          <w:color w:val="000000"/>
        </w:rPr>
        <w:t>Under the</w:t>
      </w:r>
      <w:r>
        <w:rPr>
          <w:rFonts w:ascii="Arial" w:cs="Arial" w:eastAsia="Arial" w:hAnsi="Arial"/>
          <w:sz w:val="16"/>
          <w:szCs w:val="16"/>
          <w:color w:val="231F20"/>
        </w:rPr>
        <w:t xml:space="preserve"> 2019 Plan</w:t>
      </w:r>
      <w:r>
        <w:rPr>
          <w:rFonts w:ascii="Arial" w:cs="Arial" w:eastAsia="Arial" w:hAnsi="Arial"/>
          <w:sz w:val="16"/>
          <w:szCs w:val="16"/>
          <w:color w:val="000000"/>
        </w:rPr>
        <w:t>, the Board</w:t>
      </w:r>
      <w:r>
        <w:rPr>
          <w:rFonts w:ascii="Arial" w:cs="Arial" w:eastAsia="Arial" w:hAnsi="Arial"/>
          <w:sz w:val="16"/>
          <w:szCs w:val="16"/>
          <w:color w:val="231F20"/>
        </w:rPr>
        <w:t xml:space="preserve"> </w:t>
      </w:r>
      <w:r>
        <w:rPr>
          <w:rFonts w:ascii="Arial" w:cs="Arial" w:eastAsia="Arial" w:hAnsi="Arial"/>
          <w:sz w:val="16"/>
          <w:szCs w:val="16"/>
          <w:color w:val="000000"/>
        </w:rPr>
        <w:t xml:space="preserve">and any other committee or subcommittee of the Board may grant stock options, stock appreciation rights, restricted stock awards, restricted stock units (“RSUs”), and performance-based and other awards, each equity award valued or based on the Company’s Class A common stock, to employees, directors, consultants, and advisors of the Company. </w:t>
      </w:r>
      <w:r>
        <w:rPr>
          <w:rFonts w:ascii="Arial" w:cs="Arial" w:eastAsia="Arial" w:hAnsi="Arial"/>
          <w:sz w:val="16"/>
          <w:szCs w:val="16"/>
          <w:color w:val="231F20"/>
        </w:rPr>
        <w:t>As of December 31, 2021, there were 54,279,321 shares available for grant under the 2019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The Company uses the Black-Scholes option pricing model to value stock options. The fair value of each award is recognized on a straight-line basis over the vesting or service period, which is typically four years. The Black-Scholes model requires specified inputs to determine the fair value of stock-based awards, consisting of (i) the expected volatility of the Company’s common stock over the expected option life, (ii) the risk-free interest rate, (iii) the expected dividend yield, and (iv) the expected option life.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The following table summarizes the assumptions used during the years ended December 31, 2021,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64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8"/>
              </w:rPr>
              <w:t xml:space="preserve">2021 </w:t>
            </w:r>
            <w:r>
              <w:rPr>
                <w:rFonts w:ascii="Arial" w:cs="Arial" w:eastAsia="Arial" w:hAnsi="Arial"/>
                <w:sz w:val="18"/>
                <w:szCs w:val="18"/>
                <w:b w:val="1"/>
                <w:bCs w:val="1"/>
                <w:color w:val="auto"/>
                <w:w w:val="88"/>
                <w:vertAlign w:val="superscript"/>
              </w:rPr>
              <w:t>(1)</w:t>
            </w:r>
          </w:p>
        </w:tc>
        <w:tc>
          <w:tcPr>
            <w:tcW w:w="164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6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38.9%</w:t>
            </w:r>
          </w:p>
        </w:tc>
        <w:tc>
          <w:tcPr>
            <w:tcW w:w="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- 39.5%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640" w:type="dxa"/>
            <w:vAlign w:val="bottom"/>
            <w:gridSpan w:val="2"/>
          </w:tcPr>
          <w:p>
            <w:pPr>
              <w:jc w:val="center"/>
              <w:ind w:left="17"/>
              <w:spacing w:after="0"/>
              <w:rPr>
                <w:sz w:val="20"/>
                <w:szCs w:val="20"/>
                <w:color w:val="auto"/>
              </w:rPr>
            </w:pPr>
            <w:r>
              <w:rPr>
                <w:rFonts w:ascii="Arial" w:cs="Arial" w:eastAsia="Arial" w:hAnsi="Arial"/>
                <w:sz w:val="18"/>
                <w:szCs w:val="18"/>
                <w:color w:val="auto"/>
                <w:w w:val="92"/>
              </w:rPr>
              <w:t>1.7%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ind w:left="20"/>
              <w:spacing w:after="0"/>
              <w:rPr>
                <w:sz w:val="20"/>
                <w:szCs w:val="20"/>
                <w:color w:val="auto"/>
              </w:rPr>
            </w:pPr>
            <w:r>
              <w:rPr>
                <w:rFonts w:ascii="Arial" w:cs="Arial" w:eastAsia="Arial" w:hAnsi="Arial"/>
                <w:sz w:val="18"/>
                <w:szCs w:val="18"/>
                <w:color w:val="auto"/>
              </w:rPr>
              <w:t>- 2.6%</w:t>
            </w:r>
          </w:p>
        </w:tc>
      </w:tr>
      <w:tr>
        <w:trPr>
          <w:trHeight w:val="22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64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800" w:type="dxa"/>
            <w:vAlign w:val="bottom"/>
          </w:tcPr>
          <w:p>
            <w:pPr>
              <w:ind w:left="20"/>
              <w:spacing w:after="0"/>
              <w:rPr>
                <w:sz w:val="20"/>
                <w:szCs w:val="20"/>
                <w:color w:val="auto"/>
              </w:rPr>
            </w:pPr>
            <w:r>
              <w:rPr>
                <w:rFonts w:ascii="Arial" w:cs="Arial" w:eastAsia="Arial" w:hAnsi="Arial"/>
                <w:sz w:val="18"/>
                <w:szCs w:val="18"/>
                <w:color w:val="auto"/>
              </w:rPr>
              <w:t>- 6.3</w:t>
            </w:r>
          </w:p>
        </w:tc>
      </w:tr>
      <w:tr>
        <w:trPr>
          <w:trHeight w:val="22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640" w:type="dxa"/>
            <w:vAlign w:val="bottom"/>
            <w:gridSpan w:val="2"/>
            <w:shd w:val="clear" w:color="auto" w:fill="CFF0FC"/>
          </w:tcPr>
          <w:p>
            <w:pPr>
              <w:jc w:val="center"/>
              <w:ind w:left="17"/>
              <w:spacing w:after="0"/>
              <w:rPr>
                <w:sz w:val="20"/>
                <w:szCs w:val="20"/>
                <w:color w:val="auto"/>
              </w:rPr>
            </w:pPr>
            <w:r>
              <w:rPr>
                <w:rFonts w:ascii="Arial" w:cs="Arial" w:eastAsia="Arial" w:hAnsi="Arial"/>
                <w:sz w:val="18"/>
                <w:szCs w:val="18"/>
                <w:color w:val="auto"/>
                <w:w w:val="90"/>
              </w:rPr>
              <w:t>$41.19</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$6.16 - $38.21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There were no stock options granted during the year ended December 31, 2021.</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231F20"/>
        </w:rPr>
        <w:t>Expected volatility</w:t>
      </w:r>
      <w:r>
        <w:rPr>
          <w:rFonts w:ascii="Arial" w:cs="Arial" w:eastAsia="Arial" w:hAnsi="Arial"/>
          <w:sz w:val="16"/>
          <w:szCs w:val="16"/>
          <w:color w:val="231F20"/>
        </w:rPr>
        <w:t>—The Company performed an analysis of its peer companies with similar expected lives to develop an expected volatility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assumption.</w:t>
      </w:r>
    </w:p>
    <w:p>
      <w:pPr>
        <w:spacing w:after="0" w:line="21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i w:val="1"/>
          <w:iCs w:val="1"/>
          <w:color w:val="231F20"/>
        </w:rPr>
        <w:t>Expected term</w:t>
      </w:r>
      <w:r>
        <w:rPr>
          <w:rFonts w:ascii="Arial" w:cs="Arial" w:eastAsia="Arial" w:hAnsi="Arial"/>
          <w:sz w:val="18"/>
          <w:szCs w:val="18"/>
          <w:color w:val="231F20"/>
        </w:rPr>
        <w:t>—Derived from the life of the options granted under the option plan and is based on the simplified method which is essentially</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weighted average of the vesting period and contractual term.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231F20"/>
        </w:rPr>
        <w:t>Risk-free interest rate</w:t>
      </w:r>
      <w:r>
        <w:rPr>
          <w:rFonts w:ascii="Arial" w:cs="Arial" w:eastAsia="Arial" w:hAnsi="Arial"/>
          <w:sz w:val="18"/>
          <w:szCs w:val="18"/>
          <w:color w:val="231F20"/>
        </w:rPr>
        <w:t>—Based upon quoted market yields for the United States Treasury debt securities.</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i w:val="1"/>
          <w:iCs w:val="1"/>
          <w:color w:val="231F20"/>
        </w:rPr>
        <w:t>Expected dividend yield</w:t>
      </w:r>
      <w:r>
        <w:rPr>
          <w:rFonts w:ascii="Arial" w:cs="Arial" w:eastAsia="Arial" w:hAnsi="Arial"/>
          <w:sz w:val="18"/>
          <w:szCs w:val="18"/>
          <w:color w:val="231F20"/>
        </w:rPr>
        <w:t>—Since the Company has never paid and has no intention to pay cash dividends on common stock, the expected</w:t>
      </w:r>
      <w:r>
        <w:rPr>
          <w:rFonts w:ascii="Arial" w:cs="Arial" w:eastAsia="Arial" w:hAnsi="Arial"/>
          <w:sz w:val="18"/>
          <w:szCs w:val="18"/>
          <w:i w:val="1"/>
          <w:iCs w:val="1"/>
          <w:color w:val="231F20"/>
        </w:rPr>
        <w:t xml:space="preserve"> </w:t>
      </w:r>
      <w:r>
        <w:rPr>
          <w:rFonts w:ascii="Arial" w:cs="Arial" w:eastAsia="Arial" w:hAnsi="Arial"/>
          <w:sz w:val="18"/>
          <w:szCs w:val="18"/>
          <w:color w:val="231F20"/>
        </w:rPr>
        <w:t>dividend yield is zero.</w:t>
      </w:r>
    </w:p>
    <w:p>
      <w:pPr>
        <w:spacing w:after="0" w:line="170"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i w:val="1"/>
          <w:iCs w:val="1"/>
          <w:color w:val="231F20"/>
        </w:rPr>
        <w:t>Fair value of the common stock</w:t>
      </w:r>
      <w:r>
        <w:rPr>
          <w:rFonts w:ascii="Arial" w:cs="Arial" w:eastAsia="Arial" w:hAnsi="Arial"/>
          <w:sz w:val="17"/>
          <w:szCs w:val="17"/>
          <w:color w:val="231F20"/>
        </w:rPr>
        <w:t>—Prior to the IPO, the fair value of common stock underlying the stock-based awards was determined by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Company’s Board of Directors. The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Since the Company’s IPO, the fair value of the underlying common stock is determined by the closing price, on the date of grant, of the Company’s Class A common stock, which is traded publicly on The Nasdaq Global Select Market.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2" w:name="page83"/>
    <w:bookmarkEnd w:id="82"/>
    <w:p>
      <w:pPr>
        <w:ind w:left="980"/>
        <w:spacing w:after="0"/>
        <w:rPr>
          <w:sz w:val="20"/>
          <w:szCs w:val="20"/>
          <w:color w:val="auto"/>
        </w:rPr>
      </w:pPr>
      <w:r>
        <w:rPr>
          <w:rFonts w:ascii="Arial" w:cs="Arial" w:eastAsia="Arial" w:hAnsi="Arial"/>
          <w:sz w:val="18"/>
          <w:szCs w:val="18"/>
          <w:color w:val="231F20"/>
        </w:rPr>
        <w:t>The following table summarizes the Company's stock option activity and weighted-average exercise prices: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1"/>
              </w:rPr>
              <w:t>Weighted-</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231F20"/>
                <w:w w:val="97"/>
              </w:rPr>
              <w:t>Number of</w:t>
            </w:r>
          </w:p>
        </w:tc>
        <w:tc>
          <w:tcPr>
            <w:tcW w:w="220" w:type="dxa"/>
            <w:vAlign w:val="bottom"/>
          </w:tcPr>
          <w:p>
            <w:pPr>
              <w:spacing w:after="0"/>
              <w:rPr>
                <w:sz w:val="11"/>
                <w:szCs w:val="11"/>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231F20"/>
                <w:w w:val="94"/>
              </w:rPr>
              <w:t>Weighted-</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231F20"/>
                <w:w w:val="90"/>
              </w:rPr>
              <w:t>Average</w:t>
            </w:r>
          </w:p>
        </w:tc>
        <w:tc>
          <w:tcPr>
            <w:tcW w:w="220" w:type="dxa"/>
            <w:vAlign w:val="bottom"/>
          </w:tcPr>
          <w:p>
            <w:pPr>
              <w:spacing w:after="0"/>
              <w:rPr>
                <w:sz w:val="11"/>
                <w:szCs w:val="11"/>
                <w:color w:val="auto"/>
              </w:rPr>
            </w:pPr>
          </w:p>
        </w:tc>
        <w:tc>
          <w:tcPr>
            <w:tcW w:w="13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231F20"/>
                <w:w w:val="92"/>
              </w:rPr>
              <w:t>Remaining</w:t>
            </w:r>
          </w:p>
        </w:tc>
        <w:tc>
          <w:tcPr>
            <w:tcW w:w="2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231F20"/>
                <w:w w:val="90"/>
              </w:rPr>
              <w:t>Options</w:t>
            </w: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231F20"/>
                <w:w w:val="90"/>
              </w:rPr>
              <w:t>Average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231F20"/>
                <w:w w:val="95"/>
              </w:rPr>
              <w:t>Contractual Life</w:t>
            </w:r>
          </w:p>
        </w:tc>
        <w:tc>
          <w:tcPr>
            <w:tcW w:w="220" w:type="dxa"/>
            <w:vAlign w:val="bottom"/>
          </w:tcPr>
          <w:p>
            <w:pPr>
              <w:spacing w:after="0"/>
              <w:rPr>
                <w:sz w:val="11"/>
                <w:szCs w:val="11"/>
                <w:color w:val="auto"/>
              </w:rPr>
            </w:pPr>
          </w:p>
        </w:tc>
        <w:tc>
          <w:tcPr>
            <w:tcW w:w="132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31F20"/>
                <w:w w:val="92"/>
              </w:rPr>
              <w:t>Outstanding</w:t>
            </w: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1"/>
              </w:rPr>
              <w:t>Exercise Price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0"/>
              </w:rPr>
              <w:t>(in Years)</w:t>
            </w:r>
          </w:p>
        </w:tc>
        <w:tc>
          <w:tcPr>
            <w:tcW w:w="220" w:type="dxa"/>
            <w:vAlign w:val="bottom"/>
          </w:tcPr>
          <w:p>
            <w:pPr>
              <w:spacing w:after="0"/>
              <w:rPr>
                <w:sz w:val="16"/>
                <w:szCs w:val="16"/>
                <w:color w:val="auto"/>
              </w:rPr>
            </w:pPr>
          </w:p>
        </w:tc>
        <w:tc>
          <w:tcPr>
            <w:tcW w:w="13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4"/>
        </w:trPr>
        <w:tc>
          <w:tcPr>
            <w:tcW w:w="47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Balance—December 31, 2019</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36,384,767</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1,266,938</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14,600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(8,753,274)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Options forfeited or 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(577,770)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Balance—December 31, 2020</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27,068,323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2,575,069</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Exercisable—December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16,545,562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1,605,723</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Balance—December 31, 2020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27,068,323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2,575,069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(5,109,688)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Options forfeited or 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(586,074)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Balance—December 31, 2021</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21,372,561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3,735,819</w:t>
            </w:r>
          </w:p>
        </w:tc>
        <w:tc>
          <w:tcPr>
            <w:tcW w:w="0" w:type="dxa"/>
            <w:vAlign w:val="bottom"/>
          </w:tcPr>
          <w:p>
            <w:pPr>
              <w:spacing w:after="0"/>
              <w:rPr>
                <w:sz w:val="1"/>
                <w:szCs w:val="1"/>
                <w:color w:val="auto"/>
              </w:rPr>
            </w:pP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color w:val="auto"/>
              </w:rPr>
              <w:t>Exercisable—December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16,682,455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2,936,715</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2021, there were 31,671 shares of Class A common stock and 21,340,890 shares of Class B common stock issuable upon the exercise of options outstanding. As of December 31, 2020, there were 34,759 shares of Class A common stock and 27,033,564 shares of Class B common stock issuable upon the exercise of options outstanding.</w:t>
      </w:r>
    </w:p>
    <w:p>
      <w:pPr>
        <w:spacing w:after="0" w:line="184"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$31.6 million and $60.6 million as of December 31, 2021 and December 31, 2020, respectively. The weighted-average period over which this compensation cost related to unvested employee awards will be recognized is 1.3 years and 2.0 years as of December 31, 2021 and December 31, 2020, respectively.</w:t>
      </w:r>
    </w:p>
    <w:p>
      <w:pPr>
        <w:spacing w:after="0" w:line="18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231F20"/>
        </w:rPr>
        <w:t>There were no options granted during the year ended December 31, 2021. The weighted average grant-date fair value of options granted during the years ended December 31, 2020 and 2019 was $16.55 and $8.69, respectively. The Company received approximately $14.9 million, $16.0 million and $7.9 million in cash proceeds from options exercised during the years ended December 31, 2021, 2020 and 2019, respectively. The intrinsic value of options exercised in during the years ended December 31, 2021, 2020 and 2019 was approximately $579.6 million, $554.3 million and $121.3 million, respectively. The aggregate fair value of options vested during the years ended December 31, 2021, 2020 and 2019 was $28.1 million, $27.6 million and $10.8 million, respectively.</w:t>
      </w:r>
    </w:p>
    <w:p>
      <w:pPr>
        <w:spacing w:after="0" w:line="192"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options for 31,500 shares and 438,750 shares of Class B common stock as of December 31, 2021 and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15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6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 balance as of December 31, 2020</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5,166,720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508,612</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Awarded</w:t>
            </w:r>
          </w:p>
        </w:tc>
        <w:tc>
          <w:tcPr>
            <w:tcW w:w="1520" w:type="dxa"/>
            <w:vAlign w:val="bottom"/>
          </w:tcPr>
          <w:p>
            <w:pPr>
              <w:jc w:val="right"/>
              <w:spacing w:after="0"/>
              <w:rPr>
                <w:sz w:val="20"/>
                <w:szCs w:val="20"/>
                <w:color w:val="auto"/>
              </w:rPr>
            </w:pPr>
            <w:r>
              <w:rPr>
                <w:rFonts w:ascii="Arial" w:cs="Arial" w:eastAsia="Arial" w:hAnsi="Arial"/>
                <w:sz w:val="18"/>
                <w:szCs w:val="18"/>
                <w:color w:val="auto"/>
              </w:rPr>
              <w:t>5,208,252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(1,483,639)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(810,064)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 balance as of December 31, 2021</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8,081,269</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1,439,355</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The Company granted 244,445, 96,210, 117,538, 245,761, and 98,593 restricted shares of Class A common stock in November 2019, June 2020, February 2021, April 2021, and December 2021, respectively, in connection with acquisitions which are subject to service-based vesting conditions over approximately four years.</w:t>
      </w:r>
    </w:p>
    <w:p>
      <w:pPr>
        <w:spacing w:after="0" w:line="184"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Total compensation cost related to unvested RSUs and restricted shares of common stock not yet recognized was approximately $773.6 million and $281.5 million as of December 31, 2021 and December 31, 2020, respectively. The weighted-average period over which this compensation cost related to unvested RSUs and restricted shares will be recognized is 3.1 years and 3.4 years as of December 31, 2021 and December 31,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Stock-based compensation expense was included in the consolidated statement of operations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7,972</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r>
      <w:tr>
        <w:trPr>
          <w:trHeight w:val="223"/>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Stock-based compensation, net of amounts capitalized</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163,737</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74,374</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19,034</w:t>
            </w:r>
          </w:p>
        </w:tc>
      </w:tr>
      <w:tr>
        <w:trPr>
          <w:trHeight w:val="223"/>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48"/>
        </w:trPr>
        <w:tc>
          <w:tcPr>
            <w:tcW w:w="6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173,397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77,778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19,235</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In September 2019, the Board adopted and approved the 2019 ESPP, which became effective on the date of the final prospectus for the Company’s IPO.</w:t>
      </w:r>
    </w:p>
    <w:p>
      <w:pPr>
        <w:spacing w:after="0" w:line="170"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(1)the fair market value of the Company’s Class A common stock on the first trading day of the offering period, or (2)the fair market value of the Company’s Class A common stock on the purchase date, as defined in the ESPP.</w:t>
      </w:r>
    </w:p>
    <w:p>
      <w:pPr>
        <w:spacing w:after="0" w:line="176"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Company recognized $7.6 million, $5.0 million, and $1.2 million of stock-based compensation expense related to the ESPP during the years ended December 31, 2021, 2020, and 2019, respectively.</w:t>
      </w:r>
    </w:p>
    <w:p>
      <w:pPr>
        <w:spacing w:after="0" w:line="170"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As of December 31, 2021, and 2020, $4.2 million and $2.8 million, respectively has been withheld on behalf of employees for a future purchase under the ESPP due to the timing of payroll deductions.</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During the years ended December 31, 2021 and 2020 the Company issued 291,871 and 447,955 shares of Class A common stock under the ESPP. </w:t>
      </w:r>
      <w:r>
        <w:rPr>
          <w:rFonts w:ascii="Arial" w:cs="Arial" w:eastAsia="Arial" w:hAnsi="Arial"/>
          <w:sz w:val="18"/>
          <w:szCs w:val="18"/>
          <w:color w:val="231F20"/>
        </w:rPr>
        <w:t>As of December 31, 2021, 11,989,812 shares of Class A common stock remain available for grant under the ESPP.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84" w:name="page85"/>
    <w:bookmarkEnd w:id="84"/>
    <w:p>
      <w:pPr>
        <w:jc w:val="both"/>
        <w:ind w:firstLine="972"/>
        <w:spacing w:after="0" w:line="263" w:lineRule="auto"/>
        <w:rPr>
          <w:sz w:val="20"/>
          <w:szCs w:val="20"/>
          <w:color w:val="auto"/>
        </w:rPr>
      </w:pPr>
      <w:r>
        <w:rPr>
          <w:rFonts w:ascii="Arial" w:cs="Arial" w:eastAsia="Arial" w:hAnsi="Arial"/>
          <w:sz w:val="18"/>
          <w:szCs w:val="18"/>
          <w:color w:val="auto"/>
        </w:rPr>
        <w:t>Total compensation cost related to the ESPP not yet recognized was approximately $3.5 million and $2.5 million as of December 31, 2021 and 2020, respectively. The weighted average period over which this compensation cost will be recognized is 0.4 years as of December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Interest Income and Other Income, Net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FF0FC"/>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21,412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21,234</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4,110</w:t>
            </w:r>
          </w:p>
        </w:tc>
      </w:tr>
      <w:tr>
        <w:trPr>
          <w:trHeight w:val="229"/>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 net</w:t>
            </w:r>
          </w:p>
        </w:tc>
        <w:tc>
          <w:tcPr>
            <w:tcW w:w="860" w:type="dxa"/>
            <w:vAlign w:val="bottom"/>
            <w:tcBorders>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21,786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4,196</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15. Income Taxes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231F20"/>
        </w:rPr>
        <w:t>Income Taxes</w:t>
      </w:r>
      <w:r>
        <w:rPr>
          <w:rFonts w:ascii="Arial" w:cs="Arial" w:eastAsia="Arial" w:hAnsi="Arial"/>
          <w:sz w:val="18"/>
          <w:szCs w:val="18"/>
          <w:b w:val="1"/>
          <w:bCs w:val="1"/>
          <w:color w:val="231F20"/>
        </w:rPr>
        <w:t>—</w:t>
      </w:r>
      <w:r>
        <w:rPr>
          <w:rFonts w:ascii="Arial" w:cs="Arial" w:eastAsia="Arial" w:hAnsi="Arial"/>
          <w:sz w:val="18"/>
          <w:szCs w:val="18"/>
          <w:color w:val="231F20"/>
        </w:rPr>
        <w:t>For financial reporting purposes, loss before income taxes, includes the following components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tcBorders>
              <w:bottom w:val="single" w:sz="8" w:color="CFF0FC"/>
            </w:tcBorders>
          </w:tcPr>
          <w:p>
            <w:pPr>
              <w:spacing w:after="0"/>
              <w:rPr>
                <w:sz w:val="16"/>
                <w:szCs w:val="16"/>
                <w:color w:val="auto"/>
              </w:rPr>
            </w:pPr>
          </w:p>
        </w:tc>
        <w:tc>
          <w:tcPr>
            <w:tcW w:w="30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Domestic</w:t>
            </w:r>
          </w:p>
        </w:tc>
        <w:tc>
          <w:tcPr>
            <w:tcW w:w="30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(32,033)</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0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gridSpan w:val="2"/>
          </w:tcPr>
          <w:p>
            <w:pPr>
              <w:spacing w:after="0" w:line="20" w:lineRule="exact"/>
              <w:rPr>
                <w:sz w:val="1"/>
                <w:szCs w:val="1"/>
                <w:color w:val="auto"/>
              </w:rPr>
            </w:pPr>
          </w:p>
        </w:tc>
        <w:tc>
          <w:tcPr>
            <w:tcW w:w="14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10340" w:type="dxa"/>
            <w:vAlign w:val="bottom"/>
            <w:gridSpan w:val="9"/>
          </w:tcPr>
          <w:p>
            <w:pPr>
              <w:ind w:left="980"/>
              <w:spacing w:after="0"/>
              <w:rPr>
                <w:sz w:val="20"/>
                <w:szCs w:val="20"/>
                <w:color w:val="auto"/>
              </w:rPr>
            </w:pPr>
            <w:r>
              <w:rPr>
                <w:rFonts w:ascii="Arial" w:cs="Arial" w:eastAsia="Arial" w:hAnsi="Arial"/>
                <w:sz w:val="18"/>
                <w:szCs w:val="18"/>
                <w:color w:val="231F20"/>
                <w:w w:val="89"/>
              </w:rPr>
              <w:t>Total income taxes allocated to operations for the years ended December 31, 2021, 2020 and 2019 were as follows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Current</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3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State</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Current</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3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State</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Current</w:t>
            </w: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3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State</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0" w:type="dxa"/>
            <w:vAlign w:val="bottom"/>
            <w:vMerge w:val="restart"/>
          </w:tcPr>
          <w:p>
            <w:pPr>
              <w:jc w:val="right"/>
              <w:ind w:right="890"/>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7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5" w:name="page86"/>
    <w:bookmarkEnd w:id="85"/>
    <w:p>
      <w:pPr>
        <w:jc w:val="both"/>
        <w:ind w:firstLine="972"/>
        <w:spacing w:after="0" w:line="263" w:lineRule="auto"/>
        <w:rPr>
          <w:sz w:val="20"/>
          <w:szCs w:val="20"/>
          <w:color w:val="auto"/>
        </w:rPr>
      </w:pPr>
      <w:r>
        <w:rPr>
          <w:rFonts w:ascii="Arial" w:cs="Arial" w:eastAsia="Arial" w:hAnsi="Arial"/>
          <w:sz w:val="18"/>
          <w:szCs w:val="18"/>
          <w:b w:val="1"/>
          <w:bCs w:val="1"/>
          <w:i w:val="1"/>
          <w:iCs w:val="1"/>
          <w:color w:val="231F20"/>
        </w:rPr>
        <w:t>Tax Rate Reconciliation</w:t>
      </w:r>
      <w:r>
        <w:rPr>
          <w:rFonts w:ascii="Arial" w:cs="Arial" w:eastAsia="Arial" w:hAnsi="Arial"/>
          <w:sz w:val="18"/>
          <w:szCs w:val="18"/>
          <w:color w:val="231F20"/>
        </w:rPr>
        <w:t>—Income tax expense was $2.3 million, $2.3 million and $0.7 million for the years ended December 31, 2021, 2020</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2019, respectively, and differed from the amounts computed by applying the U.S. federal statutory income tax rate of 21% for the years ended December 31, 2021, 2020 and 2019, to pretax loss from operations as a result of the following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at federal statutory rate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 taxes (net of federal benefit)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change in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5,043</w:t>
            </w:r>
          </w:p>
        </w:tc>
      </w:tr>
      <w:tr>
        <w:trPr>
          <w:trHeight w:val="229"/>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Uncertain tax positions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US tax costs on international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taxes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Share based compensation deductions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29"/>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Return to provision</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67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231F20"/>
        </w:rPr>
        <w:t>For the year ended December 31, 2021, 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 w:lineRule="exact"/>
        <w:rPr>
          <w:sz w:val="20"/>
          <w:szCs w:val="20"/>
          <w:color w:val="auto"/>
        </w:rPr>
      </w:pPr>
    </w:p>
    <w:p>
      <w:pPr>
        <w:jc w:val="both"/>
        <w:ind w:firstLine="972"/>
        <w:spacing w:after="0" w:line="252" w:lineRule="auto"/>
        <w:rPr>
          <w:sz w:val="20"/>
          <w:szCs w:val="20"/>
          <w:color w:val="auto"/>
        </w:rPr>
      </w:pPr>
      <w:r>
        <w:rPr>
          <w:rFonts w:ascii="Arial" w:cs="Arial" w:eastAsia="Arial" w:hAnsi="Arial"/>
          <w:sz w:val="18"/>
          <w:szCs w:val="18"/>
          <w:color w:val="231F20"/>
        </w:rPr>
        <w:t>The Company is subject to tax laws in the United States and numerous foreign jurisdictions. The United States and many international legislative and regulatory bodies continually propose and enact legislation that could significantly impact how U.S. multinational corporations are taxed. The Company is closely monitoring proposed legislation and its potential impact. Additionally, beginning in 2022, the Tax Cuts and Jobs Act (the “Tax Act”) of 2017 eliminates the option to deduct research and development expenditures in the year incurred and requires taxpayers to amortize such expenditures over five years. The Company is assessing the potential impact if these provisions are not deferred, modified, or repealed by Congress with retroactive effect to January 1,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6" w:name="page87"/>
    <w:bookmarkEnd w:id="86"/>
    <w:p>
      <w:pPr>
        <w:jc w:val="both"/>
        <w:ind w:firstLine="972"/>
        <w:spacing w:after="0" w:line="282" w:lineRule="auto"/>
        <w:rPr>
          <w:sz w:val="20"/>
          <w:szCs w:val="20"/>
          <w:color w:val="auto"/>
        </w:rPr>
      </w:pPr>
      <w:r>
        <w:rPr>
          <w:rFonts w:ascii="Arial" w:cs="Arial" w:eastAsia="Arial" w:hAnsi="Arial"/>
          <w:sz w:val="18"/>
          <w:szCs w:val="18"/>
          <w:b w:val="1"/>
          <w:bCs w:val="1"/>
          <w:color w:val="231F20"/>
        </w:rPr>
        <w:t>Components of Deferred Taxes</w:t>
      </w:r>
      <w:r>
        <w:rPr>
          <w:rFonts w:ascii="Arial" w:cs="Arial" w:eastAsia="Arial" w:hAnsi="Arial"/>
          <w:sz w:val="18"/>
          <w:szCs w:val="18"/>
          <w:color w:val="231F20"/>
        </w:rPr>
        <w:t>—The tax effects of temporary differences that give rise to the deferred tax assets and deferred tax liabilities</w:t>
      </w:r>
      <w:r>
        <w:rPr>
          <w:rFonts w:ascii="Arial" w:cs="Arial" w:eastAsia="Arial" w:hAnsi="Arial"/>
          <w:sz w:val="18"/>
          <w:szCs w:val="18"/>
          <w:b w:val="1"/>
          <w:bCs w:val="1"/>
          <w:color w:val="231F20"/>
        </w:rPr>
        <w:t xml:space="preserve"> </w:t>
      </w:r>
      <w:r>
        <w:rPr>
          <w:rFonts w:ascii="Arial" w:cs="Arial" w:eastAsia="Arial" w:hAnsi="Arial"/>
          <w:sz w:val="18"/>
          <w:szCs w:val="18"/>
          <w:color w:val="231F20"/>
        </w:rPr>
        <w:t>at December 31, 2021 and 2020 are presented below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128,263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66,801</w:t>
            </w: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Accrued bonus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Internal use software</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12,566</w:t>
            </w: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Convertible senior notes - issuance costs</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178,135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96,804</w:t>
            </w: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(148,648)</w:t>
            </w: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29,487</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62,957</w:t>
            </w: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Commissions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(10,247)</w:t>
            </w: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Right of use asset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(12,815)</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Convertible senior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(40,478)</w:t>
            </w: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(62,919)</w:t>
            </w: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231F20"/>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are comprised primarily of federal and state net operating loss carryforwards and basis differences for financial reporting and tax purposes of certain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recorded cumulative losses in prior fiscal periods, management does not believe as of December 31, 2021 and 2020 that it is more likely than not that the Company will realize its U.S. deferred tax assets. As a result, a valuation allowance of $148.6 million and $33.8 million has been provided at December 31, 2021 and 2020, respectively. The valuation allowance changed by $114.8 million and $18.6 million at December 31, 2021 and 2020, respectively.</w:t>
      </w:r>
    </w:p>
    <w:p>
      <w:pPr>
        <w:spacing w:after="0" w:line="168"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231F20"/>
        </w:rPr>
        <w:t>At December 31, 2021 and 2020, the Company has net operating loss carryforwards for federal tax purposes of approximately $505.4 million and $263.2 million, respectively, which is available to offset federal taxable income. The federal net operating loss carryforwards generated at December 31, 2017 and prior will begin to expire in 2031, if not utilized. Net operating losses generated after December 31, 2017 have an indefinite carryforward period but are subject to an 80% of taxable income limitation after December 31, 2020. The Company has approximately $342.1 million and $177.5 million of post-apportioned net operating loss carryforwards as of December 31, 2021 and 2020, respectively for various state tax purposes. The state net operating loss carryforwards will begin to expire in 2028, if not utilized.</w:t>
      </w:r>
    </w:p>
    <w:p>
      <w:pPr>
        <w:spacing w:after="0" w:line="17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Generally, the utilization of net operating losses may be subject to an annual limitation provided for in the Internal Revenue Code of 1986, as amended,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87"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231F20"/>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7" w:name="page88"/>
    <w:bookmarkEnd w:id="87"/>
    <w:p>
      <w:pPr>
        <w:jc w:val="both"/>
        <w:spacing w:after="0" w:line="308" w:lineRule="auto"/>
        <w:rPr>
          <w:sz w:val="20"/>
          <w:szCs w:val="20"/>
          <w:color w:val="auto"/>
        </w:rPr>
      </w:pPr>
      <w:r>
        <w:rPr>
          <w:rFonts w:ascii="Arial" w:cs="Arial" w:eastAsia="Arial" w:hAnsi="Arial"/>
          <w:sz w:val="17"/>
          <w:szCs w:val="17"/>
          <w:color w:val="231F20"/>
        </w:rPr>
        <w:t>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146"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231F20"/>
        </w:rPr>
        <w:t xml:space="preserve">Consistent with the provisions of ASC 740, </w:t>
      </w:r>
      <w:r>
        <w:rPr>
          <w:rFonts w:ascii="Arial" w:cs="Arial" w:eastAsia="Arial" w:hAnsi="Arial"/>
          <w:sz w:val="17"/>
          <w:szCs w:val="17"/>
          <w:i w:val="1"/>
          <w:iCs w:val="1"/>
          <w:color w:val="231F20"/>
        </w:rPr>
        <w:t>Income Taxes</w:t>
      </w:r>
      <w:r>
        <w:rPr>
          <w:rFonts w:ascii="Arial" w:cs="Arial" w:eastAsia="Arial" w:hAnsi="Arial"/>
          <w:sz w:val="17"/>
          <w:szCs w:val="17"/>
          <w:color w:val="231F20"/>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shows the changes in the gross amount of unrecognized tax benefits as of December 31, 2021</w:t>
      </w:r>
      <w:r>
        <w:rPr>
          <w:rFonts w:ascii="Arial" w:cs="Arial" w:eastAsia="Arial" w:hAnsi="Arial"/>
          <w:sz w:val="17"/>
          <w:szCs w:val="17"/>
          <w:color w:val="231F20"/>
        </w:rPr>
        <w:t>, 2020 and 2019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532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Increases based on tax positions during the current period</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(Decreases) based on tax positions during the current period</w:t>
            </w:r>
          </w:p>
        </w:tc>
        <w:tc>
          <w:tcPr>
            <w:tcW w:w="9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(426)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r>
      <w:tr>
        <w:trPr>
          <w:trHeight w:val="21"/>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The total amount of unrecognized tax benefits that, if recognized would impact the effective tax rate would be $0.1 million for the years ended December 31, 2021.</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The Company’s policy for classifying interest and penalties associated with unrecognized income tax benefits is to include such items in income tax expense. The total amount of interest and penalties associated with unrecognized income tax benefits is $0.1 million and $0.4 million for the years ended December 31, 2021 and 2020.</w:t>
      </w:r>
    </w:p>
    <w:p>
      <w:pPr>
        <w:spacing w:after="0" w:line="184"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As such the Company anticipates insignificant changes to unrecognized tax benefits over the next 12 months.</w:t>
      </w:r>
    </w:p>
    <w:p>
      <w:pPr>
        <w:spacing w:after="0" w:line="14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231F20"/>
        </w:rPr>
        <w:t>The Company files income tax returns in the U.S. federal jurisdiction, various state jurisdictions and in various international jurisdictions. Tax years 2016 and forward generally remain open for examination for federal and state tax purposes. To the extent utilized in future years’ tax returns, net operating loss carryforwards at December 31, 2021 and 2020 will remain subject to examination until the respective tax year is closed.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w:t>
      </w:r>
    </w:p>
    <w:p>
      <w:pPr>
        <w:spacing w:after="0" w:line="229"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Basic and diluted net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4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Basic and diluted net loss per share is computed using the weighted-average number of common shares of common stock outstanding during the period. The undistributed earnings are allocated based on the contractual participation rights of the Class A and Class B common shares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per share of Class A common stock, the undistributed earnings are equal to net loss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8" w:name="page89"/>
    <w:bookmarkEnd w:id="88"/>
    <w:p>
      <w:pPr>
        <w:ind w:left="98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Arial" w:cs="Arial" w:eastAsia="Arial" w:hAnsi="Arial"/>
                <w:sz w:val="18"/>
                <w:szCs w:val="18"/>
                <w:color w:val="auto"/>
              </w:rPr>
              <w:t>Basic net loss per share:</w:t>
            </w: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Class B</w:t>
            </w:r>
          </w:p>
        </w:tc>
        <w:tc>
          <w:tcPr>
            <w:tcW w:w="2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10"/>
        </w:trPr>
        <w:tc>
          <w:tcPr>
            <w:tcW w:w="35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line="176" w:lineRule="exact"/>
              <w:rPr>
                <w:sz w:val="20"/>
                <w:szCs w:val="20"/>
                <w:color w:val="auto"/>
              </w:rPr>
            </w:pPr>
            <w:r>
              <w:rPr>
                <w:rFonts w:ascii="Arial" w:cs="Arial" w:eastAsia="Arial" w:hAnsi="Arial"/>
                <w:sz w:val="18"/>
                <w:szCs w:val="18"/>
                <w:color w:val="auto"/>
                <w:w w:val="90"/>
              </w:rPr>
              <w:t>Weighted average shares used in calculating</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240,999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166,582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133,768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130,262</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net loss per share, basic</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net loss per share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Diluted net loss per share:</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180"/>
              <w:spacing w:after="0" w:line="176" w:lineRule="exact"/>
              <w:rPr>
                <w:sz w:val="20"/>
                <w:szCs w:val="20"/>
                <w:color w:val="auto"/>
              </w:rPr>
            </w:pPr>
            <w:r>
              <w:rPr>
                <w:rFonts w:ascii="Arial" w:cs="Arial" w:eastAsia="Arial" w:hAnsi="Arial"/>
                <w:sz w:val="18"/>
                <w:szCs w:val="18"/>
                <w:color w:val="auto"/>
              </w:rPr>
              <w:t>Allocation of distributed loss for basic</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29"/>
        </w:trPr>
        <w:tc>
          <w:tcPr>
            <w:tcW w:w="3520" w:type="dxa"/>
            <w:vAlign w:val="bottom"/>
          </w:tcPr>
          <w:p>
            <w:pPr>
              <w:ind w:left="260"/>
              <w:spacing w:after="0"/>
              <w:rPr>
                <w:sz w:val="20"/>
                <w:szCs w:val="20"/>
                <w:color w:val="auto"/>
              </w:rPr>
            </w:pPr>
            <w:r>
              <w:rPr>
                <w:rFonts w:ascii="Arial" w:cs="Arial" w:eastAsia="Arial" w:hAnsi="Arial"/>
                <w:sz w:val="18"/>
                <w:szCs w:val="18"/>
                <w:color w:val="auto"/>
              </w:rPr>
              <w:t>computation</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1"/>
              </w:rPr>
              <w:t>Reallocation of undistributed loss as a result</w:t>
            </w:r>
          </w:p>
        </w:tc>
        <w:tc>
          <w:tcPr>
            <w:tcW w:w="2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2"/>
              </w:rPr>
              <w:t>of conversion of Class B to Class A shares</w:t>
            </w:r>
          </w:p>
        </w:tc>
        <w:tc>
          <w:tcPr>
            <w:tcW w:w="22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Allocation of undistributed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00"/>
              <w:spacing w:after="0"/>
              <w:rPr>
                <w:sz w:val="20"/>
                <w:szCs w:val="20"/>
                <w:color w:val="auto"/>
              </w:rPr>
            </w:pPr>
            <w:r>
              <w:rPr>
                <w:rFonts w:ascii="Arial" w:cs="Arial" w:eastAsia="Arial" w:hAnsi="Arial"/>
                <w:sz w:val="18"/>
                <w:szCs w:val="18"/>
                <w:color w:val="auto"/>
                <w:w w:val="99"/>
              </w:rPr>
              <w:t>Number of shares used in basic calculation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166,582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130,262</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4"/>
              </w:rPr>
              <w:t>Weighted average effect of diluted securities: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180"/>
              <w:spacing w:after="0" w:line="176" w:lineRule="exact"/>
              <w:rPr>
                <w:sz w:val="20"/>
                <w:szCs w:val="20"/>
                <w:color w:val="auto"/>
              </w:rPr>
            </w:pPr>
            <w:r>
              <w:rPr>
                <w:rFonts w:ascii="Arial" w:cs="Arial" w:eastAsia="Arial" w:hAnsi="Arial"/>
                <w:sz w:val="18"/>
                <w:szCs w:val="18"/>
                <w:color w:val="auto"/>
                <w:w w:val="97"/>
              </w:rPr>
              <w:t>Conversion of Class B to Class A common</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133,768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130,262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tcPr>
          <w:p>
            <w:pPr>
              <w:ind w:left="360"/>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ind w:left="360"/>
              <w:spacing w:after="0" w:line="156" w:lineRule="exact"/>
              <w:rPr>
                <w:sz w:val="20"/>
                <w:szCs w:val="20"/>
                <w:color w:val="auto"/>
              </w:rPr>
            </w:pPr>
            <w:r>
              <w:rPr>
                <w:rFonts w:ascii="Arial" w:cs="Arial" w:eastAsia="Arial" w:hAnsi="Arial"/>
                <w:sz w:val="18"/>
                <w:szCs w:val="18"/>
                <w:color w:val="auto"/>
              </w:rPr>
              <w:t>Number of shares used in diluted</w:t>
            </w:r>
          </w:p>
        </w:tc>
        <w:tc>
          <w:tcPr>
            <w:tcW w:w="2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309,048</w:t>
            </w: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300,350</w:t>
            </w: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133,768</w:t>
            </w: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139,873</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130,262</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Diluted net loss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the Company was in a loss position for the periods presented, basic net loss per share is the same as diluted net loss per share as the inclusion of all potential common shares outstanding would have been anti-dilutive. Potentially dilutive securities that were not included in the diluted per share calculations because they would be anti-dilutive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86"/>
        </w:trPr>
        <w:tc>
          <w:tcPr>
            <w:tcW w:w="7020" w:type="dxa"/>
            <w:vAlign w:val="bottom"/>
          </w:tcPr>
          <w:p>
            <w:pPr>
              <w:spacing w:after="0"/>
              <w:rPr>
                <w:sz w:val="16"/>
                <w:szCs w:val="16"/>
                <w:color w:val="auto"/>
              </w:rPr>
            </w:pPr>
          </w:p>
        </w:tc>
        <w:tc>
          <w:tcPr>
            <w:tcW w:w="12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Shares subject to outstanding stock options and RSUs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29,454</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32,235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37,032</w:t>
            </w: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early exercised stock options and restricted shares of common stock</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Shares subject to the employee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94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issuable upon conversion of the convertible senior notes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8,098</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38,625</w:t>
            </w:r>
          </w:p>
        </w:tc>
      </w:tr>
      <w:tr>
        <w:trPr>
          <w:trHeight w:val="20"/>
        </w:trPr>
        <w:tc>
          <w:tcPr>
            <w:tcW w:w="7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ASU No. 2020-06 requires the application of the if-converted method to calculate the impact of convertible instruments on diluted earnings per share when the instruments may be settled in cash or shares. See Note 2, Basis of Presentation and Summary of Significant Accounting Policies— Accounting Policies Recently Adopted for more information. During the three months ended September 30 and December 31, 2021, the conditional conversion feature of the 2025 Notes was triggered and the 2025 Notes are convertible, in whole or in part, at the option of the holders between January 1, 2022 through March 31, 2022. The Company uses the if-converted method for calculating any potential dilutive effect of the conversion options embedded in the 2025 Notes on diluted net income per share; however, since the Company is in a net loss position, there was no dilutive effect during any period presented.</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2021.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December 31, 2021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Based on the results of its evaluation, management concluded that our internal control over financial reporting was effective as of December 31, 2021. Our independent registered public accounting firm, Deloitte &amp; Touche LLP, has issued an auditors’ report on the effectiveness of our internal control over financial reporting, which is included in Item 8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December 31, 2021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Datadog, Inc. and its subsidiaries (the “Company”)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25, 2022,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1111"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auto"/>
        </w:rPr>
        <w:t>The information required by this Item (other than as set forth below) will be included in the proxy statement for our 2022 annual meeting of stockholders to be filed with the SEC within 120 days after the end of our fiscal year ended December 31, 2021, or the 2022 Proxy Statement, and is incorporated herein by reference.</w:t>
      </w:r>
    </w:p>
    <w:p>
      <w:pPr>
        <w:spacing w:after="0" w:line="18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have adopted a Code of Conduct that applies to all our employees, officers and directors. The Code of Conduct is available on our website at www.investors.datadoghq.com.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Nasdaq. Our website is not incorporated by reference into this Annual Report on Form 10-K, and you should not consider information on our website to be part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All financial statements</w:t>
      </w:r>
    </w:p>
    <w:p>
      <w:pPr>
        <w:spacing w:after="0" w:line="144" w:lineRule="exact"/>
        <w:rPr>
          <w:sz w:val="20"/>
          <w:szCs w:val="20"/>
          <w:color w:val="auto"/>
        </w:rPr>
      </w:pPr>
    </w:p>
    <w:p>
      <w:pPr>
        <w:ind w:left="20"/>
        <w:spacing w:after="0"/>
        <w:tabs>
          <w:tab w:leader="none" w:pos="10640" w:val="left"/>
        </w:tabs>
        <w:rPr>
          <w:sz w:val="20"/>
          <w:szCs w:val="20"/>
          <w:color w:val="auto"/>
        </w:rPr>
      </w:pPr>
      <w:r>
        <w:rPr>
          <w:rFonts w:ascii="Arial" w:cs="Arial" w:eastAsia="Arial" w:hAnsi="Arial"/>
          <w:sz w:val="18"/>
          <w:szCs w:val="18"/>
          <w:b w:val="1"/>
          <w:bCs w:val="1"/>
          <w:color w:val="auto"/>
        </w:rPr>
        <w:t>Index to Consolidated Financial Statements</w:t>
      </w:r>
      <w:r>
        <w:rPr>
          <w:sz w:val="20"/>
          <w:szCs w:val="20"/>
          <w:color w:val="auto"/>
        </w:rPr>
        <w:tab/>
      </w:r>
      <w:r>
        <w:rPr>
          <w:rFonts w:ascii="Arial" w:cs="Arial" w:eastAsia="Arial" w:hAnsi="Arial"/>
          <w:sz w:val="17"/>
          <w:szCs w:val="17"/>
          <w:b w:val="1"/>
          <w:bCs w:val="1"/>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56" w:lineRule="exact"/>
        <w:rPr>
          <w:sz w:val="20"/>
          <w:szCs w:val="20"/>
          <w:color w:val="auto"/>
        </w:rPr>
      </w:pPr>
    </w:p>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Report of Independent Registered Public Accounting Firm</w:t>
        </w:r>
      </w:hyperlink>
    </w:p>
    <w:p>
      <w:pPr>
        <w:spacing w:after="0" w:line="7" w:lineRule="exact"/>
        <w:rPr>
          <w:sz w:val="20"/>
          <w:szCs w:val="20"/>
          <w:color w:val="auto"/>
        </w:rPr>
      </w:pPr>
    </w:p>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Balance Sheets as of December 31, 2021 and 2020</w:t>
        </w:r>
      </w:hyperlink>
    </w:p>
    <w:p>
      <w:pPr>
        <w:spacing w:after="0" w:line="23" w:lineRule="exact"/>
        <w:rPr>
          <w:sz w:val="20"/>
          <w:szCs w:val="20"/>
          <w:color w:val="auto"/>
        </w:rPr>
      </w:pPr>
    </w:p>
    <w:p>
      <w:pPr>
        <w:ind w:left="20" w:right="2640"/>
        <w:spacing w:after="0" w:line="299" w:lineRule="auto"/>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Consolidated Statements of Operations for the years ended December 31, 2021, 2020 and 2019</w:t>
        </w:r>
      </w:hyperlink>
      <w:r>
        <w:rPr>
          <w:rFonts w:ascii="Arial" w:cs="Arial" w:eastAsia="Arial" w:hAnsi="Arial"/>
          <w:sz w:val="16"/>
          <w:szCs w:val="16"/>
          <w:u w:val="single" w:color="auto"/>
          <w:color w:val="0000FF"/>
        </w:rPr>
        <w:t xml:space="preserve"> </w:t>
      </w:r>
      <w:hyperlink w:anchor="page60">
        <w:r>
          <w:rPr>
            <w:rFonts w:ascii="Arial" w:cs="Arial" w:eastAsia="Arial" w:hAnsi="Arial"/>
            <w:sz w:val="16"/>
            <w:szCs w:val="16"/>
            <w:u w:val="single" w:color="auto"/>
            <w:color w:val="0000FF"/>
          </w:rPr>
          <w:t xml:space="preserve">Consolidated Statements of Comprehensive Loss for the years ended December 31, </w:t>
        </w:r>
      </w:hyperlink>
      <w:hyperlink w:anchor="page59">
        <w:r>
          <w:rPr>
            <w:rFonts w:ascii="Arial" w:cs="Arial" w:eastAsia="Arial" w:hAnsi="Arial"/>
            <w:sz w:val="16"/>
            <w:szCs w:val="16"/>
            <w:u w:val="single" w:color="auto"/>
            <w:color w:val="0000FF"/>
          </w:rPr>
          <w:t>2021, 2020 and 2019</w:t>
        </w:r>
      </w:hyperlink>
    </w:p>
    <w:p>
      <w:pPr>
        <w:spacing w:after="0" w:line="1" w:lineRule="exact"/>
        <w:rPr>
          <w:rFonts w:ascii="Arial" w:cs="Arial" w:eastAsia="Arial" w:hAnsi="Arial"/>
          <w:sz w:val="16"/>
          <w:szCs w:val="16"/>
          <w:u w:val="single" w:color="auto"/>
          <w:color w:val="0000FF"/>
        </w:rPr>
      </w:pPr>
    </w:p>
    <w:p>
      <w:pPr>
        <w:ind w:left="20"/>
        <w:spacing w:after="0" w:line="234" w:lineRule="auto"/>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Convertible Preferred Stock and Stockholders’ Equity (Deficit) for the years ended December 31, 2021, 2020 and</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2019</w:t>
        </w:r>
      </w:hyperlink>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rFonts w:ascii="Arial" w:cs="Arial" w:eastAsia="Arial" w:hAnsi="Arial"/>
          <w:sz w:val="16"/>
          <w:szCs w:val="16"/>
          <w:color w:val="auto"/>
        </w:rPr>
      </w:pPr>
      <w:hyperlink w:anchor="page56">
        <w:r>
          <w:rPr>
            <w:rFonts w:ascii="Arial" w:cs="Arial" w:eastAsia="Arial" w:hAnsi="Arial"/>
            <w:sz w:val="16"/>
            <w:szCs w:val="16"/>
            <w:color w:val="auto"/>
          </w:rPr>
          <w:t>55</w:t>
        </w:r>
      </w:hyperlink>
    </w:p>
    <w:p>
      <w:pPr>
        <w:spacing w:after="0" w:line="30" w:lineRule="exact"/>
        <w:rPr>
          <w:sz w:val="20"/>
          <w:szCs w:val="20"/>
          <w:color w:val="auto"/>
        </w:rPr>
      </w:pPr>
    </w:p>
    <w:p>
      <w:pPr>
        <w:spacing w:after="0"/>
        <w:rPr>
          <w:rFonts w:ascii="Arial" w:cs="Arial" w:eastAsia="Arial" w:hAnsi="Arial"/>
          <w:sz w:val="16"/>
          <w:szCs w:val="16"/>
          <w:color w:val="auto"/>
        </w:rPr>
      </w:pPr>
      <w:hyperlink w:anchor="page58">
        <w:r>
          <w:rPr>
            <w:rFonts w:ascii="Arial" w:cs="Arial" w:eastAsia="Arial" w:hAnsi="Arial"/>
            <w:sz w:val="16"/>
            <w:szCs w:val="16"/>
            <w:color w:val="auto"/>
          </w:rPr>
          <w:t>57</w:t>
        </w:r>
      </w:hyperlink>
    </w:p>
    <w:p>
      <w:pPr>
        <w:spacing w:after="0" w:line="46" w:lineRule="exact"/>
        <w:rPr>
          <w:sz w:val="20"/>
          <w:szCs w:val="20"/>
          <w:color w:val="auto"/>
        </w:rPr>
      </w:pPr>
    </w:p>
    <w:p>
      <w:pPr>
        <w:spacing w:after="0"/>
        <w:rPr>
          <w:rFonts w:ascii="Arial" w:cs="Arial" w:eastAsia="Arial" w:hAnsi="Arial"/>
          <w:sz w:val="16"/>
          <w:szCs w:val="16"/>
          <w:color w:val="auto"/>
        </w:rPr>
      </w:pPr>
      <w:hyperlink w:anchor="page59">
        <w:r>
          <w:rPr>
            <w:rFonts w:ascii="Arial" w:cs="Arial" w:eastAsia="Arial" w:hAnsi="Arial"/>
            <w:sz w:val="16"/>
            <w:szCs w:val="16"/>
            <w:color w:val="auto"/>
          </w:rPr>
          <w:t>58</w:t>
        </w:r>
      </w:hyperlink>
    </w:p>
    <w:p>
      <w:pPr>
        <w:spacing w:after="0" w:line="46" w:lineRule="exact"/>
        <w:rPr>
          <w:sz w:val="20"/>
          <w:szCs w:val="20"/>
          <w:color w:val="auto"/>
        </w:rPr>
      </w:pPr>
    </w:p>
    <w:p>
      <w:pPr>
        <w:spacing w:after="0"/>
        <w:rPr>
          <w:rFonts w:ascii="Arial" w:cs="Arial" w:eastAsia="Arial" w:hAnsi="Arial"/>
          <w:sz w:val="16"/>
          <w:szCs w:val="16"/>
          <w:color w:val="auto"/>
        </w:rPr>
      </w:pPr>
      <w:hyperlink w:anchor="page60">
        <w:r>
          <w:rPr>
            <w:rFonts w:ascii="Arial" w:cs="Arial" w:eastAsia="Arial" w:hAnsi="Arial"/>
            <w:sz w:val="16"/>
            <w:szCs w:val="16"/>
            <w:color w:val="auto"/>
          </w:rPr>
          <w:t>59</w:t>
        </w:r>
      </w:hyperlink>
    </w:p>
    <w:p>
      <w:pPr>
        <w:spacing w:after="0" w:line="126" w:lineRule="exact"/>
        <w:rPr>
          <w:sz w:val="20"/>
          <w:szCs w:val="20"/>
          <w:color w:val="auto"/>
        </w:rPr>
      </w:pPr>
    </w:p>
    <w:p>
      <w:pPr>
        <w:spacing w:after="0"/>
        <w:rPr>
          <w:rFonts w:ascii="Arial" w:cs="Arial" w:eastAsia="Arial" w:hAnsi="Arial"/>
          <w:sz w:val="16"/>
          <w:szCs w:val="16"/>
          <w:color w:val="auto"/>
        </w:rPr>
      </w:pPr>
      <w:hyperlink w:anchor="page61">
        <w:r>
          <w:rPr>
            <w:rFonts w:ascii="Arial" w:cs="Arial" w:eastAsia="Arial" w:hAnsi="Arial"/>
            <w:sz w:val="16"/>
            <w:szCs w:val="16"/>
            <w:color w:val="auto"/>
          </w:rPr>
          <w:t>60</w:t>
        </w:r>
      </w:hyperlink>
    </w:p>
    <w:p>
      <w:pPr>
        <w:spacing w:after="0" w:line="140" w:lineRule="exact"/>
        <w:rPr>
          <w:sz w:val="20"/>
          <w:szCs w:val="20"/>
          <w:color w:val="auto"/>
        </w:rPr>
      </w:pPr>
    </w:p>
    <w:p>
      <w:pPr>
        <w:sectPr>
          <w:pgSz w:w="11900" w:h="16838" w:orient="portrait"/>
          <w:cols w:equalWidth="0" w:num="2">
            <w:col w:w="10240" w:space="480"/>
            <w:col w:w="520"/>
          </w:cols>
          <w:pgMar w:left="320" w:top="1107" w:right="33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6920" w:type="dxa"/>
            <w:vAlign w:val="bottom"/>
            <w:tcBorders>
              <w:bottom w:val="single" w:sz="8" w:color="0000FF"/>
            </w:tcBorders>
            <w:gridSpan w:val="2"/>
          </w:tcPr>
          <w:p>
            <w:pPr>
              <w:spacing w:after="0" w:line="190"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Consolidated Statements of Cash Flows for the years ended December 31, 2021, 2020 and 2019</w:t>
              </w:r>
            </w:hyperlink>
          </w:p>
        </w:tc>
        <w:tc>
          <w:tcPr>
            <w:tcW w:w="3960" w:type="dxa"/>
            <w:vAlign w:val="bottom"/>
          </w:tcPr>
          <w:p>
            <w:pPr>
              <w:jc w:val="right"/>
              <w:spacing w:after="0" w:line="190" w:lineRule="exact"/>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10"/>
        </w:trPr>
        <w:tc>
          <w:tcPr>
            <w:tcW w:w="3160" w:type="dxa"/>
            <w:vAlign w:val="bottom"/>
            <w:tcBorders>
              <w:bottom w:val="single" w:sz="8" w:color="0000FF"/>
            </w:tcBorders>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Notes to Consolidated Financial Statements</w:t>
              </w:r>
            </w:hyperlink>
          </w:p>
        </w:tc>
        <w:tc>
          <w:tcPr>
            <w:tcW w:w="3760" w:type="dxa"/>
            <w:vAlign w:val="bottom"/>
          </w:tcPr>
          <w:p>
            <w:pPr>
              <w:spacing w:after="0"/>
              <w:rPr>
                <w:sz w:val="18"/>
                <w:szCs w:val="18"/>
                <w:color w:val="auto"/>
              </w:rPr>
            </w:pPr>
          </w:p>
        </w:tc>
        <w:tc>
          <w:tcPr>
            <w:tcW w:w="39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1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1"/>
                <w:szCs w:val="11"/>
                <w:color w:val="auto"/>
              </w:rPr>
            </w:pPr>
          </w:p>
        </w:tc>
        <w:tc>
          <w:tcPr>
            <w:tcW w:w="382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rPr>
              <w:t>Form</w:t>
            </w:r>
          </w:p>
        </w:tc>
        <w:tc>
          <w:tcPr>
            <w:tcW w:w="14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File No.</w:t>
            </w: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7"/>
              </w:rPr>
              <w:t>Filed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820" w:type="dxa"/>
            <w:vAlign w:val="bottom"/>
            <w:gridSpan w:val="16"/>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4"/>
        </w:trPr>
        <w:tc>
          <w:tcPr>
            <w:tcW w:w="11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gridSpan w:val="16"/>
          </w:tcPr>
          <w:p>
            <w:pPr>
              <w:spacing w:after="0" w:line="184"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Amended and Restated Certificate of Incorporation</w:t>
              </w:r>
            </w:hyperlink>
          </w:p>
        </w:tc>
        <w:tc>
          <w:tcPr>
            <w:tcW w:w="1200" w:type="dxa"/>
            <w:vAlign w:val="bottom"/>
            <w:tcBorders>
              <w:top w:val="single" w:sz="8" w:color="auto"/>
            </w:tcBorders>
          </w:tcPr>
          <w:p>
            <w:pPr>
              <w:jc w:val="center"/>
              <w:ind w:left="32"/>
              <w:spacing w:after="0" w:line="184" w:lineRule="exact"/>
              <w:rPr>
                <w:sz w:val="20"/>
                <w:szCs w:val="20"/>
                <w:color w:val="auto"/>
              </w:rPr>
            </w:pPr>
            <w:r>
              <w:rPr>
                <w:rFonts w:ascii="Arial" w:cs="Arial" w:eastAsia="Arial" w:hAnsi="Arial"/>
                <w:sz w:val="18"/>
                <w:szCs w:val="18"/>
                <w:color w:val="auto"/>
                <w:w w:val="99"/>
              </w:rPr>
              <w:t>8-K</w:t>
            </w:r>
          </w:p>
        </w:tc>
        <w:tc>
          <w:tcPr>
            <w:tcW w:w="14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001-39051</w:t>
            </w:r>
          </w:p>
        </w:tc>
        <w:tc>
          <w:tcPr>
            <w:tcW w:w="9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3.1</w:t>
            </w:r>
          </w:p>
        </w:tc>
        <w:tc>
          <w:tcPr>
            <w:tcW w:w="15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8"/>
              </w:rPr>
              <w:t>September 23,</w:t>
            </w: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of Datadog, Inc.</w:t>
              </w:r>
            </w:hyperlink>
          </w:p>
        </w:tc>
        <w:tc>
          <w:tcPr>
            <w:tcW w:w="2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tcBorders>
              <w:bottom w:val="single" w:sz="8" w:color="0000FF"/>
            </w:tcBorders>
            <w:gridSpan w:val="8"/>
          </w:tcPr>
          <w:p>
            <w:pPr>
              <w:spacing w:after="0"/>
              <w:rPr>
                <w:rFonts w:ascii="Arial" w:cs="Arial" w:eastAsia="Arial" w:hAnsi="Arial"/>
                <w:sz w:val="18"/>
                <w:szCs w:val="18"/>
                <w:color w:val="0000FF"/>
                <w:w w:val="90"/>
              </w:rPr>
            </w:pPr>
            <w:hyperlink r:id="rId117">
              <w:r>
                <w:rPr>
                  <w:rFonts w:ascii="Arial" w:cs="Arial" w:eastAsia="Arial" w:hAnsi="Arial"/>
                  <w:sz w:val="18"/>
                  <w:szCs w:val="18"/>
                  <w:color w:val="0000FF"/>
                  <w:w w:val="90"/>
                </w:rPr>
                <w:t>Amended and Restated Bylaws of Datadog, Inc.</w:t>
              </w:r>
            </w:hyperlink>
          </w:p>
        </w:tc>
        <w:tc>
          <w:tcPr>
            <w:tcW w:w="340" w:type="dxa"/>
            <w:vAlign w:val="bottom"/>
            <w:gridSpan w:val="8"/>
          </w:tcPr>
          <w:p>
            <w:pPr>
              <w:spacing w:after="0"/>
              <w:rPr>
                <w:sz w:val="22"/>
                <w:szCs w:val="22"/>
                <w:color w:val="auto"/>
              </w:rPr>
            </w:pPr>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6"/>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Class A Common Stock Certificate.</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September 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16"/>
          </w:tcPr>
          <w:p>
            <w:pPr>
              <w:spacing w:after="0"/>
              <w:rPr>
                <w:rFonts w:ascii="Arial" w:cs="Arial" w:eastAsia="Arial" w:hAnsi="Arial"/>
                <w:sz w:val="18"/>
                <w:szCs w:val="18"/>
                <w:color w:val="0000FF"/>
              </w:rPr>
            </w:pPr>
            <w:hyperlink r:id="rId119">
              <w:r>
                <w:rPr>
                  <w:rFonts w:ascii="Arial" w:cs="Arial" w:eastAsia="Arial" w:hAnsi="Arial"/>
                  <w:sz w:val="18"/>
                  <w:szCs w:val="18"/>
                  <w:color w:val="0000FF"/>
                </w:rPr>
                <w:t>Description of Securities.</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94"/>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February 25,</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16"/>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Indenture, dated June 2, 2020, between Datadog,</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June 2, 2020</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bottom w:val="single" w:sz="8" w:color="0000FF"/>
            </w:tcBorders>
            <w:gridSpan w:val="15"/>
          </w:tcPr>
          <w:p>
            <w:pPr>
              <w:spacing w:after="0" w:line="15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Inc. and U.S. Bank National Association, as Trustee.</w:t>
              </w:r>
            </w:hyperlink>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6"/>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Form of Global Note representing Datadog, Inc.’s</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June 2, 2020</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0.</w:t>
              </w:r>
              <w:r>
                <w:rPr>
                  <w:rFonts w:ascii="Arial" w:cs="Arial" w:eastAsia="Arial" w:hAnsi="Arial"/>
                  <w:sz w:val="18"/>
                  <w:szCs w:val="18"/>
                  <w:u w:val="single" w:color="auto"/>
                  <w:color w:val="0000FF"/>
                </w:rPr>
                <w:t>125%</w:t>
              </w:r>
              <w:r>
                <w:rPr>
                  <w:rFonts w:ascii="Arial" w:cs="Arial" w:eastAsia="Arial" w:hAnsi="Arial"/>
                  <w:sz w:val="18"/>
                  <w:szCs w:val="18"/>
                  <w:color w:val="0000FF"/>
                </w:rPr>
                <w:t xml:space="preserve"> Convertible Senior Notes due 2025</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Fourth Amended and Restated Investor Rights</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Agreement, dated December 28, 2015.</w:t>
              </w:r>
            </w:hyperlink>
          </w:p>
        </w:tc>
        <w:tc>
          <w:tcPr>
            <w:tcW w:w="560" w:type="dxa"/>
            <w:vAlign w:val="bottom"/>
            <w:tcBorders>
              <w:top w:val="single" w:sz="8" w:color="0000FF"/>
            </w:tcBorders>
            <w:gridSpan w:val="3"/>
          </w:tcPr>
          <w:p>
            <w:pPr>
              <w:spacing w:after="0"/>
              <w:rPr>
                <w:sz w:val="13"/>
                <w:szCs w:val="13"/>
                <w:color w:val="auto"/>
              </w:rPr>
            </w:pPr>
          </w:p>
        </w:tc>
        <w:tc>
          <w:tcPr>
            <w:tcW w:w="3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6"/>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Datadog, Inc. 2012 Equity Incentive Plan, and terms</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123">
              <w:r>
                <w:rPr>
                  <w:rFonts w:ascii="Arial" w:cs="Arial" w:eastAsia="Arial" w:hAnsi="Arial"/>
                  <w:sz w:val="18"/>
                  <w:szCs w:val="18"/>
                  <w:color w:val="0000FF"/>
                  <w:w w:val="87"/>
                </w:rPr>
                <w:t>of agreements thereunder.</w:t>
              </w:r>
            </w:hyperlink>
          </w:p>
        </w:tc>
        <w:tc>
          <w:tcPr>
            <w:tcW w:w="19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6"/>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Datadog, Inc. 2019 Equity Incentive Plan and terms</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September 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124">
              <w:r>
                <w:rPr>
                  <w:rFonts w:ascii="Arial" w:cs="Arial" w:eastAsia="Arial" w:hAnsi="Arial"/>
                  <w:sz w:val="18"/>
                  <w:szCs w:val="18"/>
                  <w:color w:val="0000FF"/>
                  <w:w w:val="87"/>
                </w:rPr>
                <w:t>of agreements thereunder.</w:t>
              </w:r>
            </w:hyperlink>
          </w:p>
        </w:tc>
        <w:tc>
          <w:tcPr>
            <w:tcW w:w="1860" w:type="dxa"/>
            <w:vAlign w:val="bottom"/>
            <w:tcBorders>
              <w:top w:val="single" w:sz="8" w:color="0000FF"/>
            </w:tcBorders>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6"/>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Datadog, Inc. 2019 Employee Stock Purchase Plan.</w:t>
              </w:r>
            </w:hyperlink>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September 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restart"/>
          </w:tcPr>
          <w:p>
            <w:pPr>
              <w:jc w:val="right"/>
              <w:ind w:right="432"/>
              <w:spacing w:after="0"/>
              <w:rPr>
                <w:sz w:val="20"/>
                <w:szCs w:val="20"/>
                <w:color w:val="auto"/>
              </w:rPr>
            </w:pPr>
            <w:r>
              <w:rPr>
                <w:rFonts w:ascii="Arial" w:cs="Arial" w:eastAsia="Arial" w:hAnsi="Arial"/>
                <w:sz w:val="18"/>
                <w:szCs w:val="18"/>
                <w:color w:val="auto"/>
              </w:rPr>
              <w:t>93</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5" w:name="page96"/>
    <w:bookmarkEnd w:id="95"/>
    <w:tbl>
      <w:tblPr>
        <w:tblLayout w:type="fixed"/>
        <w:tblInd w:w="60" w:type="dxa"/>
        <w:tblCellMar>
          <w:top w:w="0" w:type="dxa"/>
          <w:left w:w="0" w:type="dxa"/>
          <w:bottom w:w="0" w:type="dxa"/>
          <w:right w:w="0" w:type="dxa"/>
        </w:tblCellMar>
      </w:tblPr>
      <w:tr>
        <w:trPr>
          <w:trHeight w:val="207"/>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10.5#</w:t>
            </w:r>
          </w:p>
        </w:tc>
        <w:tc>
          <w:tcPr>
            <w:tcW w:w="3960" w:type="dxa"/>
            <w:vAlign w:val="bottom"/>
            <w:gridSpan w:val="4"/>
          </w:tcPr>
          <w:p>
            <w:pPr>
              <w:spacing w:after="0"/>
              <w:rPr>
                <w:rFonts w:ascii="Arial" w:cs="Arial" w:eastAsia="Arial" w:hAnsi="Arial"/>
                <w:sz w:val="18"/>
                <w:szCs w:val="18"/>
                <w:color w:val="0000FF"/>
                <w:w w:val="99"/>
              </w:rPr>
            </w:pPr>
            <w:hyperlink r:id="rId128">
              <w:r>
                <w:rPr>
                  <w:rFonts w:ascii="Arial" w:cs="Arial" w:eastAsia="Arial" w:hAnsi="Arial"/>
                  <w:sz w:val="18"/>
                  <w:szCs w:val="18"/>
                  <w:color w:val="0000FF"/>
                  <w:w w:val="99"/>
                </w:rPr>
                <w:t>Form of Indemnity Agreement entered into by and</w:t>
              </w:r>
            </w:hyperlink>
          </w:p>
        </w:tc>
        <w:tc>
          <w:tcPr>
            <w:tcW w:w="1060" w:type="dxa"/>
            <w:vAlign w:val="bottom"/>
          </w:tcPr>
          <w:p>
            <w:pPr>
              <w:ind w:left="300"/>
              <w:spacing w:after="0"/>
              <w:rPr>
                <w:sz w:val="20"/>
                <w:szCs w:val="20"/>
                <w:color w:val="auto"/>
              </w:rPr>
            </w:pPr>
            <w:r>
              <w:rPr>
                <w:rFonts w:ascii="Arial" w:cs="Arial" w:eastAsia="Arial" w:hAnsi="Arial"/>
                <w:sz w:val="18"/>
                <w:szCs w:val="18"/>
                <w:color w:val="auto"/>
              </w:rPr>
              <w:t>S-1/A</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333-233428</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88"/>
              </w:rPr>
              <w:t>September 9,</w:t>
            </w:r>
          </w:p>
        </w:tc>
      </w:tr>
      <w:tr>
        <w:trPr>
          <w:trHeight w:val="156"/>
        </w:trPr>
        <w:tc>
          <w:tcPr>
            <w:tcW w:w="860" w:type="dxa"/>
            <w:vAlign w:val="bottom"/>
          </w:tcPr>
          <w:p>
            <w:pPr>
              <w:spacing w:after="0"/>
              <w:rPr>
                <w:sz w:val="13"/>
                <w:szCs w:val="13"/>
                <w:color w:val="auto"/>
              </w:rPr>
            </w:pPr>
          </w:p>
        </w:tc>
        <w:tc>
          <w:tcPr>
            <w:tcW w:w="36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between Datadog, Inc. and each director and</w:t>
              </w:r>
            </w:hyperlink>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2019</w:t>
            </w:r>
          </w:p>
        </w:tc>
      </w:tr>
      <w:tr>
        <w:trPr>
          <w:trHeight w:val="156"/>
        </w:trPr>
        <w:tc>
          <w:tcPr>
            <w:tcW w:w="860" w:type="dxa"/>
            <w:vAlign w:val="bottom"/>
          </w:tcPr>
          <w:p>
            <w:pPr>
              <w:spacing w:after="0"/>
              <w:rPr>
                <w:sz w:val="13"/>
                <w:szCs w:val="13"/>
                <w:color w:val="auto"/>
              </w:rPr>
            </w:pPr>
          </w:p>
        </w:tc>
        <w:tc>
          <w:tcPr>
            <w:tcW w:w="1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executive officer.</w:t>
              </w:r>
            </w:hyperlink>
          </w:p>
        </w:tc>
        <w:tc>
          <w:tcPr>
            <w:tcW w:w="1960" w:type="dxa"/>
            <w:vAlign w:val="bottom"/>
            <w:tcBorders>
              <w:top w:val="single" w:sz="8" w:color="0000FF"/>
            </w:tcBorders>
          </w:tcPr>
          <w:p>
            <w:pPr>
              <w:spacing w:after="0"/>
              <w:rPr>
                <w:sz w:val="13"/>
                <w:szCs w:val="13"/>
                <w:color w:val="auto"/>
              </w:rPr>
            </w:pPr>
          </w:p>
        </w:tc>
        <w:tc>
          <w:tcPr>
            <w:tcW w:w="74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50" w:lineRule="exact"/>
        <w:rPr>
          <w:sz w:val="20"/>
          <w:szCs w:val="20"/>
          <w:color w:val="auto"/>
        </w:rPr>
      </w:pPr>
    </w:p>
    <w:p>
      <w:pPr>
        <w:sectPr>
          <w:pgSz w:w="11900" w:h="16838" w:orient="portrait"/>
          <w:cols w:equalWidth="0" w:num="1">
            <w:col w:w="10420"/>
          </w:cols>
          <w:pgMar w:left="620" w:top="1013" w:right="859" w:bottom="1440" w:gutter="0" w:footer="0" w:header="0"/>
        </w:sectPr>
      </w:pPr>
    </w:p>
    <w:p>
      <w:pPr>
        <w:spacing w:after="0" w:line="30" w:lineRule="exact"/>
        <w:rPr>
          <w:sz w:val="20"/>
          <w:szCs w:val="20"/>
          <w:color w:val="auto"/>
        </w:rPr>
      </w:pPr>
    </w:p>
    <w:p>
      <w:pPr>
        <w:jc w:val="center"/>
        <w:ind w:right="22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129">
        <w:r>
          <w:rPr>
            <w:rFonts w:ascii="Arial" w:cs="Arial" w:eastAsia="Arial" w:hAnsi="Arial"/>
            <w:sz w:val="18"/>
            <w:szCs w:val="18"/>
            <w:u w:val="single" w:color="auto"/>
            <w:color w:val="0000FF"/>
          </w:rPr>
          <w:t>Offer Letter, by and between Datadog, Inc. and</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Olivier Pomel, dated May 20, 2011.</w:t>
        </w:r>
      </w:hyperlink>
    </w:p>
    <w:p>
      <w:pPr>
        <w:spacing w:after="0" w:line="54" w:lineRule="exact"/>
        <w:rPr>
          <w:sz w:val="20"/>
          <w:szCs w:val="20"/>
          <w:color w:val="auto"/>
        </w:rPr>
      </w:pPr>
    </w:p>
    <w:p>
      <w:pPr>
        <w:ind w:left="920" w:right="280" w:hanging="874"/>
        <w:spacing w:after="0" w:line="25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130">
        <w:r>
          <w:rPr>
            <w:rFonts w:ascii="Arial" w:cs="Arial" w:eastAsia="Arial" w:hAnsi="Arial"/>
            <w:sz w:val="17"/>
            <w:szCs w:val="17"/>
            <w:u w:val="single" w:color="auto"/>
            <w:color w:val="0000FF"/>
          </w:rPr>
          <w:t>Offer Letter, by and between Datadog, Inc. and</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David Obstler, dated August 28, 2018.</w:t>
        </w:r>
      </w:hyperlink>
    </w:p>
    <w:p>
      <w:pPr>
        <w:spacing w:after="0" w:line="39" w:lineRule="exact"/>
        <w:rPr>
          <w:sz w:val="20"/>
          <w:szCs w:val="20"/>
          <w:color w:val="auto"/>
        </w:rPr>
      </w:pPr>
    </w:p>
    <w:p>
      <w:pPr>
        <w:ind w:left="920" w:right="280" w:hanging="874"/>
        <w:spacing w:after="0" w:line="25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131">
        <w:r>
          <w:rPr>
            <w:rFonts w:ascii="Arial" w:cs="Arial" w:eastAsia="Arial" w:hAnsi="Arial"/>
            <w:sz w:val="17"/>
            <w:szCs w:val="17"/>
            <w:u w:val="single" w:color="auto"/>
            <w:color w:val="0000FF"/>
          </w:rPr>
          <w:t>Offer Letter, by and between Datadog, Inc. and</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Laszlo Kopits, dated February 27, 2017.</w:t>
        </w:r>
      </w:hyperlink>
    </w:p>
    <w:p>
      <w:pPr>
        <w:spacing w:after="0" w:line="39" w:lineRule="exact"/>
        <w:rPr>
          <w:sz w:val="20"/>
          <w:szCs w:val="20"/>
          <w:color w:val="auto"/>
        </w:rPr>
      </w:pPr>
    </w:p>
    <w:p>
      <w:pPr>
        <w:ind w:left="920" w:right="280" w:hanging="874"/>
        <w:spacing w:after="0" w:line="25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132">
        <w:r>
          <w:rPr>
            <w:rFonts w:ascii="Arial" w:cs="Arial" w:eastAsia="Arial" w:hAnsi="Arial"/>
            <w:sz w:val="17"/>
            <w:szCs w:val="17"/>
            <w:u w:val="single" w:color="auto"/>
            <w:color w:val="0000FF"/>
          </w:rPr>
          <w:t>Offer Letter, by and between Datadog, Inc. and</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Alexis Lê-Quôc, dated May 20, 2011.</w:t>
        </w:r>
      </w:hyperlink>
    </w:p>
    <w:p>
      <w:pPr>
        <w:spacing w:after="0" w:line="23"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33">
        <w:r>
          <w:rPr>
            <w:rFonts w:ascii="Arial" w:cs="Arial" w:eastAsia="Arial" w:hAnsi="Arial"/>
            <w:sz w:val="16"/>
            <w:szCs w:val="16"/>
            <w:u w:val="single" w:color="auto"/>
            <w:color w:val="0000FF"/>
          </w:rPr>
          <w:t>Offer Letter, by and between Datadog, Inc. and</w:t>
        </w:r>
      </w:hyperlink>
    </w:p>
    <w:p>
      <w:pPr>
        <w:ind w:left="92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Amit Agarwal, dated May 4, 2012.</w:t>
        </w:r>
      </w:hyperlink>
    </w:p>
    <w:p>
      <w:pPr>
        <w:spacing w:after="0" w:line="61" w:lineRule="exact"/>
        <w:rPr>
          <w:sz w:val="20"/>
          <w:szCs w:val="20"/>
          <w:color w:val="auto"/>
        </w:rPr>
      </w:pPr>
    </w:p>
    <w:p>
      <w:pPr>
        <w:ind w:left="920" w:hanging="871"/>
        <w:spacing w:after="0" w:line="289"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34">
        <w:r>
          <w:rPr>
            <w:rFonts w:ascii="Arial" w:cs="Arial" w:eastAsia="Arial" w:hAnsi="Arial"/>
            <w:sz w:val="16"/>
            <w:szCs w:val="16"/>
            <w:u w:val="single" w:color="auto"/>
            <w:color w:val="0000FF"/>
          </w:rPr>
          <w:t>Agreement of Sub-Sub-Sublease, by and between</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Datadog, Inc. and Ideeli Inc., dated April 14, 2016.</w:t>
        </w:r>
      </w:hyperlink>
    </w:p>
    <w:p>
      <w:pPr>
        <w:spacing w:after="0" w:line="16" w:lineRule="exact"/>
        <w:rPr>
          <w:sz w:val="20"/>
          <w:szCs w:val="20"/>
          <w:color w:val="auto"/>
        </w:rPr>
      </w:pPr>
    </w:p>
    <w:p>
      <w:pPr>
        <w:ind w:left="920" w:right="440" w:hanging="874"/>
        <w:spacing w:after="0" w:line="22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35">
        <w:r>
          <w:rPr>
            <w:rFonts w:ascii="Arial" w:cs="Arial" w:eastAsia="Arial" w:hAnsi="Arial"/>
            <w:sz w:val="18"/>
            <w:szCs w:val="18"/>
            <w:u w:val="single" w:color="auto"/>
            <w:color w:val="0000FF"/>
          </w:rPr>
          <w:t>Agreement of Sub-Sublease, by and between</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Datadog, Inc. and BT Americas Inc., dated</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September 18,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8"/>
              </w:rPr>
              <w:t>September 9,</w:t>
            </w:r>
          </w:p>
        </w:tc>
      </w:tr>
      <w:tr>
        <w:trPr>
          <w:trHeight w:val="230"/>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9"/>
              </w:rPr>
              <w:t>2019</w:t>
            </w:r>
          </w:p>
        </w:tc>
      </w:tr>
      <w:tr>
        <w:trPr>
          <w:trHeight w:val="229"/>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8"/>
              </w:rPr>
              <w:t>September 9,</w:t>
            </w:r>
          </w:p>
        </w:tc>
      </w:tr>
      <w:tr>
        <w:trPr>
          <w:trHeight w:val="230"/>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9"/>
              </w:rPr>
              <w:t>2019</w:t>
            </w:r>
          </w:p>
        </w:tc>
      </w:tr>
      <w:tr>
        <w:trPr>
          <w:trHeight w:val="229"/>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8"/>
              </w:rPr>
              <w:t>September 9,</w:t>
            </w:r>
          </w:p>
        </w:tc>
      </w:tr>
      <w:tr>
        <w:trPr>
          <w:trHeight w:val="230"/>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9"/>
              </w:rPr>
              <w:t>2019</w:t>
            </w:r>
          </w:p>
        </w:tc>
      </w:tr>
      <w:tr>
        <w:trPr>
          <w:trHeight w:val="283"/>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2"/>
              </w:rPr>
              <w:t>May 7, 2021</w:t>
            </w:r>
          </w:p>
        </w:tc>
      </w:tr>
      <w:tr>
        <w:trPr>
          <w:trHeight w:val="459"/>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2"/>
              </w:rPr>
              <w:t>May 7, 2021</w:t>
            </w:r>
          </w:p>
        </w:tc>
      </w:tr>
      <w:tr>
        <w:trPr>
          <w:trHeight w:val="459"/>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1"/>
              </w:rPr>
              <w:t>August 23, 2019</w:t>
            </w:r>
          </w:p>
        </w:tc>
      </w:tr>
      <w:tr>
        <w:trPr>
          <w:trHeight w:val="459"/>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1"/>
              </w:rPr>
              <w:t>August 23, 2019</w:t>
            </w:r>
          </w:p>
        </w:tc>
      </w:tr>
    </w:tbl>
    <w:p>
      <w:pPr>
        <w:spacing w:after="0" w:line="387" w:lineRule="exact"/>
        <w:rPr>
          <w:rFonts w:ascii="Arial" w:cs="Arial" w:eastAsia="Arial" w:hAnsi="Arial"/>
          <w:sz w:val="18"/>
          <w:szCs w:val="18"/>
          <w:u w:val="single" w:color="auto"/>
          <w:color w:val="0000FF"/>
        </w:rPr>
      </w:pPr>
    </w:p>
    <w:p>
      <w:pPr>
        <w:sectPr>
          <w:pgSz w:w="11900" w:h="16838" w:orient="portrait"/>
          <w:cols w:equalWidth="0" w:num="2">
            <w:col w:w="4600" w:space="580"/>
            <w:col w:w="5240"/>
          </w:cols>
          <w:pgMar w:left="620" w:top="1013" w:right="8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88"/>
              </w:rPr>
              <w:t>10.13</w:t>
            </w:r>
          </w:p>
        </w:tc>
        <w:tc>
          <w:tcPr>
            <w:tcW w:w="3200" w:type="dxa"/>
            <w:vAlign w:val="bottom"/>
            <w:tcBorders>
              <w:bottom w:val="single" w:sz="8" w:color="0000FF"/>
            </w:tcBorders>
            <w:gridSpan w:val="11"/>
          </w:tcPr>
          <w:p>
            <w:pPr>
              <w:spacing w:after="0"/>
              <w:rPr>
                <w:rFonts w:ascii="Arial" w:cs="Arial" w:eastAsia="Arial" w:hAnsi="Arial"/>
                <w:sz w:val="18"/>
                <w:szCs w:val="18"/>
                <w:color w:val="0000FF"/>
                <w:w w:val="88"/>
              </w:rPr>
            </w:pPr>
            <w:hyperlink r:id="rId136">
              <w:r>
                <w:rPr>
                  <w:rFonts w:ascii="Arial" w:cs="Arial" w:eastAsia="Arial" w:hAnsi="Arial"/>
                  <w:sz w:val="18"/>
                  <w:szCs w:val="18"/>
                  <w:color w:val="0000FF"/>
                  <w:w w:val="88"/>
                </w:rPr>
                <w:t>Sublease, by and between Datadog, Inc. and</w:t>
              </w:r>
            </w:hyperlink>
          </w:p>
        </w:tc>
        <w:tc>
          <w:tcPr>
            <w:tcW w:w="840" w:type="dxa"/>
            <w:vAlign w:val="bottom"/>
            <w:gridSpan w:val="12"/>
          </w:tcPr>
          <w:p>
            <w:pPr>
              <w:spacing w:after="0"/>
              <w:rPr>
                <w:sz w:val="17"/>
                <w:szCs w:val="17"/>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91"/>
              </w:rPr>
              <w:t>August 23, 2019</w:t>
            </w:r>
          </w:p>
        </w:tc>
      </w:tr>
      <w:tr>
        <w:trPr>
          <w:trHeight w:val="156"/>
        </w:trPr>
        <w:tc>
          <w:tcPr>
            <w:tcW w:w="920" w:type="dxa"/>
            <w:vAlign w:val="bottom"/>
          </w:tcPr>
          <w:p>
            <w:pPr>
              <w:spacing w:after="0"/>
              <w:rPr>
                <w:sz w:val="13"/>
                <w:szCs w:val="13"/>
                <w:color w:val="auto"/>
              </w:rPr>
            </w:pPr>
          </w:p>
        </w:tc>
        <w:tc>
          <w:tcPr>
            <w:tcW w:w="3440" w:type="dxa"/>
            <w:vAlign w:val="bottom"/>
            <w:tcBorders>
              <w:bottom w:val="single" w:sz="8" w:color="0000FF"/>
            </w:tcBorders>
            <w:gridSpan w:val="13"/>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Covington &amp; Burling LLP, dated July 19, 2018.</w:t>
              </w:r>
            </w:hyperlink>
          </w:p>
        </w:tc>
        <w:tc>
          <w:tcPr>
            <w:tcW w:w="600" w:type="dxa"/>
            <w:vAlign w:val="bottom"/>
            <w:gridSpan w:val="10"/>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63"/>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10.14#</w:t>
            </w:r>
          </w:p>
        </w:tc>
        <w:tc>
          <w:tcPr>
            <w:tcW w:w="4040" w:type="dxa"/>
            <w:vAlign w:val="bottom"/>
            <w:gridSpan w:val="23"/>
          </w:tcPr>
          <w:p>
            <w:pPr>
              <w:spacing w:after="0"/>
              <w:rPr>
                <w:rFonts w:ascii="Arial" w:cs="Arial" w:eastAsia="Arial" w:hAnsi="Arial"/>
                <w:sz w:val="18"/>
                <w:szCs w:val="18"/>
                <w:color w:val="0000FF"/>
              </w:rPr>
            </w:pPr>
            <w:hyperlink r:id="rId137">
              <w:r>
                <w:rPr>
                  <w:rFonts w:ascii="Arial" w:cs="Arial" w:eastAsia="Arial" w:hAnsi="Arial"/>
                  <w:sz w:val="18"/>
                  <w:szCs w:val="18"/>
                  <w:color w:val="0000FF"/>
                </w:rPr>
                <w:t>Amended and Restated Non-Employee Director</w:t>
              </w:r>
            </w:hyperlink>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80" w:type="dxa"/>
            <w:vAlign w:val="bottom"/>
          </w:tcPr>
          <w:p>
            <w:pPr>
              <w:jc w:val="center"/>
              <w:ind w:right="370"/>
              <w:spacing w:after="0"/>
              <w:rPr>
                <w:sz w:val="20"/>
                <w:szCs w:val="20"/>
                <w:color w:val="auto"/>
              </w:rPr>
            </w:pPr>
            <w:r>
              <w:rPr>
                <w:rFonts w:ascii="Arial" w:cs="Arial" w:eastAsia="Arial" w:hAnsi="Arial"/>
                <w:sz w:val="18"/>
                <w:szCs w:val="18"/>
                <w:color w:val="auto"/>
                <w:w w:val="91"/>
              </w:rPr>
              <w:t>November 5,</w:t>
            </w:r>
          </w:p>
        </w:tc>
      </w:tr>
      <w:tr>
        <w:trPr>
          <w:trHeight w:val="156"/>
        </w:trPr>
        <w:tc>
          <w:tcPr>
            <w:tcW w:w="920" w:type="dxa"/>
            <w:vAlign w:val="bottom"/>
          </w:tcPr>
          <w:p>
            <w:pPr>
              <w:spacing w:after="0"/>
              <w:rPr>
                <w:sz w:val="13"/>
                <w:szCs w:val="13"/>
                <w:color w:val="auto"/>
              </w:rPr>
            </w:pPr>
          </w:p>
        </w:tc>
        <w:tc>
          <w:tcPr>
            <w:tcW w:w="34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Compensation Policy.</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jc w:val="center"/>
              <w:ind w:right="390"/>
              <w:spacing w:after="0" w:line="156" w:lineRule="exact"/>
              <w:rPr>
                <w:sz w:val="20"/>
                <w:szCs w:val="20"/>
                <w:color w:val="auto"/>
              </w:rPr>
            </w:pPr>
            <w:r>
              <w:rPr>
                <w:rFonts w:ascii="Arial" w:cs="Arial" w:eastAsia="Arial" w:hAnsi="Arial"/>
                <w:sz w:val="18"/>
                <w:szCs w:val="18"/>
                <w:color w:val="auto"/>
                <w:w w:val="89"/>
              </w:rPr>
              <w:t>2021</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10.15#</w:t>
            </w:r>
          </w:p>
        </w:tc>
        <w:tc>
          <w:tcPr>
            <w:tcW w:w="4040" w:type="dxa"/>
            <w:vAlign w:val="bottom"/>
            <w:gridSpan w:val="2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Change of Control and Severance</w:t>
              </w:r>
            </w:hyperlink>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88"/>
              </w:rPr>
              <w:t>September 9,</w:t>
            </w:r>
          </w:p>
        </w:tc>
      </w:tr>
      <w:tr>
        <w:trPr>
          <w:trHeight w:val="155"/>
        </w:trPr>
        <w:tc>
          <w:tcPr>
            <w:tcW w:w="9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Agreement.</w:t>
              </w:r>
            </w:hyperlink>
          </w:p>
        </w:tc>
        <w:tc>
          <w:tcPr>
            <w:tcW w:w="220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jc w:val="center"/>
              <w:ind w:right="390"/>
              <w:spacing w:after="0" w:line="156" w:lineRule="exact"/>
              <w:rPr>
                <w:sz w:val="20"/>
                <w:szCs w:val="20"/>
                <w:color w:val="auto"/>
              </w:rPr>
            </w:pPr>
            <w:r>
              <w:rPr>
                <w:rFonts w:ascii="Arial" w:cs="Arial" w:eastAsia="Arial" w:hAnsi="Arial"/>
                <w:sz w:val="18"/>
                <w:szCs w:val="18"/>
                <w:color w:val="auto"/>
                <w:w w:val="89"/>
              </w:rPr>
              <w:t>2019</w:t>
            </w:r>
          </w:p>
        </w:tc>
      </w:tr>
      <w:tr>
        <w:trPr>
          <w:trHeight w:val="264"/>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88"/>
              </w:rPr>
              <w:t>10.16</w:t>
            </w:r>
          </w:p>
        </w:tc>
        <w:tc>
          <w:tcPr>
            <w:tcW w:w="3740" w:type="dxa"/>
            <w:vAlign w:val="bottom"/>
            <w:tcBorders>
              <w:bottom w:val="single" w:sz="8" w:color="0000FF"/>
            </w:tcBorders>
            <w:gridSpan w:val="20"/>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Form of Confirmation for Capped Call Transaction.</w:t>
              </w:r>
            </w:hyperlink>
          </w:p>
        </w:tc>
        <w:tc>
          <w:tcPr>
            <w:tcW w:w="300" w:type="dxa"/>
            <w:vAlign w:val="bottom"/>
            <w:gridSpan w:val="3"/>
          </w:tcPr>
          <w:p>
            <w:pPr>
              <w:spacing w:after="0"/>
              <w:rPr>
                <w:sz w:val="22"/>
                <w:szCs w:val="22"/>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88"/>
              </w:rPr>
              <w:t>June 2, 2020</w:t>
            </w:r>
          </w:p>
        </w:tc>
      </w:tr>
      <w:tr>
        <w:trPr>
          <w:trHeight w:val="263"/>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88"/>
              </w:rPr>
              <w:t>10.17</w:t>
            </w:r>
          </w:p>
        </w:tc>
        <w:tc>
          <w:tcPr>
            <w:tcW w:w="4040" w:type="dxa"/>
            <w:vAlign w:val="bottom"/>
            <w:gridSpan w:val="23"/>
          </w:tcPr>
          <w:p>
            <w:pPr>
              <w:spacing w:after="0"/>
              <w:rPr>
                <w:rFonts w:ascii="Arial" w:cs="Arial" w:eastAsia="Arial" w:hAnsi="Arial"/>
                <w:sz w:val="18"/>
                <w:szCs w:val="18"/>
                <w:color w:val="0000FF"/>
                <w:w w:val="99"/>
              </w:rPr>
            </w:pPr>
            <w:hyperlink r:id="rId140">
              <w:r>
                <w:rPr>
                  <w:rFonts w:ascii="Arial" w:cs="Arial" w:eastAsia="Arial" w:hAnsi="Arial"/>
                  <w:sz w:val="18"/>
                  <w:szCs w:val="18"/>
                  <w:color w:val="0000FF"/>
                  <w:w w:val="99"/>
                </w:rPr>
                <w:t>Agreement of Sublease, by and between Datadog,</w:t>
              </w:r>
            </w:hyperlink>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2080" w:type="dxa"/>
            <w:vAlign w:val="bottom"/>
          </w:tcPr>
          <w:p>
            <w:pPr>
              <w:jc w:val="center"/>
              <w:ind w:right="370"/>
              <w:spacing w:after="0"/>
              <w:rPr>
                <w:sz w:val="20"/>
                <w:szCs w:val="20"/>
                <w:color w:val="auto"/>
              </w:rPr>
            </w:pPr>
            <w:r>
              <w:rPr>
                <w:rFonts w:ascii="Arial" w:cs="Arial" w:eastAsia="Arial" w:hAnsi="Arial"/>
                <w:sz w:val="18"/>
                <w:szCs w:val="18"/>
                <w:color w:val="auto"/>
                <w:w w:val="92"/>
              </w:rPr>
              <w:t>March 1, 2021</w:t>
            </w:r>
          </w:p>
        </w:tc>
      </w:tr>
      <w:tr>
        <w:trPr>
          <w:trHeight w:val="156"/>
        </w:trPr>
        <w:tc>
          <w:tcPr>
            <w:tcW w:w="9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Inc. and Clearbridge Investments, LLC, dated July</w:t>
              </w:r>
            </w:hyperlink>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54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r:id="rId140">
              <w:r>
                <w:rPr>
                  <w:rFonts w:ascii="Arial" w:cs="Arial" w:eastAsia="Arial" w:hAnsi="Arial"/>
                  <w:sz w:val="18"/>
                  <w:szCs w:val="18"/>
                  <w:color w:val="0000FF"/>
                  <w:w w:val="86"/>
                </w:rPr>
                <w:t>9, 2020</w:t>
              </w:r>
            </w:hyperlink>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63"/>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21.1</w:t>
            </w:r>
          </w:p>
        </w:tc>
        <w:tc>
          <w:tcPr>
            <w:tcW w:w="4040" w:type="dxa"/>
            <w:vAlign w:val="bottom"/>
            <w:gridSpan w:val="23"/>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List of Subsidiaries of Datadog, Inc.</w:t>
              </w:r>
            </w:hyperlink>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tcPr>
          <w:p>
            <w:pPr>
              <w:ind w:left="1960"/>
              <w:spacing w:after="0"/>
              <w:rPr>
                <w:sz w:val="20"/>
                <w:szCs w:val="20"/>
                <w:color w:val="auto"/>
              </w:rPr>
            </w:pPr>
            <w:r>
              <w:rPr>
                <w:rFonts w:ascii="Arial" w:cs="Arial" w:eastAsia="Arial" w:hAnsi="Arial"/>
                <w:sz w:val="18"/>
                <w:szCs w:val="18"/>
                <w:color w:val="auto"/>
                <w:w w:val="82"/>
              </w:rPr>
              <w:t>X</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23.1</w:t>
            </w:r>
          </w:p>
        </w:tc>
        <w:tc>
          <w:tcPr>
            <w:tcW w:w="4040" w:type="dxa"/>
            <w:vAlign w:val="bottom"/>
            <w:gridSpan w:val="23"/>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Consent of Deloitte &amp; Touche LLP, independent</w:t>
              </w:r>
            </w:hyperlink>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tcPr>
          <w:p>
            <w:pPr>
              <w:ind w:left="1960"/>
              <w:spacing w:after="0"/>
              <w:rPr>
                <w:sz w:val="20"/>
                <w:szCs w:val="20"/>
                <w:color w:val="auto"/>
              </w:rPr>
            </w:pPr>
            <w:r>
              <w:rPr>
                <w:rFonts w:ascii="Arial" w:cs="Arial" w:eastAsia="Arial" w:hAnsi="Arial"/>
                <w:sz w:val="18"/>
                <w:szCs w:val="18"/>
                <w:color w:val="auto"/>
                <w:w w:val="82"/>
              </w:rPr>
              <w:t>X</w:t>
            </w:r>
          </w:p>
        </w:tc>
      </w:tr>
      <w:tr>
        <w:trPr>
          <w:trHeight w:val="155"/>
        </w:trPr>
        <w:tc>
          <w:tcPr>
            <w:tcW w:w="920" w:type="dxa"/>
            <w:vAlign w:val="bottom"/>
          </w:tcPr>
          <w:p>
            <w:pPr>
              <w:spacing w:after="0"/>
              <w:rPr>
                <w:sz w:val="13"/>
                <w:szCs w:val="13"/>
                <w:color w:val="auto"/>
              </w:rPr>
            </w:pPr>
          </w:p>
        </w:tc>
        <w:tc>
          <w:tcPr>
            <w:tcW w:w="34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00">
              <w:r>
                <w:rPr>
                  <w:rFonts w:ascii="Arial" w:cs="Arial" w:eastAsia="Arial" w:hAnsi="Arial"/>
                  <w:sz w:val="18"/>
                  <w:szCs w:val="18"/>
                  <w:color w:val="0000FF"/>
                </w:rPr>
                <w:t>registered public accounting firm.</w:t>
              </w:r>
            </w:hyperlink>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24.1</w:t>
            </w:r>
          </w:p>
        </w:tc>
        <w:tc>
          <w:tcPr>
            <w:tcW w:w="4040" w:type="dxa"/>
            <w:vAlign w:val="bottom"/>
            <w:gridSpan w:val="23"/>
          </w:tcPr>
          <w:p>
            <w:pPr>
              <w:spacing w:after="0"/>
              <w:rPr>
                <w:rFonts w:ascii="Arial" w:cs="Arial" w:eastAsia="Arial" w:hAnsi="Arial"/>
                <w:sz w:val="18"/>
                <w:szCs w:val="18"/>
                <w:color w:val="0000FF"/>
                <w:w w:val="98"/>
              </w:rPr>
            </w:pPr>
            <w:hyperlink w:anchor="page97">
              <w:r>
                <w:rPr>
                  <w:rFonts w:ascii="Arial" w:cs="Arial" w:eastAsia="Arial" w:hAnsi="Arial"/>
                  <w:sz w:val="18"/>
                  <w:szCs w:val="18"/>
                  <w:color w:val="0000FF"/>
                  <w:w w:val="98"/>
                </w:rPr>
                <w:t>Power of Attorney (incorporated by reference to the</w:t>
              </w:r>
            </w:hyperlink>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tcPr>
          <w:p>
            <w:pPr>
              <w:ind w:left="1960"/>
              <w:spacing w:after="0"/>
              <w:rPr>
                <w:sz w:val="20"/>
                <w:szCs w:val="20"/>
                <w:color w:val="auto"/>
              </w:rPr>
            </w:pPr>
            <w:r>
              <w:rPr>
                <w:rFonts w:ascii="Arial" w:cs="Arial" w:eastAsia="Arial" w:hAnsi="Arial"/>
                <w:sz w:val="18"/>
                <w:szCs w:val="18"/>
                <w:color w:val="auto"/>
                <w:w w:val="82"/>
              </w:rPr>
              <w:t>X</w:t>
            </w:r>
          </w:p>
        </w:tc>
      </w:tr>
      <w:tr>
        <w:trPr>
          <w:trHeight w:val="155"/>
        </w:trPr>
        <w:tc>
          <w:tcPr>
            <w:tcW w:w="920" w:type="dxa"/>
            <w:vAlign w:val="bottom"/>
          </w:tcPr>
          <w:p>
            <w:pPr>
              <w:spacing w:after="0"/>
              <w:rPr>
                <w:sz w:val="13"/>
                <w:szCs w:val="13"/>
                <w:color w:val="auto"/>
              </w:rPr>
            </w:pPr>
          </w:p>
        </w:tc>
        <w:tc>
          <w:tcPr>
            <w:tcW w:w="374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w:anchor="page97">
              <w:r>
                <w:rPr>
                  <w:rFonts w:ascii="Arial" w:cs="Arial" w:eastAsia="Arial" w:hAnsi="Arial"/>
                  <w:sz w:val="18"/>
                  <w:szCs w:val="18"/>
                  <w:color w:val="0000FF"/>
                  <w:w w:val="92"/>
                </w:rPr>
                <w:t>signature pages of this Annual Report on Form 10-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6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K).</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31.1</w:t>
            </w:r>
          </w:p>
        </w:tc>
        <w:tc>
          <w:tcPr>
            <w:tcW w:w="4040" w:type="dxa"/>
            <w:vAlign w:val="bottom"/>
            <w:gridSpan w:val="23"/>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Certification of Principal Executive Officer</w:t>
              </w:r>
            </w:hyperlink>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tcPr>
          <w:p>
            <w:pPr>
              <w:ind w:left="1960"/>
              <w:spacing w:after="0"/>
              <w:rPr>
                <w:sz w:val="20"/>
                <w:szCs w:val="20"/>
                <w:color w:val="auto"/>
              </w:rPr>
            </w:pPr>
            <w:r>
              <w:rPr>
                <w:rFonts w:ascii="Arial" w:cs="Arial" w:eastAsia="Arial" w:hAnsi="Arial"/>
                <w:sz w:val="18"/>
                <w:szCs w:val="18"/>
                <w:color w:val="auto"/>
                <w:w w:val="82"/>
              </w:rPr>
              <w:t>X</w:t>
            </w:r>
          </w:p>
        </w:tc>
      </w:tr>
      <w:tr>
        <w:trPr>
          <w:trHeight w:val="156"/>
        </w:trPr>
        <w:tc>
          <w:tcPr>
            <w:tcW w:w="920" w:type="dxa"/>
            <w:vAlign w:val="bottom"/>
          </w:tcPr>
          <w:p>
            <w:pPr>
              <w:spacing w:after="0"/>
              <w:rPr>
                <w:sz w:val="13"/>
                <w:szCs w:val="13"/>
                <w:color w:val="auto"/>
              </w:rPr>
            </w:pPr>
          </w:p>
        </w:tc>
        <w:tc>
          <w:tcPr>
            <w:tcW w:w="3140" w:type="dxa"/>
            <w:vAlign w:val="bottom"/>
            <w:tcBorders>
              <w:top w:val="single" w:sz="8" w:color="0000FF"/>
            </w:tcBorders>
            <w:gridSpan w:val="10"/>
          </w:tcPr>
          <w:p>
            <w:pPr>
              <w:spacing w:after="0" w:line="156" w:lineRule="exact"/>
              <w:rPr>
                <w:rFonts w:ascii="Arial" w:cs="Arial" w:eastAsia="Arial" w:hAnsi="Arial"/>
                <w:sz w:val="18"/>
                <w:szCs w:val="18"/>
                <w:color w:val="0000FF"/>
                <w:w w:val="90"/>
              </w:rPr>
            </w:pPr>
            <w:hyperlink w:anchor="page101">
              <w:r>
                <w:rPr>
                  <w:rFonts w:ascii="Arial" w:cs="Arial" w:eastAsia="Arial" w:hAnsi="Arial"/>
                  <w:sz w:val="18"/>
                  <w:szCs w:val="18"/>
                  <w:color w:val="0000FF"/>
                  <w:w w:val="90"/>
                </w:rPr>
                <w:t>Pursuant to Rules 13a-14(a) and 15d-14(a)</w:t>
              </w:r>
            </w:hyperlink>
          </w:p>
        </w:tc>
        <w:tc>
          <w:tcPr>
            <w:tcW w:w="900" w:type="dxa"/>
            <w:vAlign w:val="bottom"/>
            <w:gridSpan w:val="13"/>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under the</w:t>
              </w:r>
            </w:hyperlink>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8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Securities Exchange Act of 1934, as Adopted</w:t>
              </w:r>
            </w:hyperlink>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280" w:type="dxa"/>
            <w:vAlign w:val="bottom"/>
            <w:tcBorders>
              <w:top w:val="single" w:sz="8" w:color="0000FF"/>
            </w:tcBorders>
            <w:gridSpan w:val="12"/>
          </w:tcPr>
          <w:p>
            <w:pPr>
              <w:spacing w:after="0" w:line="156" w:lineRule="exact"/>
              <w:rPr>
                <w:rFonts w:ascii="Arial" w:cs="Arial" w:eastAsia="Arial" w:hAnsi="Arial"/>
                <w:sz w:val="18"/>
                <w:szCs w:val="18"/>
                <w:color w:val="0000FF"/>
                <w:w w:val="86"/>
              </w:rPr>
            </w:pPr>
            <w:hyperlink w:anchor="page101">
              <w:r>
                <w:rPr>
                  <w:rFonts w:ascii="Arial" w:cs="Arial" w:eastAsia="Arial" w:hAnsi="Arial"/>
                  <w:sz w:val="18"/>
                  <w:szCs w:val="18"/>
                  <w:color w:val="0000FF"/>
                  <w:w w:val="86"/>
                </w:rPr>
                <w:t>Pursuant to Section 302 of the Sarbanes-Oxley</w:t>
              </w:r>
            </w:hyperlink>
          </w:p>
        </w:tc>
        <w:tc>
          <w:tcPr>
            <w:tcW w:w="760" w:type="dxa"/>
            <w:vAlign w:val="bottom"/>
            <w:gridSpan w:val="11"/>
          </w:tcPr>
          <w:p>
            <w:pPr>
              <w:ind w:left="140"/>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Act</w:t>
              </w:r>
            </w:hyperlink>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7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of 2002.</w:t>
              </w:r>
            </w:hyperlink>
          </w:p>
        </w:tc>
        <w:tc>
          <w:tcPr>
            <w:tcW w:w="6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31.2</w:t>
            </w:r>
          </w:p>
        </w:tc>
        <w:tc>
          <w:tcPr>
            <w:tcW w:w="4040" w:type="dxa"/>
            <w:vAlign w:val="bottom"/>
            <w:gridSpan w:val="23"/>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Certification of Principal Financial Officer Pursuant</w:t>
              </w:r>
            </w:hyperlink>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80" w:type="dxa"/>
            <w:vAlign w:val="bottom"/>
          </w:tcPr>
          <w:p>
            <w:pPr>
              <w:ind w:left="1960"/>
              <w:spacing w:after="0"/>
              <w:rPr>
                <w:sz w:val="20"/>
                <w:szCs w:val="20"/>
                <w:color w:val="auto"/>
              </w:rPr>
            </w:pPr>
            <w:r>
              <w:rPr>
                <w:rFonts w:ascii="Arial" w:cs="Arial" w:eastAsia="Arial" w:hAnsi="Arial"/>
                <w:sz w:val="18"/>
                <w:szCs w:val="18"/>
                <w:color w:val="auto"/>
                <w:w w:val="82"/>
              </w:rPr>
              <w:t>X</w:t>
            </w:r>
          </w:p>
        </w:tc>
      </w:tr>
      <w:tr>
        <w:trPr>
          <w:trHeight w:val="156"/>
        </w:trPr>
        <w:tc>
          <w:tcPr>
            <w:tcW w:w="920" w:type="dxa"/>
            <w:vAlign w:val="bottom"/>
          </w:tcPr>
          <w:p>
            <w:pPr>
              <w:spacing w:after="0"/>
              <w:rPr>
                <w:sz w:val="13"/>
                <w:szCs w:val="13"/>
                <w:color w:val="auto"/>
              </w:rPr>
            </w:pPr>
          </w:p>
        </w:tc>
        <w:tc>
          <w:tcPr>
            <w:tcW w:w="37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02">
              <w:r>
                <w:rPr>
                  <w:rFonts w:ascii="Arial" w:cs="Arial" w:eastAsia="Arial" w:hAnsi="Arial"/>
                  <w:sz w:val="18"/>
                  <w:szCs w:val="18"/>
                  <w:color w:val="0000FF"/>
                </w:rPr>
                <w:t>to Rules 13a-14(a) and 15d-14(a) under the</w:t>
              </w:r>
            </w:hyperlink>
          </w:p>
        </w:tc>
        <w:tc>
          <w:tcPr>
            <w:tcW w:w="28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120" w:type="dxa"/>
            <w:vAlign w:val="bottom"/>
            <w:gridSpan w:val="9"/>
            <w:shd w:val="clear" w:color="auto" w:fill="0000FF"/>
          </w:tcPr>
          <w:p>
            <w:pPr>
              <w:spacing w:after="0" w:line="20" w:lineRule="exact"/>
              <w:rPr>
                <w:sz w:val="1"/>
                <w:szCs w:val="1"/>
                <w:color w:val="auto"/>
              </w:rPr>
            </w:pPr>
          </w:p>
        </w:tc>
        <w:tc>
          <w:tcPr>
            <w:tcW w:w="92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57"/>
        </w:trPr>
        <w:tc>
          <w:tcPr>
            <w:tcW w:w="920" w:type="dxa"/>
            <w:vAlign w:val="bottom"/>
          </w:tcPr>
          <w:p>
            <w:pPr>
              <w:spacing w:after="0"/>
              <w:rPr>
                <w:sz w:val="13"/>
                <w:szCs w:val="13"/>
                <w:color w:val="auto"/>
              </w:rPr>
            </w:pPr>
          </w:p>
        </w:tc>
        <w:tc>
          <w:tcPr>
            <w:tcW w:w="4040" w:type="dxa"/>
            <w:vAlign w:val="bottom"/>
            <w:gridSpan w:val="23"/>
          </w:tcPr>
          <w:p>
            <w:pPr>
              <w:spacing w:after="0" w:line="157" w:lineRule="exact"/>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Securities Exchange Act of 1934, as Adopted</w:t>
              </w:r>
            </w:hyperlink>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r>
    </w:tbl>
    <w:p>
      <w:pPr>
        <w:ind w:left="920"/>
        <w:spacing w:after="0" w:line="203" w:lineRule="auto"/>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Pursuant to Section 302 of the Sarbanes-Oxley Act</w:t>
        </w:r>
      </w:hyperlink>
    </w:p>
    <w:p>
      <w:pPr>
        <w:ind w:left="9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of 2002.</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620" w:top="1013" w:right="859" w:bottom="1440" w:gutter="0" w:footer="0" w:header="0"/>
          <w:type w:val="continuous"/>
        </w:sectPr>
      </w:pPr>
    </w:p>
    <w:bookmarkStart w:id="96" w:name="page97"/>
    <w:bookmarkEnd w:id="96"/>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32.1*</w:t>
            </w:r>
          </w:p>
        </w:tc>
        <w:tc>
          <w:tcPr>
            <w:tcW w:w="380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Certification of Principal Executive Officer Pursuant</w:t>
              </w:r>
            </w:hyperlink>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3800" w:type="dxa"/>
            <w:vAlign w:val="bottom"/>
            <w:gridSpan w:val="11"/>
          </w:tcPr>
          <w:p>
            <w:pPr>
              <w:spacing w:after="0" w:line="156" w:lineRule="exact"/>
              <w:rPr>
                <w:rFonts w:ascii="Arial" w:cs="Arial" w:eastAsia="Arial" w:hAnsi="Arial"/>
                <w:sz w:val="18"/>
                <w:szCs w:val="18"/>
                <w:color w:val="0000FF"/>
                <w:w w:val="93"/>
              </w:rPr>
            </w:pPr>
            <w:hyperlink w:anchor="page103">
              <w:r>
                <w:rPr>
                  <w:rFonts w:ascii="Arial" w:cs="Arial" w:eastAsia="Arial" w:hAnsi="Arial"/>
                  <w:sz w:val="18"/>
                  <w:szCs w:val="18"/>
                  <w:color w:val="0000FF"/>
                  <w:w w:val="93"/>
                </w:rPr>
                <w:t>to 18 U.S.C. Section 1350, as Adopted Pursuant to</w:t>
              </w:r>
            </w:hyperlink>
          </w:p>
        </w:tc>
        <w:tc>
          <w:tcPr>
            <w:tcW w:w="570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103">
              <w:r>
                <w:rPr>
                  <w:rFonts w:ascii="Arial" w:cs="Arial" w:eastAsia="Arial" w:hAnsi="Arial"/>
                  <w:sz w:val="18"/>
                  <w:szCs w:val="18"/>
                  <w:color w:val="0000FF"/>
                  <w:w w:val="90"/>
                </w:rPr>
                <w:t>Section 906 of the Sarbanes-Oxley Act of 2002.</w:t>
              </w:r>
            </w:hyperlink>
          </w:p>
        </w:tc>
        <w:tc>
          <w:tcPr>
            <w:tcW w:w="18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263"/>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32.2*</w:t>
            </w:r>
          </w:p>
        </w:tc>
        <w:tc>
          <w:tcPr>
            <w:tcW w:w="3800" w:type="dxa"/>
            <w:vAlign w:val="bottom"/>
            <w:gridSpan w:val="11"/>
          </w:tcPr>
          <w:p>
            <w:pPr>
              <w:spacing w:after="0"/>
              <w:rPr>
                <w:rFonts w:ascii="Arial" w:cs="Arial" w:eastAsia="Arial" w:hAnsi="Arial"/>
                <w:sz w:val="18"/>
                <w:szCs w:val="18"/>
                <w:color w:val="0000FF"/>
                <w:w w:val="94"/>
              </w:rPr>
            </w:pPr>
            <w:hyperlink w:anchor="page104">
              <w:r>
                <w:rPr>
                  <w:rFonts w:ascii="Arial" w:cs="Arial" w:eastAsia="Arial" w:hAnsi="Arial"/>
                  <w:sz w:val="18"/>
                  <w:szCs w:val="18"/>
                  <w:color w:val="0000FF"/>
                  <w:w w:val="94"/>
                </w:rPr>
                <w:t>Certification of Principal Financial Officer Pursuant</w:t>
              </w:r>
            </w:hyperlink>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w:anchor="page104">
              <w:r>
                <w:rPr>
                  <w:rFonts w:ascii="Arial" w:cs="Arial" w:eastAsia="Arial" w:hAnsi="Arial"/>
                  <w:sz w:val="18"/>
                  <w:szCs w:val="18"/>
                  <w:color w:val="0000FF"/>
                  <w:w w:val="92"/>
                </w:rPr>
                <w:t>to 18 U.S.C. Section 1350, as Adopted Pursuant to</w:t>
              </w:r>
            </w:hyperlink>
          </w:p>
        </w:tc>
        <w:tc>
          <w:tcPr>
            <w:tcW w:w="4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660" w:type="dxa"/>
            <w:vAlign w:val="bottom"/>
            <w:tcBorders>
              <w:top w:val="single" w:sz="8" w:color="0000FF"/>
            </w:tcBorders>
            <w:gridSpan w:val="8"/>
          </w:tcPr>
          <w:p>
            <w:pPr>
              <w:spacing w:after="0" w:line="156" w:lineRule="exact"/>
              <w:rPr>
                <w:rFonts w:ascii="Arial" w:cs="Arial" w:eastAsia="Arial" w:hAnsi="Arial"/>
                <w:sz w:val="18"/>
                <w:szCs w:val="18"/>
                <w:color w:val="0000FF"/>
                <w:w w:val="95"/>
              </w:rPr>
            </w:pPr>
            <w:hyperlink w:anchor="page104">
              <w:r>
                <w:rPr>
                  <w:rFonts w:ascii="Arial" w:cs="Arial" w:eastAsia="Arial" w:hAnsi="Arial"/>
                  <w:sz w:val="18"/>
                  <w:szCs w:val="18"/>
                  <w:color w:val="0000FF"/>
                  <w:w w:val="95"/>
                </w:rPr>
                <w:t>Section 906 of the Sarbanes-Oxley Act of 2002.</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63"/>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34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gridSpan w:val="7"/>
          </w:tcPr>
          <w:p>
            <w:pPr>
              <w:spacing w:after="0"/>
              <w:rPr>
                <w:sz w:val="22"/>
                <w:szCs w:val="22"/>
                <w:color w:val="auto"/>
              </w:rPr>
            </w:pP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20"/>
        </w:trPr>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64"/>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34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XBRL Taxonomy Extension Schema Document</w:t>
            </w:r>
          </w:p>
        </w:tc>
        <w:tc>
          <w:tcPr>
            <w:tcW w:w="320" w:type="dxa"/>
            <w:vAlign w:val="bottom"/>
            <w:gridSpan w:val="6"/>
          </w:tcPr>
          <w:p>
            <w:pPr>
              <w:spacing w:after="0"/>
              <w:rPr>
                <w:sz w:val="22"/>
                <w:szCs w:val="22"/>
                <w:color w:val="auto"/>
              </w:rPr>
            </w:pP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263"/>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3800" w:type="dxa"/>
            <w:vAlign w:val="bottom"/>
            <w:gridSpan w:val="11"/>
          </w:tcPr>
          <w:p>
            <w:pPr>
              <w:spacing w:after="0"/>
              <w:rPr>
                <w:sz w:val="20"/>
                <w:szCs w:val="20"/>
                <w:color w:val="auto"/>
              </w:rPr>
            </w:pPr>
            <w:r>
              <w:rPr>
                <w:rFonts w:ascii="Arial" w:cs="Arial" w:eastAsia="Arial" w:hAnsi="Arial"/>
                <w:sz w:val="18"/>
                <w:szCs w:val="18"/>
                <w:color w:val="auto"/>
                <w:w w:val="96"/>
              </w:rPr>
              <w:t>XBRL Taxonomy Extension Calculation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5"/>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0"/>
              </w:rPr>
              <w:t>Document</w:t>
            </w:r>
          </w:p>
        </w:tc>
        <w:tc>
          <w:tcPr>
            <w:tcW w:w="2880" w:type="dxa"/>
            <w:vAlign w:val="bottom"/>
            <w:tcBorders>
              <w:top w:val="single" w:sz="8" w:color="auto"/>
            </w:tcBorders>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64"/>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38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5"/>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0"/>
              </w:rPr>
              <w:t>Document</w:t>
            </w:r>
          </w:p>
        </w:tc>
        <w:tc>
          <w:tcPr>
            <w:tcW w:w="2800" w:type="dxa"/>
            <w:vAlign w:val="bottom"/>
            <w:tcBorders>
              <w:top w:val="single" w:sz="8" w:color="auto"/>
            </w:tcBorders>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63"/>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38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0"/>
              </w:rPr>
              <w:t>Document</w:t>
            </w:r>
          </w:p>
        </w:tc>
        <w:tc>
          <w:tcPr>
            <w:tcW w:w="2460" w:type="dxa"/>
            <w:vAlign w:val="bottom"/>
            <w:tcBorders>
              <w:top w:val="single" w:sz="8" w:color="auto"/>
            </w:tcBorders>
            <w:gridSpan w:val="2"/>
          </w:tcPr>
          <w:p>
            <w:pPr>
              <w:spacing w:after="0"/>
              <w:rPr>
                <w:sz w:val="13"/>
                <w:szCs w:val="13"/>
                <w:color w:val="auto"/>
              </w:rPr>
            </w:pPr>
          </w:p>
        </w:tc>
        <w:tc>
          <w:tcPr>
            <w:tcW w:w="48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63"/>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3800" w:type="dxa"/>
            <w:vAlign w:val="bottom"/>
            <w:gridSpan w:val="11"/>
          </w:tcPr>
          <w:p>
            <w:pPr>
              <w:spacing w:after="0"/>
              <w:rPr>
                <w:sz w:val="20"/>
                <w:szCs w:val="20"/>
                <w:color w:val="auto"/>
              </w:rPr>
            </w:pPr>
            <w:r>
              <w:rPr>
                <w:rFonts w:ascii="Arial" w:cs="Arial" w:eastAsia="Arial" w:hAnsi="Arial"/>
                <w:sz w:val="18"/>
                <w:szCs w:val="18"/>
                <w:color w:val="auto"/>
                <w:w w:val="93"/>
              </w:rPr>
              <w:t>XBRL Taxonomy Extension Presentation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0"/>
              </w:rPr>
              <w:t>Document</w:t>
            </w:r>
          </w:p>
        </w:tc>
        <w:tc>
          <w:tcPr>
            <w:tcW w:w="2940" w:type="dxa"/>
            <w:vAlign w:val="bottom"/>
            <w:tcBorders>
              <w:top w:val="single" w:sz="8" w:color="auto"/>
            </w:tcBorders>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bl>
    <w:p>
      <w:pPr>
        <w:spacing w:after="0" w:line="31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3" w:lineRule="exact"/>
        <w:rPr>
          <w:sz w:val="20"/>
          <w:szCs w:val="20"/>
          <w:color w:val="auto"/>
        </w:rPr>
      </w:pPr>
    </w:p>
    <w:p>
      <w:pPr>
        <w:ind w:left="820" w:hanging="812"/>
        <w:spacing w:after="0" w:line="255" w:lineRule="auto"/>
        <w:tabs>
          <w:tab w:leader="none" w:pos="3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6" w:lineRule="exact"/>
        <w:rPr>
          <w:sz w:val="20"/>
          <w:szCs w:val="20"/>
          <w:color w:val="auto"/>
        </w:rPr>
      </w:pPr>
    </w:p>
    <w:p>
      <w:pPr>
        <w:jc w:val="center"/>
        <w:ind w:right="8900"/>
        <w:spacing w:after="0"/>
        <w:rPr>
          <w:sz w:val="20"/>
          <w:szCs w:val="20"/>
          <w:color w:val="auto"/>
        </w:rPr>
      </w:pPr>
      <w:r>
        <w:rPr>
          <w:rFonts w:ascii="Arial" w:cs="Arial" w:eastAsia="Arial" w:hAnsi="Arial"/>
          <w:sz w:val="16"/>
          <w:szCs w:val="16"/>
          <w:b w:val="1"/>
          <w:bCs w:val="1"/>
          <w:color w:val="auto"/>
        </w:rPr>
        <w:t>Item 16. Form 10-K Summary</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Arial" w:cs="Arial" w:eastAsia="Arial" w:hAnsi="Arial"/>
                <w:sz w:val="18"/>
                <w:szCs w:val="18"/>
                <w:b w:val="1"/>
                <w:bCs w:val="1"/>
                <w:color w:val="auto"/>
              </w:rPr>
              <w:t>DATADOG, INC.</w:t>
            </w:r>
          </w:p>
        </w:tc>
      </w:tr>
      <w:tr>
        <w:trPr>
          <w:trHeight w:val="499"/>
        </w:trPr>
        <w:tc>
          <w:tcPr>
            <w:tcW w:w="3660" w:type="dxa"/>
            <w:vAlign w:val="bottom"/>
          </w:tcPr>
          <w:p>
            <w:pPr>
              <w:spacing w:after="0"/>
              <w:rPr>
                <w:sz w:val="20"/>
                <w:szCs w:val="20"/>
                <w:color w:val="auto"/>
              </w:rPr>
            </w:pPr>
            <w:r>
              <w:rPr>
                <w:rFonts w:ascii="Arial" w:cs="Arial" w:eastAsia="Arial" w:hAnsi="Arial"/>
                <w:sz w:val="18"/>
                <w:szCs w:val="18"/>
                <w:color w:val="auto"/>
              </w:rPr>
              <w:t>Date: February 25, 2022</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Olivier Pomel</w:t>
            </w:r>
          </w:p>
        </w:tc>
      </w:tr>
      <w:tr>
        <w:trPr>
          <w:trHeight w:val="222"/>
        </w:trPr>
        <w:tc>
          <w:tcPr>
            <w:tcW w:w="3660" w:type="dxa"/>
            <w:vAlign w:val="bottom"/>
          </w:tcPr>
          <w:p>
            <w:pPr>
              <w:spacing w:after="0"/>
              <w:rPr>
                <w:sz w:val="19"/>
                <w:szCs w:val="19"/>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Olivier Pomel</w:t>
            </w:r>
          </w:p>
        </w:tc>
      </w:tr>
      <w:tr>
        <w:trPr>
          <w:trHeight w:val="230"/>
        </w:trPr>
        <w:tc>
          <w:tcPr>
            <w:tcW w:w="3660" w:type="dxa"/>
            <w:vAlign w:val="bottom"/>
          </w:tcPr>
          <w:p>
            <w:pPr>
              <w:spacing w:after="0"/>
              <w:rPr>
                <w:sz w:val="20"/>
                <w:szCs w:val="20"/>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34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72"/>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Olivier Pomel</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Executive Officer and Director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34"/>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95"/>
              </w:rPr>
              <w:t>Olivier Pomel</w:t>
            </w:r>
          </w:p>
        </w:tc>
        <w:tc>
          <w:tcPr>
            <w:tcW w:w="100" w:type="dxa"/>
            <w:vAlign w:val="bottom"/>
          </w:tcPr>
          <w:p>
            <w:pPr>
              <w:spacing w:after="0"/>
              <w:rPr>
                <w:sz w:val="2"/>
                <w:szCs w:val="2"/>
                <w:color w:val="auto"/>
              </w:rPr>
            </w:pPr>
          </w:p>
        </w:tc>
        <w:tc>
          <w:tcPr>
            <w:tcW w:w="5440" w:type="dxa"/>
            <w:vAlign w:val="bottom"/>
            <w:gridSpan w:val="2"/>
            <w:vMerge w:val="continue"/>
          </w:tcPr>
          <w:p>
            <w:pPr>
              <w:spacing w:after="0"/>
              <w:rPr>
                <w:sz w:val="2"/>
                <w:szCs w:val="2"/>
                <w:color w:val="auto"/>
              </w:rPr>
            </w:pPr>
          </w:p>
        </w:tc>
        <w:tc>
          <w:tcPr>
            <w:tcW w:w="2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David Obstler</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Financial Officer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34"/>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93"/>
              </w:rPr>
              <w:t>David Obstler</w:t>
            </w:r>
          </w:p>
        </w:tc>
        <w:tc>
          <w:tcPr>
            <w:tcW w:w="100" w:type="dxa"/>
            <w:vAlign w:val="bottom"/>
          </w:tcPr>
          <w:p>
            <w:pPr>
              <w:spacing w:after="0"/>
              <w:rPr>
                <w:sz w:val="2"/>
                <w:szCs w:val="2"/>
                <w:color w:val="auto"/>
              </w:rPr>
            </w:pPr>
          </w:p>
        </w:tc>
        <w:tc>
          <w:tcPr>
            <w:tcW w:w="5440" w:type="dxa"/>
            <w:vAlign w:val="bottom"/>
            <w:gridSpan w:val="2"/>
            <w:vMerge w:val="continue"/>
          </w:tcPr>
          <w:p>
            <w:pPr>
              <w:spacing w:after="0"/>
              <w:rPr>
                <w:sz w:val="2"/>
                <w:szCs w:val="2"/>
                <w:color w:val="auto"/>
              </w:rPr>
            </w:pPr>
          </w:p>
        </w:tc>
        <w:tc>
          <w:tcPr>
            <w:tcW w:w="2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Alexis Le-Qu</w:t>
            </w:r>
            <w:r>
              <w:rPr>
                <w:rFonts w:ascii="Arial" w:cs="Arial" w:eastAsia="Arial" w:hAnsi="Arial"/>
                <w:sz w:val="18"/>
                <w:szCs w:val="18"/>
                <w:color w:val="auto"/>
                <w:w w:val="90"/>
              </w:rPr>
              <w:t>ô</w:t>
            </w:r>
            <w:r>
              <w:rPr>
                <w:rFonts w:ascii="Arial" w:cs="Arial" w:eastAsia="Arial" w:hAnsi="Arial"/>
                <w:sz w:val="18"/>
                <w:szCs w:val="18"/>
                <w:i w:val="1"/>
                <w:iCs w:val="1"/>
                <w:color w:val="auto"/>
                <w:w w:val="90"/>
              </w:rPr>
              <w:t>c</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Chief Technology Officer and Director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88"/>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95"/>
              </w:rPr>
              <w:t>Alexis Le-Quôc</w:t>
            </w:r>
          </w:p>
        </w:tc>
        <w:tc>
          <w:tcPr>
            <w:tcW w:w="100" w:type="dxa"/>
            <w:vAlign w:val="bottom"/>
          </w:tcPr>
          <w:p>
            <w:pPr>
              <w:spacing w:after="0"/>
              <w:rPr>
                <w:sz w:val="7"/>
                <w:szCs w:val="7"/>
                <w:color w:val="auto"/>
              </w:rPr>
            </w:pPr>
          </w:p>
        </w:tc>
        <w:tc>
          <w:tcPr>
            <w:tcW w:w="544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6"/>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Michael Callahan</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88"/>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92"/>
              </w:rPr>
              <w:t>Michael Callahan</w:t>
            </w:r>
          </w:p>
        </w:tc>
        <w:tc>
          <w:tcPr>
            <w:tcW w:w="100" w:type="dxa"/>
            <w:vAlign w:val="bottom"/>
          </w:tcPr>
          <w:p>
            <w:pPr>
              <w:spacing w:after="0"/>
              <w:rPr>
                <w:sz w:val="7"/>
                <w:szCs w:val="7"/>
                <w:color w:val="auto"/>
              </w:rPr>
            </w:pPr>
          </w:p>
        </w:tc>
        <w:tc>
          <w:tcPr>
            <w:tcW w:w="544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Matthew Jacobson</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88"/>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89"/>
              </w:rPr>
              <w:t>Matthew Jacobson</w:t>
            </w:r>
          </w:p>
        </w:tc>
        <w:tc>
          <w:tcPr>
            <w:tcW w:w="100" w:type="dxa"/>
            <w:vAlign w:val="bottom"/>
          </w:tcPr>
          <w:p>
            <w:pPr>
              <w:spacing w:after="0"/>
              <w:rPr>
                <w:sz w:val="7"/>
                <w:szCs w:val="7"/>
                <w:color w:val="auto"/>
              </w:rPr>
            </w:pPr>
          </w:p>
        </w:tc>
        <w:tc>
          <w:tcPr>
            <w:tcW w:w="544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Dev Ittycheria</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88"/>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94"/>
              </w:rPr>
              <w:t>Dev Ittycheria</w:t>
            </w:r>
          </w:p>
        </w:tc>
        <w:tc>
          <w:tcPr>
            <w:tcW w:w="100" w:type="dxa"/>
            <w:vAlign w:val="bottom"/>
          </w:tcPr>
          <w:p>
            <w:pPr>
              <w:spacing w:after="0"/>
              <w:rPr>
                <w:sz w:val="7"/>
                <w:szCs w:val="7"/>
                <w:color w:val="auto"/>
              </w:rPr>
            </w:pPr>
          </w:p>
        </w:tc>
        <w:tc>
          <w:tcPr>
            <w:tcW w:w="544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Julie Richardson</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88"/>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90"/>
              </w:rPr>
              <w:t>Julie Richardson</w:t>
            </w:r>
          </w:p>
        </w:tc>
        <w:tc>
          <w:tcPr>
            <w:tcW w:w="100" w:type="dxa"/>
            <w:vAlign w:val="bottom"/>
          </w:tcPr>
          <w:p>
            <w:pPr>
              <w:spacing w:after="0"/>
              <w:rPr>
                <w:sz w:val="7"/>
                <w:szCs w:val="7"/>
                <w:color w:val="auto"/>
              </w:rPr>
            </w:pPr>
          </w:p>
        </w:tc>
        <w:tc>
          <w:tcPr>
            <w:tcW w:w="544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Shardul Shah</w:t>
            </w:r>
          </w:p>
        </w:tc>
        <w:tc>
          <w:tcPr>
            <w:tcW w:w="100" w:type="dxa"/>
            <w:vAlign w:val="bottom"/>
          </w:tcPr>
          <w:p>
            <w:pPr>
              <w:spacing w:after="0"/>
              <w:rPr>
                <w:sz w:val="24"/>
                <w:szCs w:val="24"/>
                <w:color w:val="auto"/>
              </w:rPr>
            </w:pPr>
          </w:p>
        </w:tc>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2022</w:t>
            </w:r>
          </w:p>
        </w:tc>
        <w:tc>
          <w:tcPr>
            <w:tcW w:w="0" w:type="dxa"/>
            <w:vAlign w:val="bottom"/>
          </w:tcPr>
          <w:p>
            <w:pPr>
              <w:spacing w:after="0"/>
              <w:rPr>
                <w:sz w:val="1"/>
                <w:szCs w:val="1"/>
                <w:color w:val="auto"/>
              </w:rPr>
            </w:pPr>
          </w:p>
        </w:tc>
      </w:tr>
      <w:tr>
        <w:trPr>
          <w:trHeight w:val="88"/>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87"/>
              </w:rPr>
              <w:t>Shardul Shah</w:t>
            </w:r>
          </w:p>
        </w:tc>
        <w:tc>
          <w:tcPr>
            <w:tcW w:w="100" w:type="dxa"/>
            <w:vAlign w:val="bottom"/>
          </w:tcPr>
          <w:p>
            <w:pPr>
              <w:spacing w:after="0"/>
              <w:rPr>
                <w:sz w:val="7"/>
                <w:szCs w:val="7"/>
                <w:color w:val="auto"/>
              </w:rPr>
            </w:pPr>
          </w:p>
        </w:tc>
        <w:tc>
          <w:tcPr>
            <w:tcW w:w="544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320" w:top="1107" w:right="339" w:bottom="1440" w:gutter="0" w:footer="0" w:header="0"/>
          <w:type w:val="continuous"/>
        </w:sectPr>
      </w:pPr>
    </w:p>
    <w:bookmarkStart w:id="98" w:name="page99"/>
    <w:bookmarkEnd w:id="98"/>
    <w:p>
      <w:pPr>
        <w:ind w:left="1032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600" w:type="dxa"/>
            <w:vAlign w:val="bottom"/>
            <w:gridSpan w:val="4"/>
          </w:tcPr>
          <w:p>
            <w:pPr>
              <w:ind w:left="580"/>
              <w:spacing w:after="0"/>
              <w:rPr>
                <w:sz w:val="20"/>
                <w:szCs w:val="20"/>
                <w:color w:val="auto"/>
              </w:rPr>
            </w:pPr>
            <w:r>
              <w:rPr>
                <w:rFonts w:ascii="Arial" w:cs="Arial" w:eastAsia="Arial" w:hAnsi="Arial"/>
                <w:sz w:val="18"/>
                <w:szCs w:val="18"/>
                <w:b w:val="1"/>
                <w:bCs w:val="1"/>
                <w:color w:val="auto"/>
              </w:rPr>
              <w:t>List of Subsidiaries of Datadog, Inc.</w:t>
            </w:r>
          </w:p>
        </w:tc>
      </w:tr>
      <w:tr>
        <w:trPr>
          <w:trHeight w:val="270"/>
        </w:trPr>
        <w:tc>
          <w:tcPr>
            <w:tcW w:w="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680" w:type="dxa"/>
            <w:vAlign w:val="bottom"/>
            <w:tcBorders>
              <w:bottom w:val="single" w:sz="8" w:color="auto"/>
            </w:tcBorders>
          </w:tcPr>
          <w:p>
            <w:pPr>
              <w:spacing w:after="0"/>
              <w:rPr>
                <w:sz w:val="23"/>
                <w:szCs w:val="23"/>
                <w:color w:val="auto"/>
              </w:rPr>
            </w:pPr>
          </w:p>
        </w:tc>
      </w:tr>
      <w:tr>
        <w:trPr>
          <w:trHeight w:val="183"/>
        </w:trPr>
        <w:tc>
          <w:tcPr>
            <w:tcW w:w="3660" w:type="dxa"/>
            <w:vAlign w:val="bottom"/>
            <w:tcBorders>
              <w:left w:val="single" w:sz="8" w:color="auto"/>
            </w:tcBorders>
            <w:gridSpan w:val="3"/>
          </w:tcPr>
          <w:p>
            <w:pPr>
              <w:ind w:left="40"/>
              <w:spacing w:after="0" w:line="182" w:lineRule="exact"/>
              <w:rPr>
                <w:sz w:val="20"/>
                <w:szCs w:val="20"/>
                <w:color w:val="auto"/>
              </w:rPr>
            </w:pPr>
            <w:r>
              <w:rPr>
                <w:rFonts w:ascii="Arial" w:cs="Arial" w:eastAsia="Arial" w:hAnsi="Arial"/>
                <w:sz w:val="18"/>
                <w:szCs w:val="18"/>
                <w:b w:val="1"/>
                <w:bCs w:val="1"/>
                <w:color w:val="auto"/>
              </w:rPr>
              <w:t>Name</w:t>
            </w:r>
          </w:p>
        </w:tc>
        <w:tc>
          <w:tcPr>
            <w:tcW w:w="198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auto"/>
              </w:rPr>
              <w:t>Jurisdiction</w:t>
            </w: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France SAS</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France</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Holding Limited</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Germany GmbH</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Germany</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Ireland Limited</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Japan GK</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Japan</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DDog Singapore PTE. LTD.</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Singapore</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Ireland Limited Australia Branch</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Ireland Limited UK Branch</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Netherlands BV</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23"/>
        </w:trPr>
        <w:tc>
          <w:tcPr>
            <w:tcW w:w="36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color w:val="auto"/>
              </w:rPr>
              <w:t>Datadog Services Canada, Inc.</w:t>
            </w:r>
          </w:p>
        </w:tc>
        <w:tc>
          <w:tcPr>
            <w:tcW w:w="198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60"/>
          </w:cols>
          <w:pgMar w:left="320" w:top="891" w:right="3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ind w:right="260"/>
        <w:spacing w:after="0" w:line="225" w:lineRule="auto"/>
        <w:rPr>
          <w:sz w:val="20"/>
          <w:szCs w:val="20"/>
          <w:color w:val="auto"/>
        </w:rPr>
      </w:pPr>
      <w:r>
        <w:rPr>
          <w:rFonts w:ascii="Arial" w:cs="Arial" w:eastAsia="Arial" w:hAnsi="Arial"/>
          <w:sz w:val="16"/>
          <w:szCs w:val="16"/>
          <w:color w:val="auto"/>
        </w:rPr>
        <w:t>We consent to the incorporation by reference in Registration Statement Nos. 333-233903, 333-237176 and 333-254229 on Form S-8 of our reports dated February 25, 2022 relating to the consolidated financial statements of Datadog, Inc. and subsidiaries (the “Company”), and the effectiveness of the Company's internal control over financial reporting, appearing in this Annual Report on Form 10-K for the year ended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ectPr>
          <w:pgSz w:w="11900" w:h="16838" w:orient="portrait"/>
          <w:cols w:equalWidth="0" w:num="1">
            <w:col w:w="11240"/>
          </w:cols>
          <w:pgMar w:left="320" w:top="89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2021;</w:t>
      </w:r>
    </w:p>
    <w:p>
      <w:pPr>
        <w:spacing w:after="0" w:line="236" w:lineRule="exact"/>
        <w:rPr>
          <w:rFonts w:ascii="Arial" w:cs="Arial" w:eastAsia="Arial" w:hAnsi="Arial"/>
          <w:sz w:val="17"/>
          <w:szCs w:val="17"/>
          <w:color w:val="auto"/>
        </w:rPr>
      </w:pPr>
    </w:p>
    <w:p>
      <w:pPr>
        <w:ind w:left="1300" w:right="16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6"/>
        <w:spacing w:after="0" w:line="286" w:lineRule="auto"/>
        <w:tabs>
          <w:tab w:leader="none" w:pos="1951"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656"/>
        <w:spacing w:after="0" w:line="286" w:lineRule="auto"/>
        <w:tabs>
          <w:tab w:leader="none" w:pos="1948"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656"/>
        <w:spacing w:after="0" w:line="263" w:lineRule="auto"/>
        <w:tabs>
          <w:tab w:leader="none" w:pos="19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360" w:hanging="656"/>
        <w:spacing w:after="0" w:line="311" w:lineRule="auto"/>
        <w:tabs>
          <w:tab w:leader="none" w:pos="1948"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960" w:right="80" w:hanging="656"/>
        <w:spacing w:after="0" w:line="263" w:lineRule="auto"/>
        <w:tabs>
          <w:tab w:leader="none" w:pos="19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360" w:hanging="656"/>
        <w:spacing w:after="0" w:line="277" w:lineRule="auto"/>
        <w:tabs>
          <w:tab w:leader="none" w:pos="19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Olivier Pomel</w:t>
            </w:r>
          </w:p>
        </w:tc>
      </w:tr>
      <w:tr>
        <w:trPr>
          <w:trHeight w:val="218"/>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Olivier Pomel</w:t>
            </w:r>
          </w:p>
        </w:tc>
      </w:tr>
      <w:tr>
        <w:trPr>
          <w:trHeight w:val="180"/>
        </w:trPr>
        <w:tc>
          <w:tcPr>
            <w:tcW w:w="3500" w:type="dxa"/>
            <w:vAlign w:val="bottom"/>
          </w:tcPr>
          <w:p>
            <w:pPr>
              <w:spacing w:after="0"/>
              <w:rPr>
                <w:sz w:val="15"/>
                <w:szCs w:val="15"/>
                <w:color w:val="auto"/>
              </w:rPr>
            </w:pPr>
          </w:p>
        </w:tc>
        <w:tc>
          <w:tcPr>
            <w:tcW w:w="2480" w:type="dxa"/>
            <w:vAlign w:val="bottom"/>
          </w:tcPr>
          <w:p>
            <w:pPr>
              <w:ind w:left="1740"/>
              <w:spacing w:after="0" w:line="181" w:lineRule="exact"/>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line="181"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2021;</w:t>
      </w:r>
    </w:p>
    <w:p>
      <w:pPr>
        <w:spacing w:after="0" w:line="236" w:lineRule="exact"/>
        <w:rPr>
          <w:rFonts w:ascii="Arial" w:cs="Arial" w:eastAsia="Arial" w:hAnsi="Arial"/>
          <w:sz w:val="17"/>
          <w:szCs w:val="17"/>
          <w:color w:val="auto"/>
        </w:rPr>
      </w:pPr>
    </w:p>
    <w:p>
      <w:pPr>
        <w:ind w:left="1300" w:right="160" w:hanging="644"/>
        <w:spacing w:after="0" w:line="26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6"/>
        <w:spacing w:after="0" w:line="286" w:lineRule="auto"/>
        <w:tabs>
          <w:tab w:leader="none" w:pos="1951"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656"/>
        <w:spacing w:after="0" w:line="286" w:lineRule="auto"/>
        <w:tabs>
          <w:tab w:leader="none" w:pos="1948"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656"/>
        <w:spacing w:after="0" w:line="263" w:lineRule="auto"/>
        <w:tabs>
          <w:tab w:leader="none" w:pos="19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360" w:hanging="656"/>
        <w:spacing w:after="0" w:line="311" w:lineRule="auto"/>
        <w:tabs>
          <w:tab w:leader="none" w:pos="1948"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960" w:right="80" w:hanging="656"/>
        <w:spacing w:after="0" w:line="263" w:lineRule="auto"/>
        <w:tabs>
          <w:tab w:leader="none" w:pos="19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360" w:hanging="656"/>
        <w:spacing w:after="0" w:line="277" w:lineRule="auto"/>
        <w:tabs>
          <w:tab w:leader="none" w:pos="19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February 25, 2022</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Obstler</w:t>
            </w:r>
          </w:p>
        </w:tc>
      </w:tr>
      <w:tr>
        <w:trPr>
          <w:trHeight w:val="218"/>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David Obstler</w:t>
            </w:r>
          </w:p>
        </w:tc>
      </w:tr>
      <w:tr>
        <w:trPr>
          <w:trHeight w:val="180"/>
        </w:trPr>
        <w:tc>
          <w:tcPr>
            <w:tcW w:w="3480" w:type="dxa"/>
            <w:vAlign w:val="bottom"/>
          </w:tcPr>
          <w:p>
            <w:pPr>
              <w:spacing w:after="0"/>
              <w:rPr>
                <w:sz w:val="15"/>
                <w:szCs w:val="15"/>
                <w:color w:val="auto"/>
              </w:rPr>
            </w:pPr>
          </w:p>
        </w:tc>
        <w:tc>
          <w:tcPr>
            <w:tcW w:w="2480" w:type="dxa"/>
            <w:vAlign w:val="bottom"/>
          </w:tcPr>
          <w:p>
            <w:pPr>
              <w:ind w:left="1720"/>
              <w:spacing w:after="0" w:line="181" w:lineRule="exact"/>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line="181"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bl>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Annual Report on Form 10-K of Datadog, Inc. for the fiscal year ended December 31, 2021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Olivier Pomel</w:t>
            </w:r>
          </w:p>
        </w:tc>
      </w:tr>
      <w:tr>
        <w:trPr>
          <w:trHeight w:val="218"/>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Arial" w:cs="Arial" w:eastAsia="Arial" w:hAnsi="Arial"/>
                <w:sz w:val="18"/>
                <w:szCs w:val="18"/>
                <w:b w:val="1"/>
                <w:bCs w:val="1"/>
                <w:color w:val="auto"/>
              </w:rPr>
              <w:t>Name:</w:t>
            </w: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Olivier Pomel</w:t>
            </w:r>
          </w:p>
        </w:tc>
      </w:tr>
      <w:tr>
        <w:trPr>
          <w:trHeight w:val="180"/>
        </w:trPr>
        <w:tc>
          <w:tcPr>
            <w:tcW w:w="3500" w:type="dxa"/>
            <w:vAlign w:val="bottom"/>
          </w:tcPr>
          <w:p>
            <w:pPr>
              <w:spacing w:after="0"/>
              <w:rPr>
                <w:sz w:val="15"/>
                <w:szCs w:val="15"/>
                <w:color w:val="auto"/>
              </w:rPr>
            </w:pPr>
          </w:p>
        </w:tc>
        <w:tc>
          <w:tcPr>
            <w:tcW w:w="2480" w:type="dxa"/>
            <w:vAlign w:val="bottom"/>
          </w:tcPr>
          <w:p>
            <w:pPr>
              <w:ind w:left="1740"/>
              <w:spacing w:after="0" w:line="181" w:lineRule="exact"/>
              <w:rPr>
                <w:sz w:val="20"/>
                <w:szCs w:val="20"/>
                <w:color w:val="auto"/>
              </w:rPr>
            </w:pPr>
            <w:r>
              <w:rPr>
                <w:rFonts w:ascii="Arial" w:cs="Arial" w:eastAsia="Arial" w:hAnsi="Arial"/>
                <w:sz w:val="18"/>
                <w:szCs w:val="18"/>
                <w:b w:val="1"/>
                <w:bCs w:val="1"/>
                <w:color w:val="auto"/>
              </w:rPr>
              <w:t>Title:</w:t>
            </w:r>
          </w:p>
        </w:tc>
        <w:tc>
          <w:tcPr>
            <w:tcW w:w="5220" w:type="dxa"/>
            <w:vAlign w:val="bottom"/>
          </w:tcPr>
          <w:p>
            <w:pPr>
              <w:jc w:val="center"/>
              <w:spacing w:after="0" w:line="181" w:lineRule="exact"/>
              <w:rPr>
                <w:sz w:val="20"/>
                <w:szCs w:val="20"/>
                <w:color w:val="auto"/>
              </w:rPr>
            </w:pPr>
            <w:r>
              <w:rPr>
                <w:rFonts w:ascii="Arial" w:cs="Arial" w:eastAsia="Arial" w:hAnsi="Arial"/>
                <w:sz w:val="18"/>
                <w:szCs w:val="18"/>
                <w:color w:val="auto"/>
                <w:w w:val="92"/>
              </w:rPr>
              <w:t>Chief Executive Officer and Director</w:t>
            </w:r>
          </w:p>
        </w:tc>
      </w:tr>
      <w:tr>
        <w:trPr>
          <w:trHeight w:val="230"/>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Annual Report on Form 10-K of Datadog, Inc. for the fiscal year ended December 31, 2021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February 25, 2022</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Obstler</w:t>
            </w:r>
          </w:p>
        </w:tc>
      </w:tr>
      <w:tr>
        <w:trPr>
          <w:trHeight w:val="218"/>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David Obstler</w:t>
            </w:r>
          </w:p>
        </w:tc>
      </w:tr>
      <w:tr>
        <w:trPr>
          <w:trHeight w:val="180"/>
        </w:trPr>
        <w:tc>
          <w:tcPr>
            <w:tcW w:w="3480" w:type="dxa"/>
            <w:vAlign w:val="bottom"/>
          </w:tcPr>
          <w:p>
            <w:pPr>
              <w:spacing w:after="0"/>
              <w:rPr>
                <w:sz w:val="15"/>
                <w:szCs w:val="15"/>
                <w:color w:val="auto"/>
              </w:rPr>
            </w:pPr>
          </w:p>
        </w:tc>
        <w:tc>
          <w:tcPr>
            <w:tcW w:w="2480" w:type="dxa"/>
            <w:vAlign w:val="bottom"/>
          </w:tcPr>
          <w:p>
            <w:pPr>
              <w:ind w:left="1720"/>
              <w:spacing w:after="0" w:line="181" w:lineRule="exact"/>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line="181"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2"/>
    </w:lvl>
  </w:abstractNum>
  <w:abstractNum w:abstractNumId="26">
    <w:nsid w:val="419AC241"/>
    <w:multiLevelType w:val="hybridMultilevel"/>
    <w:lvl w:ilvl="0">
      <w:lvlJc w:val="left"/>
      <w:lvlText w:val="(%1)"/>
      <w:numFmt w:val="decimal"/>
      <w:start w:val="3"/>
    </w:lvl>
  </w:abstractNum>
  <w:abstractNum w:abstractNumId="27">
    <w:nsid w:val="5577F8E1"/>
    <w:multiLevelType w:val="hybridMultilevel"/>
    <w:lvl w:ilvl="0">
      <w:lvlJc w:val="left"/>
      <w:lvlText w:val="(%1)"/>
      <w:numFmt w:val="decimal"/>
      <w:start w:val="4"/>
    </w:lvl>
  </w:abstractNum>
  <w:abstractNum w:abstractNumId="28">
    <w:nsid w:val="440BADFC"/>
    <w:multiLevelType w:val="hybridMultilevel"/>
    <w:lvl w:ilvl="0">
      <w:lvlJc w:val="left"/>
      <w:lvlText w:val="(%1)"/>
      <w:numFmt w:val="decimal"/>
      <w:start w:val="5"/>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lvl w:ilvl="1">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4"/>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16" Type="http://schemas.openxmlformats.org/officeDocument/2006/relationships/hyperlink" Target="https://www.sec.gov/Archives/edgar/data/1561550/000119312519252279/d803834dex31.htm" TargetMode="External"/><Relationship Id="rId117" Type="http://schemas.openxmlformats.org/officeDocument/2006/relationships/hyperlink" Target="https://www.sec.gov/Archives/edgar/data/1561550/000119312519227783/d745413dex34.htm" TargetMode="External"/><Relationship Id="rId118" Type="http://schemas.openxmlformats.org/officeDocument/2006/relationships/hyperlink" Target="https://www.sec.gov/Archives/edgar/data/1561550/000119312519240411/d745413dex41.htm" TargetMode="External"/><Relationship Id="rId119" Type="http://schemas.openxmlformats.org/officeDocument/2006/relationships/hyperlink" Target="https://www.sec.gov/Archives/edgar/data/1561550/000156459020006422/ddog-ex42_225.htm" TargetMode="External"/><Relationship Id="rId120" Type="http://schemas.openxmlformats.org/officeDocument/2006/relationships/hyperlink" Target="https://www.sec.gov/Archives/edgar/data/1561550/000119312520158639/d202955dex41.htm" TargetMode="External"/><Relationship Id="rId121" Type="http://schemas.openxmlformats.org/officeDocument/2006/relationships/hyperlink" Target="https://www.sec.gov/Archives/edgar/data/0001561550/000119312520158639/d202955d8k.htm" TargetMode="External"/><Relationship Id="rId122" Type="http://schemas.openxmlformats.org/officeDocument/2006/relationships/hyperlink" Target="https://www.sec.gov/Archives/edgar/data/1561550/000119312519227783/d745413dex101.htm" TargetMode="External"/><Relationship Id="rId123" Type="http://schemas.openxmlformats.org/officeDocument/2006/relationships/hyperlink" Target="https://www.sec.gov/Archives/edgar/data/1561550/000119312519227783/d745413dex102.htm" TargetMode="External"/><Relationship Id="rId124" Type="http://schemas.openxmlformats.org/officeDocument/2006/relationships/hyperlink" Target="https://www.sec.gov/Archives/edgar/data/1561550/000119312519240411/d745413dex103.htm" TargetMode="External"/><Relationship Id="rId125" Type="http://schemas.openxmlformats.org/officeDocument/2006/relationships/hyperlink" Target="https://www.sec.gov/Archives/edgar/data/1561550/000119312519240411/d745413dex104.htm" TargetMode="External"/><Relationship Id="rId128" Type="http://schemas.openxmlformats.org/officeDocument/2006/relationships/hyperlink" Target="https://www.sec.gov/Archives/edgar/data/1561550/000119312519240411/d745413dex105.htm" TargetMode="External"/><Relationship Id="rId129" Type="http://schemas.openxmlformats.org/officeDocument/2006/relationships/hyperlink" Target="https://www.sec.gov/Archives/edgar/data/1561550/000119312519240411/d745413dex106.htm" TargetMode="External"/><Relationship Id="rId130" Type="http://schemas.openxmlformats.org/officeDocument/2006/relationships/hyperlink" Target="https://www.sec.gov/Archives/edgar/data/1561550/000119312519240411/d745413dex107.htm" TargetMode="External"/><Relationship Id="rId131" Type="http://schemas.openxmlformats.org/officeDocument/2006/relationships/hyperlink" Target="https://www.sec.gov/Archives/edgar/data/1561550/000119312519240411/d745413dex108.htm" TargetMode="External"/><Relationship Id="rId132" Type="http://schemas.openxmlformats.org/officeDocument/2006/relationships/hyperlink" Target="https://www.sec.gov/Archives/edgar/data/1561550/000156155021000007/ex-101x20210331x10q.htm" TargetMode="External"/><Relationship Id="rId133" Type="http://schemas.openxmlformats.org/officeDocument/2006/relationships/hyperlink" Target="https://www.sec.gov/Archives/edgar/data/1561550/000156155021000007/ex-102x20210331x10q.htm" TargetMode="External"/><Relationship Id="rId134" Type="http://schemas.openxmlformats.org/officeDocument/2006/relationships/hyperlink" Target="https://www.sec.gov/Archives/edgar/data/0001561550/000119312519227783/d745413dex109.htm" TargetMode="External"/><Relationship Id="rId135" Type="http://schemas.openxmlformats.org/officeDocument/2006/relationships/hyperlink" Target="https://www.sec.gov/Archives/edgar/data/0001561550/000119312519227783/d745413dex1010.htm" TargetMode="External"/><Relationship Id="rId136" Type="http://schemas.openxmlformats.org/officeDocument/2006/relationships/hyperlink" Target="https://www.sec.gov/Archives/edgar/data/0001561550/000119312519227783/d745413dex1011.htm" TargetMode="External"/><Relationship Id="rId137" Type="http://schemas.openxmlformats.org/officeDocument/2006/relationships/hyperlink" Target="https://www.sec.gov/Archives/edgar/data/1561550/000156155021000026/ex-101x20210930x10q.htm" TargetMode="External"/><Relationship Id="rId138" Type="http://schemas.openxmlformats.org/officeDocument/2006/relationships/hyperlink" Target="https://www.sec.gov/Archives/edgar/data/0001561550/000119312519240411/d745413dex1013.htm" TargetMode="External"/><Relationship Id="rId139" Type="http://schemas.openxmlformats.org/officeDocument/2006/relationships/hyperlink" Target="https://www.sec.gov/Archives/edgar/data/1561550/000119312520158639/d202955dex101.htm" TargetMode="External"/><Relationship Id="rId140" Type="http://schemas.openxmlformats.org/officeDocument/2006/relationships/hyperlink" Target="https://www.sec.gov/Archives/edgar/data/1561550/000156459021009770/ddog-ex1014_4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2022-02-25T15:54:12Z</dcterms:created>
  <dcterms:modified xsi:type="dcterms:W3CDTF">2022-02-25T15:54:12Z</dcterms:modified>
</cp:coreProperties>
</file>