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30, 2025, there were 319,498,060 shares of the registrant’s Class A common stock and 25,855,171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2025 and 2024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74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 (unaudited)</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1,246,983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$17,707 and $16,302 as of March 31, 2025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5,076,338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961,853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1,862,713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3,093,707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3,070,976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March 31, 2025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319,232,516 and 316,787,538 shares issued and outstanding as of March 31, 2025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March 31, 2025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25,678,293 and 25,331,244 shares issued and outstanding as of March 31, 2025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2,689,013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0" w:type="dxa"/>
            <w:vAlign w:val="bottom"/>
          </w:tcPr>
          <w:p>
            <w:pPr>
              <w:spacing w:after="0"/>
              <w:rPr>
                <w:sz w:val="1"/>
                <w:szCs w:val="1"/>
                <w:color w:val="auto"/>
              </w:rPr>
            </w:pP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2,916,674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2,714,363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501,155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343,097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331,806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42,631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(2,264)</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(3,218)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(5,482)</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37,149</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2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05"/>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342,118,782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1,316,133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1,475,894</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169,927</w:t>
            </w:r>
          </w:p>
        </w:tc>
        <w:tc>
          <w:tcPr>
            <w:tcW w:w="0" w:type="dxa"/>
            <w:vAlign w:val="bottom"/>
          </w:tcPr>
          <w:p>
            <w:pPr>
              <w:spacing w:after="0"/>
              <w:rPr>
                <w:sz w:val="1"/>
                <w:szCs w:val="1"/>
                <w:color w:val="auto"/>
              </w:rPr>
            </w:pPr>
          </w:p>
        </w:tc>
      </w:tr>
      <w:tr>
        <w:trPr>
          <w:trHeight w:val="21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344,910,809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2,860,643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2,916,674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11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Deficit) Retained</w:t>
            </w:r>
          </w:p>
        </w:tc>
        <w:tc>
          <w:tcPr>
            <w:tcW w:w="160" w:type="dxa"/>
            <w:vAlign w:val="bottom"/>
          </w:tcPr>
          <w:p>
            <w:pPr>
              <w:spacing w:after="0"/>
              <w:rPr>
                <w:sz w:val="9"/>
                <w:szCs w:val="9"/>
                <w:color w:val="auto"/>
              </w:rPr>
            </w:pPr>
          </w:p>
        </w:tc>
        <w:tc>
          <w:tcPr>
            <w:tcW w:w="1140" w:type="dxa"/>
            <w:vAlign w:val="bottom"/>
            <w:vMerge w:val="restart"/>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1,340,644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137,679</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(5,482)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0" w:type="dxa"/>
            <w:vAlign w:val="bottom"/>
          </w:tcPr>
          <w:p>
            <w:pPr>
              <w:spacing w:after="0"/>
              <w:rPr>
                <w:sz w:val="1"/>
                <w:szCs w:val="1"/>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333,965,590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2,202,355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11,844</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55,490</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271,541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212,270</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(637,351)</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401,666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(11,365)</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(261,208)</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2025 Convertible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9"/>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(167,129)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(48,121)</w:t>
            </w:r>
          </w:p>
        </w:tc>
      </w:tr>
      <w:tr>
        <w:trPr>
          <w:trHeight w:val="230"/>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330,339</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1,079,854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282,218</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3,658</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r>
      <w:tr>
        <w:trPr>
          <w:trHeight w:val="108"/>
        </w:trPr>
        <w:tc>
          <w:tcPr>
            <w:tcW w:w="7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4,542</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37"/>
        </w:trPr>
        <w:tc>
          <w:tcPr>
            <w:tcW w:w="7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0"/>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5,662</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2025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2024, as filed with the SEC on February 20, 2025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the Company completed an assessment of the useful life of its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has not early adopted this standard and is evaluating the impact of it on its consolidated financial statements for the year ended December 31, 2025.</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March 31, 2025 and December 31, 2024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2,339,091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2,344,055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419,901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3,364,403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3,369,820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2,020,748</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1,349,072</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3,369,820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agency and any adverse conditions specifically related to an issuer of a security or its industry. Unrealized gains and losses on marketable securities are presented net of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March 31, 2025 and December 31, 2024,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714,073</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714,073</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296,544</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2,344,055</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419,901</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399,219</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205,150</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714,073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4,422,006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4,147,593</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285,015</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419,777</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$10.1 million and $10.7 million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Intangible amortization expense was approximately $1.1 million and $2.2 million for the three months ended March 31, 2025 and 2024,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8"/>
          <w:szCs w:val="18"/>
          <w:color w:val="auto"/>
        </w:rPr>
        <w:t>As of March 31, 2025,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361,738</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Holders of the 2025 Notes may convert all or any portion of their 2025 Notes, in integral multiples of $1,000 principal amount, at the option of the holder until the close of business on the second scheduled trading day immediately preceding the maturity date for the 2025 Notes. The conversion rate for the 2025 Notes is initially 10.8338 shares of Class A common stock per $1,000 principal amount of 2025 Notes (equivalent to an initial conversion price for the 2025 Notes of approximately $92.30 per share of Class A common stock), subject to adjustment as set forth in the indenture governing the 2025 Notes (the “2025 Indenture”). The Company elected to settle up to the principal amount of its 2025 Notes in cash and deliver, as the case may be, shares of Class A common stock (plus cash in lieu of any fractional share), in respect to the remainder, if any, of the Company’s conversion obligation in excess of the aggregate principal amount of the 2025 Notes being converted. The conversion consideration will be based on a daily settlement amount calculated on a proportionate basis for each trading day in a 30 trading day observation period as described in the 2025 Indenture. In addition, if specific corporate events occur prior to the applicable maturity date for the 2025 Notes, or if the Company elects to redeem the 2025 Notes, the Company will increase the conversion rate for the 2025 Notes for a holder who elects to convert their 2025 Notes in connection with such a corporate event or redemption in certain circumstances.</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Since the issuance of the 2025 Notes, the Company received and settled an immaterial amount of conversion notices from the holders in cash. As of March 31, 2025, the 2025 Notes were classified as current liabilities on the Company's condensed consolidated balance sheet.</w:t>
      </w:r>
    </w:p>
    <w:p>
      <w:pPr>
        <w:spacing w:after="0" w:line="158"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for the 2025 Notes, at its option, if the last reported sale price of its Class A common stock was at least 130% of the conversion price for the 2025 Notes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and together with the 2025 Notes, the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 September 1, 2029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conditional conversion features of the 2029 Notes were not triggered. Therefore the 2029 Notes are not convertible, in whole or in part, at the option of the holders between April 1, 2025 through June 30, 2025. As of March 31, 2025, the 2029 Notes were classified as non-current liabilities on the Company's condensed consolidated balance sheet.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interest to, but excluding,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Notes was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635,448</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634,023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979,282</w:t>
            </w:r>
          </w:p>
        </w:tc>
      </w:tr>
      <w:tr>
        <w:trPr>
          <w:trHeight w:val="21"/>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2025, the total estimated fair value of the 2025 Notes was approximately $712.3 million and the fair value of the 2029 Notes was approximately $869.7 million. The fair value was determined based on the closing trading price or quoted market price per $100 of the Notes as of the last day of trading for the period. The fair value of the Notes is primarily affected by the trading price of the Company’s Class A common stock and market interest rates and has been classified as level 2 in the fair value hierarchy.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Issuance costs are being amortized to interest expense over the contractual terms of the 2025 Notes and 2029 Notes at an effective interest rate of 0.59% for the 2025 Notes and 0.43% for the 2029 Notes.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three months ended March 31, 2025 and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r>
      <w:tr>
        <w:trPr>
          <w:trHeight w:val="195"/>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95"/>
        </w:trPr>
        <w:tc>
          <w:tcPr>
            <w:tcW w:w="7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and 2029 Notes, the Company entered into privately negotiated capped call transactions with certain option counterparties (the “Capped Calls”). The initial strike price of the Capped Calls corresponds to the initial conversion price of each of the Notes. The Capped Calls are expected to partially offset the potential dilution to the Company’s Class A common stock upon any conversion of the Notes, with such offset subject to a cap based on the cap price. For accounting purposes, the Capped Calls are separate transactions, and not part of the Notes. As these transactions meet 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each of the Notes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49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2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120" w:type="dxa"/>
            <w:vAlign w:val="bottom"/>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346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3460" w:type="dxa"/>
            <w:vAlign w:val="bottom"/>
            <w:gridSpan w:val="2"/>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2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r>
      <w:tr>
        <w:trPr>
          <w:trHeight w:val="859"/>
        </w:trPr>
        <w:tc>
          <w:tcPr>
            <w:tcW w:w="4940" w:type="dxa"/>
            <w:vAlign w:val="bottom"/>
          </w:tcPr>
          <w:p>
            <w:pPr>
              <w:spacing w:after="0"/>
              <w:rPr>
                <w:sz w:val="24"/>
                <w:szCs w:val="24"/>
                <w:color w:val="auto"/>
              </w:rPr>
            </w:pPr>
          </w:p>
        </w:tc>
        <w:tc>
          <w:tcPr>
            <w:tcW w:w="20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three months ended March 31, 2025,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months ended March 31, 2025 and March 31, 2024, the Company incurred expense of $2.1 million and $1.8 million, respectively, for matching contributions.</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2025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$8.4 million and $6.8 million for the three months ended March 31, 2025 and 2024,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r>
      <w:tr>
        <w:trPr>
          <w:trHeight w:val="859"/>
        </w:trPr>
        <w:tc>
          <w:tcPr>
            <w:tcW w:w="522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52,257</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51,565</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125,259</w:t>
            </w:r>
          </w:p>
        </w:tc>
        <w:tc>
          <w:tcPr>
            <w:tcW w:w="0" w:type="dxa"/>
            <w:vAlign w:val="bottom"/>
          </w:tcPr>
          <w:p>
            <w:pPr>
              <w:spacing w:after="0"/>
              <w:rPr>
                <w:sz w:val="1"/>
                <w:szCs w:val="1"/>
                <w:color w:val="auto"/>
              </w:rPr>
            </w:pPr>
          </w:p>
        </w:tc>
      </w:tr>
      <w:tr>
        <w:trPr>
          <w:trHeight w:val="223"/>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339,673</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(77,471)</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262,202</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9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425,600</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185,653</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36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$508.5 million and $404.5 million for the three months ended March 31, 2025 and 2024,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2025 and 2024, which was included in the deferred revenue balances at the beginning of each such period, was $425.3 million and $346.8 million, respectively.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2025 and December 31, 2024, the aggregate transaction price allocated to remaining performance obligations was $2,309.0 million and $2,273.1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7" w:name="page18"/>
    <w:bookmarkEnd w:id="1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three months ended March 31, 2025 and 2024, the Company charged $3.1 million and $2.6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2025 and December 31, 2024, unbilled accounts receivable of approximately $83.4 million and $77.0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$149.3 million and $142.7 million as of March 31, 2025 and December 31, 2024, respectively. Amortization expense was $14.9 million and $11.8 million for the three months ended March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2025, 183,585 shares of Class B common stock were converted into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authorized 2,000,000,000 shares of Class A common stock and 310,000,000 shares of Class B common stock, each at a par value per share of $0.00001, of which 319,232,516 shares of Class A common stock and 25,678,293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March 31, 2025, there were 5,619,191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March 31, 2025, there were 100,599,679 shares available for grant under the 2019 Plan.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outstanding—March 31, 2025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5,636,986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Exercisable—March 31, 2025</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5,636,986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529,327</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there were 17,795 shares of Class A common stock and 5,619,191 shares of Class B common stock issuable upon the exercise of options outstanding. As of December 31, 2024, there were 17,795 shares of Class A common stock and 6,935,324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2025 and 2024. The Company received approximately $1.7 million and $2.2 million in cash proceeds from options exercised during the three months ended March 31, 2025 and 2024, respectively. The intrinsic value of options exercised during the three months ended March 31, 2025 and 2024 was approximately $168.4 million and $164.7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13,109,149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granted no restricted shares of Class A common stock in connection with acquisitions during the three months ended March 31, 2025.</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$1,310.0 million and $1,378.1 million as of March 31, 2025 and December 31, 2024, respectively. The weighted-average period over which this compensation cost related to unvested RSUs and restricted shares of common stock will be recognized is 2.7 years and 2.8 years as of March 31, 2025 and December 31, 2024,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$39.7 million and $52.3 million as of March 31, 2025 and December 31, 2024, respectively. The weighted-average period over which this compensation cost related to unvested PSUs will be recognized is 1.4 years and 1.3 years as of March 31,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$4.4 million of stock-based compensation expense related to the ESPP during the three months ended March 31, 2025. As of March 31, 2025, $23.0 million has been withheld on behalf of employees for a future purchase under the ESPP due to the timing of payroll deductions. There were no purchases related to ESPP in the three months ended March 31, 2025. As of March 31, 2025, 23,763,794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840" w:type="dxa"/>
            <w:vAlign w:val="bottom"/>
            <w:tcBorders>
              <w:bottom w:val="single" w:sz="8" w:color="CCEEFF"/>
            </w:tcBorders>
          </w:tcPr>
          <w:p>
            <w:pPr>
              <w:spacing w:after="0"/>
              <w:rPr>
                <w:sz w:val="3"/>
                <w:szCs w:val="3"/>
                <w:color w:val="auto"/>
              </w:rPr>
            </w:pPr>
          </w:p>
        </w:tc>
        <w:tc>
          <w:tcPr>
            <w:tcW w:w="3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135,033</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6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(loss)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50,727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35,435</w:t>
            </w:r>
          </w:p>
        </w:tc>
      </w:tr>
      <w:tr>
        <w:trPr>
          <w:trHeight w:val="270"/>
        </w:trPr>
        <w:tc>
          <w:tcPr>
            <w:tcW w:w="320" w:type="dxa"/>
            <w:vAlign w:val="bottom"/>
          </w:tcPr>
          <w:p>
            <w:pPr>
              <w:spacing w:after="0"/>
              <w:rPr>
                <w:sz w:val="23"/>
                <w:szCs w:val="23"/>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(3,548)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47,179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81" w:lineRule="exact"/>
        <w:rPr>
          <w:sz w:val="20"/>
          <w:szCs w:val="20"/>
          <w:color w:val="auto"/>
        </w:rPr>
      </w:pPr>
    </w:p>
    <w:p>
      <w:pPr>
        <w:sectPr>
          <w:pgSz w:w="11900" w:h="16838" w:orient="portrait"/>
          <w:cols w:equalWidth="0" w:num="2">
            <w:col w:w="7760" w:space="720"/>
            <w:col w:w="2760"/>
          </w:cols>
          <w:pgMar w:left="320" w:top="1305" w:right="339" w:bottom="1440" w:gutter="0" w:footer="0" w:header="0"/>
        </w:sectPr>
      </w:pPr>
    </w:p>
    <w:p>
      <w:pPr>
        <w:spacing w:after="0" w:line="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income taxes of $7.2 million and $3.6 million for the three months ended March 31, 2025 and 2024, respectively. The Company has generated U.S. operating income and has minimal profits in its foreign jurisdictions during the quarter.</w:t>
      </w:r>
    </w:p>
    <w:p>
      <w:pPr>
        <w:spacing w:after="0" w:line="160"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for each of the three months ended March 31, 2025 and 2024. The Company’s policy is to recognize interest and penalties related to uncertain income tax positions in income tax expense. The Company is subject to U.S. federal tax authority, U.S. state tax authority and foreign tax authority examinations.</w:t>
      </w:r>
    </w:p>
    <w:p>
      <w:pPr>
        <w:spacing w:after="0" w:line="14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51"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39370</wp:posOffset>
            </wp:positionV>
            <wp:extent cx="2734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 calculating net income per share, basic</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317,561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25,879</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6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income, net of interest expense and related tax</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r>
      <w:tr>
        <w:trPr>
          <w:trHeight w:val="246"/>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 income as a result of conversion of Class B to Class A shares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 calculation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w:t>
            </w: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 securities: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 common shares outstanding</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 connection with acquisition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2025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2029 Notes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 calculation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363,078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25,536</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355,979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25,879</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8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2,868</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2,868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Subsequent to March 31, 2025, the Company entered into three purchase agreements for acquisitions of businesses for approximately $180.0 million in cash and stock, subject to certain customary adjustments. The Company is currently evaluating the purchase price allocation for these transactions but does not consider these acquisitions to be material, individually, or in aggregate.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2025, we had $1,079.9 million in cash and cash equivalents and $3.4 billion in marketable securities. We generated revenue of $761.6 million and $611.3 million in the three months ended March 31, 2025 and 2024, respectively, representing year-over-year growth of 25%. Substantially all of our revenue is from subscription software sales. While we have continued to make significant expenditures and investments, including in personnel-related costs, sales and marketing, infrastructure and operations, we had incurred net income of $24.6 million and $42.6 million for the three months ended March 31, 2025 and 2024, respectively. Our operating cash flow was $271.5 million and $212.3 million for the three months ended March 31, 2025 and 2024, respectively. Our free cash flow was $244.4 million and $186.7 million for the three months ended March 31, 2025 and 2024, respectively. See the section titled “—Liquidity and Capital Resources—Non-GAAP Free Cash Flow” below.</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2025, we had approximately 30,500 customers spanning organizations of a broad range of sizes and industries, compared to approximately 28,000 as of March 31, 2024.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March 31, 2025, we had approximately 3,770 customers with annual run-rate revenue, or ARR, of $100,000 or more, representing 88% of our ARR, up from 3,340 customers as of March 31, 2024, representing 87%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March 31, 2025, our trailing 12-month dollar-based net retention rate was in the high-110%'s. As of March 31, 2024, our trailing 12-month dollar-based net retention rate was mid-110%'s.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83% of our customers were using more than one product as of March 31, 2025, up from approximately 82% a year earlier. Additionally, as of March 31, 2025, approximately 51% of our customers were using more than four products, up from approximately 47% a year earlier, approximately 28% of our customers were using more than six products, up from 23% a year earlier, and approximately 13% of our customers were using more than eight products, up from 10% a year earlier. We believe these metrics indicate strong expansion of product adoption across our platform.</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of our total revenue for each of the three months ended March 31, 2025 and 2024.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Notes and amortization of premiums on our marketable securities.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3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761,553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611,253</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110,098</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501,155</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173,881</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45,290</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489,159</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34,189</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46,185</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42,631</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48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52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1748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60" w:space="720"/>
            <w:col w:w="276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8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8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ectPr>
          <w:pgSz w:w="11900" w:h="16838" w:orient="portrait"/>
          <w:cols w:equalWidth="0" w:num="1">
            <w:col w:w="11240"/>
          </w:cols>
          <w:pgMar w:left="320" w:top="1305"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7" w:name="page28"/>
    <w:bookmarkEnd w:id="27"/>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8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760" w:space="720"/>
            <w:col w:w="2760"/>
          </w:cols>
          <w:pgMar w:left="320" w:top="123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37"/>
        </w:trPr>
        <w:tc>
          <w:tcPr>
            <w:tcW w:w="8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1,819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97"/>
        </w:trPr>
        <w:tc>
          <w:tcPr>
            <w:tcW w:w="11240" w:type="dxa"/>
            <w:vAlign w:val="bottom"/>
            <w:gridSpan w:val="8"/>
          </w:tcPr>
          <w:p>
            <w:pPr>
              <w:jc w:val="right"/>
              <w:ind w:right="432"/>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tc>
      </w:tr>
      <w:tr>
        <w:trPr>
          <w:trHeight w:val="299"/>
        </w:trPr>
        <w:tc>
          <w:tcPr>
            <w:tcW w:w="8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r>
      <w:tr>
        <w:trPr>
          <w:trHeight w:val="190"/>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r>
      <w:tr>
        <w:trPr>
          <w:trHeight w:val="37"/>
        </w:trPr>
        <w:tc>
          <w:tcPr>
            <w:tcW w:w="80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80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6"/>
          </w:tcPr>
          <w:p>
            <w:pPr>
              <w:spacing w:after="0"/>
              <w:rPr>
                <w:sz w:val="3"/>
                <w:szCs w:val="3"/>
                <w:color w:val="auto"/>
              </w:rPr>
            </w:pPr>
          </w:p>
        </w:tc>
      </w:tr>
      <w:tr>
        <w:trPr>
          <w:trHeight w:val="250"/>
        </w:trPr>
        <w:tc>
          <w:tcPr>
            <w:tcW w:w="8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gridSpan w:val="6"/>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761,553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28" w:name="page29"/>
    <w:bookmarkEnd w:id="2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$150.3 million, or 25%, for the three months ended March 31, 2025 compared to the three months ended March 31, 2024.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157,628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$47.5 million, or 43%, for the three months ended March 31, 2025 compared to the three months ended March 31, 2024. This increase was primarily due to an increase of $42.8 million in third-party cloud infrastructure hosting and software costs and an increase of $5.7 million in personnel costs and other related costs as a result of increased headcount.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for the three months ended March 31, 2025 compared to the three months ended March 31, 2024, primarily as a result of increased spend with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341,061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269,988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$71.1 million, or 26%, for the three months ended March 31, 2025 compared to the three months ended March 31, 2024. This increase was primarily due to an increase of $54.2 million in personnel costs including allocated overhead costs for our engineering, product and design teams as a result of increased headcount and an increase of $16.2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214,291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173,881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$40.4 million, or 23%, for the three months ended March 31, 2025 compared to the three months ended March 31, 2024. This increase was primarily due to an increase of $29.6 million in personnel costs including allocated overhead costs for our sales and marketing organization as a result of increased headcount and increased variable compensation for our sales personnel and an increase of $8.4 million in advertising, sales, marketing and promotional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60,993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$15.7 million, or 35%, for the three months ended March 31, 2025 compared to the three months ended March 31, 2024. This increase was primarily due to an increase of $9.2 million in personnel costs including allocated overhead costs as a result of increased headcount, and an increase of $3.2 million in legal and other professional services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44,216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increased by $10.0 million, or 29%, for the three months ended March 31, 2025 compared to the three months ended March 31, 2024. This increase was primarily driven by an increase of $15.3 million in interest income, mainly due to income earned from investments in marketable securities. This amount was partially offset by a decrease of $3.7 million in other income mainly due to fluctuations related to foreign currency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three months ended March 31, 2025 and 2024. When assessing sources of liquidity, we also include cash and cash equivalents of $1.1 billion and marketable securities of $3.4 billion as of March 31, 2025.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Notes’ coupons and principal. Purchase commitments for business operations are primarily related to cloud hosting and other software-based services.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June 2020 and December 2024, we issued $747.5 million aggregate principal amount of the 2025 Notes and $1.0 billion aggregate principal amount of the 2029 Notes, respectively, in private placements to qualified institutional buyers pursuant to Rule 144A under the Securities Act. The total net proceeds from the sale of the 2025 Notes and the 2029 Notes, after deducting the initial purchasers’ discounts and debt issuance costs, were approximately $730.2 million and $979.1 million, respectively. We used $196.8 million of the net proceeds from the offering of the 2029 Notes to repurchase approximately $112.0 million in aggregate principal amount of the 2025 Notes, including accrued and unpaid interest, in privately negotiated transactions. In connection with the partial retirement of the 2025 Notes, we entered into a termination agreement relating to a number of options corresponding to the number of 2025 Notes retired. We received approximately $54.7 million in connection with such termination agreements.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2025 Notes will mature on June 15, 2025. The Company elected to settle up to the principal amount of its 2025 Notes in cash and deliver, as the case may be, shares of Class A common stock (plus cash in lieu of any fractional share), in respect to the remainder, if any, of the Company’s conversion obligation in excess of the aggregate principal amount of the 2025 Notes being converted.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0" w:name="page31"/>
    <w:bookmarkEnd w:id="3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271,541</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1,653</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increased $59.3 million compared to the three months ended March 31, 2024, primarily driven by an increase in non-cash charges of $38.5 million, a decrease in accounts receivable of $48.7 million, and an increase in accrued expenses and other current liabilities of $13.1 million. The increase in non-cash charges related primarily to an increase of $29.2 million in stock-based compensation as we continued to increase headcount to support the growth of the business. The increase in cash provided by operating activities was partially offset by a decrease in deferred revenue of $20.6 million and an increase in deferred contract costs of $8.9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increased $182.2 million compared to the three months ended March 31, 2024, primarily driven by an increase of $333.0 million in the purchases of marketable securities. The increase in cash used in investing activities was partially offset by an increase of $154.3 million in proceeds from maturities of marketable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decreased $0.5 million compared to the three months ended March 31, 2024, primarily due to a decrease in proceeds from the exercise of stock options of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212,270</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(14,158)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186,747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 except as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we completed an assessment of the useful life of our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2025, we had $1,052.2 million in cash equivalents and $3.4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March 31, 2025, a hypothetical 10%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relative change in interest rates would not have a material impact on our condensed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2025. 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$761.6 million and $611.3 million for the three months ended March 31, 2025 and 2024,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includes our largest customer and represented approximately six percentage points of our year-over-year revenue growth for the quarter ended March 31, 2025, have rapidly increased their usage of our product and then optimized or may in the future optimize their usage or fail to renew their subscriptions.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result in a breach of or disruption to our platform, systems and networks or the systems and networks of third parties that support us and our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 security controls we have in place, such attacks are very difficult to avoid.</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20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900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5" w:name="page46"/>
    <w:bookmarkEnd w:id="45"/>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Intelligence Act, which would apply beyond the European Union’s borders, came into effect in August 2024. It contains numerous requirements regarding the development and use of AI and imposes significant monetary fines.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Canada introduced the Digital Charter Implementation Act and India enacted the Information Technology Act.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personal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liable for the corrupt or other illegal activities of these third-party intermediaries, our employees, representatives, contractors, partners and agents, even if we do not explicitly authorize such activities.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may lead to significant compliance costs, may heighten scrutiny of our ESG practices and may require us to change our current practices.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we have approximately $263.0 million of net operating loss carryforwards, or NOLs, for state income tax purposes, which begin to expire in 2028 if not utilized. We have fully utilized all of our existing NOLs for federal income tax purposes, other than certain NOLs of entities that we have acquired, which are subject to annual limitation under Section 382 of the Internal Revenue Code of 1986, as amended, or the Code, as discussed below. We are evaluating the impact of any Section 382 limitation on our utilization of these acquired NOLs. Unused U.S. federal NOLs for taxable years beginning before January 1, 2018, may be carried forward to offset future taxable income, if any, until such unused NOLs expire. Under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There is no material impact on our financial statements for the tax period ending March 31,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equivalent or superior to our products and platform capabilities. These agreements may be breached, and we may not have adequate remedies for any such breach.</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for each of the three months ended March 31, 2025 and 2024.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2025, approximately 41% of our full-time employees were located outside of the United States, 35%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rates, reduced cash flows and lower overall profitability of our operations. Our financial statements could fail to reflect adequate reserves to cover such a contingency.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March 31, 2025, our outstanding shares of Class B common stock represented approximately 45%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0.125% Convertible Senior Notes due 2025, or our 2025 Notes, or our 0.00% Convertible Senior Notes due 2029, or the 2029 Notes and together with the 2025 Notes, the Notes, in each case,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issued the 2025 Notes and the 2029 Notes in private placements in June 2020 and December 2024, respectively. We may be required to use a substantial portion of our cash flows from operations to pay interest and principal on our indebtedness.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indentures governing the Notes, from incurring additional debt, securing existing or future debt, recapitalizing our debt, repurchasing our stock, pledging our assets, making investments, paying dividends, guaranteeing debt or taking a number of other actions that are not limited by the terms of the indentures governing the Notes that could have the effect of diminishing our ability to make payments on the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a current rather than long-term liability, which would result in a material reduction of our net working capital. The 2025 Notes are convertible at the option of their holders prior to the close of business on the second scheduled trading day immediately preceding their scheduled maturity, and we previously elected to settle all such conversions in cash up to the aggregate principal amount of the 2025 Notes to be converted and shares of our Class A common stock in excess of the remainder, if any, of our conversion obligations in excess of the aggregate principal amount of the 2025 Notes being converted. The outstanding principal of the 2025 Notes are classified as a current liability in our most recent financials.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each series of Notes, we entered into capped call transactions with the applicable option counterparties. The capped call transactions cover, subject to customary adjustments (which, in the case of the capped call transactions entered into in connection with the 2029 Notes, are substantially similar to those applicable to the 2029 Notes), the number of shares of our Class A common stock that initially underlie the applicable series of Notes. The capped call transactions are generally expected to reduce the potential dilution to our Class A common stock upon any conversion of the Notes and/or offset any cash payments we are required to make in excess of the principal amount of converted Notes, as the case may be, with such reduction and/or offset subject to a cap. In connection with establishing their initial hedges of the capped call transactions, the applicable option counterparties or their respective affiliates entered into various derivative transactions with respect to our Class A common stock and/or purchased shares of our Class A common stock concurrently with or shortly after the pricing of the applicable series of Notes, including with certain investors in the applicable series of Notes.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applicable series of Notes and prior to the maturity of the applicable series of Notes. They are likely to do so during any observation period related to a conversion of each series of Notes, or, to the extent we exercise the relevant election under the capped call transactions following any repurchase or redemption of the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ind w:left="500" w:right="7360" w:hanging="492"/>
        <w:spacing w:after="0" w:line="500" w:lineRule="auto"/>
        <w:tabs>
          <w:tab w:leader="none" w:pos="3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 2025, David Obstler, our Chief Financial Officer, modified (within the meaning of Rule 10b5-1(c)(1)(iv)) a Rule 10b5-1 trading arrangement, originally adopted on December 12, 2024, to change the price limits for sales under the plan and extend the expiration date to May 31, 2026; however, the total shares of Class A common stock to be sold remained unchanged at 107,500 shares.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other officers (as defined in Rule 16a-1(f) under the Exchange Act)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08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March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March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8" Type="http://schemas.openxmlformats.org/officeDocument/2006/relationships/hyperlink" Target="https://www.sec.gov/Archives/edgar/data/0001561550/000119312519252279/d803834dex31.htm" TargetMode="External"/><Relationship Id="rId109"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2025-05-07T08:10:56Z</dcterms:created>
  <dcterms:modified xsi:type="dcterms:W3CDTF">2025-05-07T08:10:56Z</dcterms:modified>
</cp:coreProperties>
</file>